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val="0"/>
        <w:kinsoku/>
        <w:wordWrap/>
        <w:overflowPunct/>
        <w:topLinePunct w:val="0"/>
        <w:autoSpaceDE/>
        <w:autoSpaceDN/>
        <w:bidi w:val="0"/>
        <w:adjustRightInd/>
        <w:snapToGrid/>
        <w:ind w:firstLine="0" w:firstLineChars="0"/>
        <w:jc w:val="center"/>
        <w:textAlignment w:val="auto"/>
      </w:pPr>
      <w:bookmarkStart w:id="0" w:name="_GoBack"/>
      <w:bookmarkEnd w:id="0"/>
      <w:r>
        <w:t>中国成人教育协会2024年工作要点</w:t>
      </w:r>
    </w:p>
    <w:p>
      <w:pPr>
        <w:keepNext w:val="0"/>
        <w:keepLines w:val="0"/>
        <w:pageBreakBefore w:val="0"/>
        <w:widowControl w:val="0"/>
        <w:kinsoku/>
        <w:wordWrap/>
        <w:overflowPunct/>
        <w:topLinePunct w:val="0"/>
        <w:autoSpaceDE/>
        <w:autoSpaceDN/>
        <w:bidi w:val="0"/>
        <w:adjustRightInd/>
        <w:snapToGrid/>
        <w:spacing w:line="360" w:lineRule="auto"/>
        <w:ind w:firstLine="588" w:firstLineChars="200"/>
        <w:textAlignment w:val="auto"/>
        <w:rPr>
          <w:rFonts w:hint="eastAsia" w:asciiTheme="minorEastAsia" w:hAnsiTheme="minorEastAsia" w:eastAsiaTheme="minorEastAsia" w:cstheme="minorEastAsia"/>
          <w:spacing w:val="7"/>
          <w:sz w:val="28"/>
          <w:szCs w:val="28"/>
        </w:rPr>
      </w:pPr>
      <w:r>
        <w:rPr>
          <w:rFonts w:hint="eastAsia" w:asciiTheme="minorEastAsia" w:hAnsiTheme="minorEastAsia" w:eastAsiaTheme="minorEastAsia" w:cstheme="minorEastAsia"/>
          <w:spacing w:val="7"/>
          <w:sz w:val="28"/>
          <w:szCs w:val="28"/>
        </w:rPr>
        <w:t>2024年，中国成人教育协会工作的总体思路是：以习近平新时代中国特色社会主义思想为指导，全面贯彻党的二十大精神，深入学习贯彻习近平总书记关于教育的重要论述，深刻领悟“两个确立”的决定性意义，增强“四个意识”、坚定“四个自信”、做到“两个维护”，坚持党对成人继续教育工作的全面领导，全面贯彻党的教育方针；坚持稳中求进、以进促稳、先立后破，围绕教育部中心工作和成人继续教育重点工作，认真落实教育强国建设重点任务，发展新质生产力，在提高学习型社会建设质量、构筑更加高效、联结的学习环境，建设更加丰富、多样的学习资源，促进全民终身学习、探索具有中国特色的成人继续教育新发展格局之路。</w:t>
      </w:r>
    </w:p>
    <w:p>
      <w:pPr>
        <w:keepNext w:val="0"/>
        <w:keepLines w:val="0"/>
        <w:pageBreakBefore w:val="0"/>
        <w:widowControl w:val="0"/>
        <w:kinsoku/>
        <w:wordWrap/>
        <w:overflowPunct/>
        <w:topLinePunct w:val="0"/>
        <w:autoSpaceDE/>
        <w:autoSpaceDN/>
        <w:bidi w:val="0"/>
        <w:adjustRightInd/>
        <w:snapToGrid/>
        <w:spacing w:line="360" w:lineRule="auto"/>
        <w:ind w:firstLine="561" w:firstLineChars="200"/>
        <w:textAlignment w:val="auto"/>
        <w:rPr>
          <w:rStyle w:val="6"/>
          <w:rFonts w:hint="eastAsia" w:asciiTheme="minorEastAsia" w:hAnsiTheme="minorEastAsia" w:eastAsiaTheme="minorEastAsia" w:cstheme="minorEastAsia"/>
          <w:sz w:val="28"/>
          <w:szCs w:val="28"/>
        </w:rPr>
      </w:pPr>
      <w:r>
        <w:rPr>
          <w:rStyle w:val="6"/>
          <w:rFonts w:hint="eastAsia" w:asciiTheme="minorEastAsia" w:hAnsiTheme="minorEastAsia" w:eastAsiaTheme="minorEastAsia" w:cstheme="minorEastAsia"/>
          <w:sz w:val="28"/>
          <w:szCs w:val="28"/>
        </w:rPr>
        <w:t>一、深入学习党的二十大精神和习近平总书记系列重要讲话</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按照教育部的部署和要求，深入学习党的二十大精神和习近平总书记系列重要讲话，坚持不懈用习近平新时代中国特色社会主义思想指导协会工作，自觉在思想上政治上行动上同以习近平同志为核心的党中央保持高度一致；坚定不移加强党对成人继续教育工作的全面领导，确保协会工作始终沿着正确的政治方向前进。充分发挥功能型党支部的作用，自觉服务国家、服务社会、服务群众、服务行业。</w:t>
      </w:r>
    </w:p>
    <w:p>
      <w:pPr>
        <w:keepNext w:val="0"/>
        <w:keepLines w:val="0"/>
        <w:pageBreakBefore w:val="0"/>
        <w:widowControl w:val="0"/>
        <w:kinsoku/>
        <w:wordWrap/>
        <w:overflowPunct/>
        <w:topLinePunct w:val="0"/>
        <w:autoSpaceDE/>
        <w:autoSpaceDN/>
        <w:bidi w:val="0"/>
        <w:adjustRightInd/>
        <w:snapToGrid/>
        <w:spacing w:line="360" w:lineRule="auto"/>
        <w:ind w:firstLine="561" w:firstLineChars="200"/>
        <w:textAlignment w:val="auto"/>
        <w:rPr>
          <w:rStyle w:val="6"/>
          <w:rFonts w:hint="eastAsia" w:asciiTheme="minorEastAsia" w:hAnsiTheme="minorEastAsia" w:eastAsiaTheme="minorEastAsia" w:cstheme="minorEastAsia"/>
          <w:sz w:val="28"/>
          <w:szCs w:val="28"/>
        </w:rPr>
      </w:pPr>
      <w:r>
        <w:rPr>
          <w:rStyle w:val="6"/>
          <w:rFonts w:hint="eastAsia" w:asciiTheme="minorEastAsia" w:hAnsiTheme="minorEastAsia" w:eastAsiaTheme="minorEastAsia" w:cstheme="minorEastAsia"/>
          <w:sz w:val="28"/>
          <w:szCs w:val="28"/>
        </w:rPr>
        <w:t>二、围绕教育部《学习型社会建设重点任务》做实做细做好专项工作</w:t>
      </w:r>
    </w:p>
    <w:p>
      <w:pPr>
        <w:keepNext w:val="0"/>
        <w:keepLines w:val="0"/>
        <w:pageBreakBefore w:val="0"/>
        <w:widowControl w:val="0"/>
        <w:kinsoku/>
        <w:wordWrap/>
        <w:overflowPunct/>
        <w:topLinePunct w:val="0"/>
        <w:autoSpaceDE/>
        <w:autoSpaceDN/>
        <w:bidi w:val="0"/>
        <w:adjustRightInd/>
        <w:snapToGrid/>
        <w:spacing w:line="360" w:lineRule="auto"/>
        <w:ind w:firstLine="561" w:firstLineChars="200"/>
        <w:textAlignment w:val="auto"/>
        <w:rPr>
          <w:rStyle w:val="6"/>
          <w:rFonts w:hint="eastAsia" w:asciiTheme="minorEastAsia" w:hAnsiTheme="minorEastAsia" w:eastAsiaTheme="minorEastAsia" w:cstheme="minorEastAsia"/>
          <w:color w:val="000000"/>
          <w:sz w:val="28"/>
          <w:szCs w:val="28"/>
          <w:u w:val="none"/>
        </w:rPr>
      </w:pPr>
      <w:r>
        <w:rPr>
          <w:rStyle w:val="6"/>
          <w:rFonts w:hint="eastAsia" w:asciiTheme="minorEastAsia" w:hAnsiTheme="minorEastAsia" w:eastAsiaTheme="minorEastAsia" w:cstheme="minorEastAsia"/>
          <w:color w:val="000000"/>
          <w:sz w:val="28"/>
          <w:szCs w:val="28"/>
          <w:u w:val="none"/>
        </w:rPr>
        <w:t>（一）持续推进学习型城市建设工作</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组织专家队伍配合教育部职成司做好学习型城市建设监测指标体系的完善工作，推动各市学习型城市建设工作；组织更多城市加入全国学习型城市网络，扩大城市网络数量。</w:t>
      </w:r>
    </w:p>
    <w:p>
      <w:pPr>
        <w:keepNext w:val="0"/>
        <w:keepLines w:val="0"/>
        <w:pageBreakBefore w:val="0"/>
        <w:widowControl w:val="0"/>
        <w:kinsoku/>
        <w:wordWrap/>
        <w:overflowPunct/>
        <w:topLinePunct w:val="0"/>
        <w:autoSpaceDE/>
        <w:autoSpaceDN/>
        <w:bidi w:val="0"/>
        <w:adjustRightInd/>
        <w:snapToGrid/>
        <w:spacing w:line="360" w:lineRule="auto"/>
        <w:ind w:firstLine="561" w:firstLineChars="200"/>
        <w:textAlignment w:val="auto"/>
        <w:rPr>
          <w:rStyle w:val="6"/>
          <w:rFonts w:hint="eastAsia" w:asciiTheme="minorEastAsia" w:hAnsiTheme="minorEastAsia" w:eastAsiaTheme="minorEastAsia" w:cstheme="minorEastAsia"/>
          <w:sz w:val="28"/>
          <w:szCs w:val="28"/>
        </w:rPr>
      </w:pPr>
      <w:r>
        <w:rPr>
          <w:rStyle w:val="6"/>
          <w:rFonts w:hint="eastAsia" w:asciiTheme="minorEastAsia" w:hAnsiTheme="minorEastAsia" w:eastAsiaTheme="minorEastAsia" w:cstheme="minorEastAsia"/>
          <w:sz w:val="28"/>
          <w:szCs w:val="28"/>
        </w:rPr>
        <w:t>具体举措：</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1.宣传贯彻学习型城市建设任务清单和监测指标；</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2.配合教育部职成司启动第二批申请加入全国学习型城市网络相关工作；</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3.举办学习型城市经验交流与培训会；</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4.正式出版《中国学习型城市建设十年发展报告（2013-2023）》；</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5.宣传全球学习型城市网络典型案例，配合中国联合国教科文全委会秘书处做好全球学习型城市网络成员推介工作。</w:t>
      </w:r>
    </w:p>
    <w:p>
      <w:pPr>
        <w:keepNext w:val="0"/>
        <w:keepLines w:val="0"/>
        <w:pageBreakBefore w:val="0"/>
        <w:widowControl w:val="0"/>
        <w:kinsoku/>
        <w:wordWrap/>
        <w:overflowPunct/>
        <w:topLinePunct w:val="0"/>
        <w:autoSpaceDE/>
        <w:autoSpaceDN/>
        <w:bidi w:val="0"/>
        <w:adjustRightInd/>
        <w:snapToGrid/>
        <w:spacing w:line="360" w:lineRule="auto"/>
        <w:ind w:firstLine="561" w:firstLineChars="200"/>
        <w:textAlignment w:val="auto"/>
        <w:rPr>
          <w:rStyle w:val="6"/>
          <w:rFonts w:hint="eastAsia" w:asciiTheme="minorEastAsia" w:hAnsiTheme="minorEastAsia" w:eastAsiaTheme="minorEastAsia" w:cstheme="minorEastAsia"/>
          <w:sz w:val="28"/>
          <w:szCs w:val="28"/>
        </w:rPr>
      </w:pPr>
      <w:r>
        <w:rPr>
          <w:rStyle w:val="6"/>
          <w:rFonts w:hint="eastAsia" w:asciiTheme="minorEastAsia" w:hAnsiTheme="minorEastAsia" w:eastAsiaTheme="minorEastAsia" w:cstheme="minorEastAsia"/>
          <w:sz w:val="28"/>
          <w:szCs w:val="28"/>
        </w:rPr>
        <w:t>（二）持续办好全民终身学习活动周</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根据教育部2024年全民终身学习活动的有关部署，积极推动各地广泛开展全民终身学习活动周。</w:t>
      </w:r>
    </w:p>
    <w:p>
      <w:pPr>
        <w:keepNext w:val="0"/>
        <w:keepLines w:val="0"/>
        <w:pageBreakBefore w:val="0"/>
        <w:widowControl w:val="0"/>
        <w:kinsoku/>
        <w:wordWrap/>
        <w:overflowPunct/>
        <w:topLinePunct w:val="0"/>
        <w:autoSpaceDE/>
        <w:autoSpaceDN/>
        <w:bidi w:val="0"/>
        <w:adjustRightInd/>
        <w:snapToGrid/>
        <w:spacing w:line="360" w:lineRule="auto"/>
        <w:ind w:firstLine="561" w:firstLineChars="200"/>
        <w:textAlignment w:val="auto"/>
        <w:rPr>
          <w:rStyle w:val="6"/>
          <w:rFonts w:hint="eastAsia" w:asciiTheme="minorEastAsia" w:hAnsiTheme="minorEastAsia" w:eastAsiaTheme="minorEastAsia" w:cstheme="minorEastAsia"/>
          <w:sz w:val="28"/>
          <w:szCs w:val="28"/>
        </w:rPr>
      </w:pPr>
      <w:r>
        <w:rPr>
          <w:rStyle w:val="6"/>
          <w:rFonts w:hint="eastAsia" w:asciiTheme="minorEastAsia" w:hAnsiTheme="minorEastAsia" w:eastAsiaTheme="minorEastAsia" w:cstheme="minorEastAsia"/>
          <w:sz w:val="28"/>
          <w:szCs w:val="28"/>
        </w:rPr>
        <w:t>具体举措：</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1.开展全民阅读活动，继续组织社长总编荐书活动；</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2.开展线上线下结合的社会教育大讲堂活动，每月推出一期；</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3.开展新时代全国“百姓学习之星”宣传推介活动，在重大节日宣传历届不同主题的学习之星；</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4.做好活动周总开幕式的有关主题展示及协调工作；</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5.活动周二十年的回顾与展望宣传工作；</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6.做好百姓学习之星宣传片。</w:t>
      </w:r>
    </w:p>
    <w:p>
      <w:pPr>
        <w:keepNext w:val="0"/>
        <w:keepLines w:val="0"/>
        <w:pageBreakBefore w:val="0"/>
        <w:widowControl w:val="0"/>
        <w:kinsoku/>
        <w:wordWrap/>
        <w:overflowPunct/>
        <w:topLinePunct w:val="0"/>
        <w:autoSpaceDE/>
        <w:autoSpaceDN/>
        <w:bidi w:val="0"/>
        <w:adjustRightInd/>
        <w:snapToGrid/>
        <w:spacing w:line="360" w:lineRule="auto"/>
        <w:ind w:firstLine="561" w:firstLineChars="200"/>
        <w:textAlignment w:val="auto"/>
        <w:rPr>
          <w:rStyle w:val="6"/>
          <w:rFonts w:hint="eastAsia" w:asciiTheme="minorEastAsia" w:hAnsiTheme="minorEastAsia" w:eastAsiaTheme="minorEastAsia" w:cstheme="minorEastAsia"/>
          <w:sz w:val="28"/>
          <w:szCs w:val="28"/>
        </w:rPr>
      </w:pPr>
      <w:r>
        <w:rPr>
          <w:rStyle w:val="6"/>
          <w:rFonts w:hint="eastAsia" w:asciiTheme="minorEastAsia" w:hAnsiTheme="minorEastAsia" w:eastAsiaTheme="minorEastAsia" w:cstheme="minorEastAsia"/>
          <w:sz w:val="28"/>
          <w:szCs w:val="28"/>
        </w:rPr>
        <w:t>（三）助力县域社区学习中心建设</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以全国社区教育实验区示范区、农村职业教育和成人教育示范县建设与监测为工作为抓手，助力县域社区学习中心建设。</w:t>
      </w:r>
    </w:p>
    <w:p>
      <w:pPr>
        <w:keepNext w:val="0"/>
        <w:keepLines w:val="0"/>
        <w:pageBreakBefore w:val="0"/>
        <w:widowControl w:val="0"/>
        <w:kinsoku/>
        <w:wordWrap/>
        <w:overflowPunct/>
        <w:topLinePunct w:val="0"/>
        <w:autoSpaceDE/>
        <w:autoSpaceDN/>
        <w:bidi w:val="0"/>
        <w:adjustRightInd/>
        <w:snapToGrid/>
        <w:spacing w:line="360" w:lineRule="auto"/>
        <w:ind w:firstLine="561" w:firstLineChars="200"/>
        <w:textAlignment w:val="auto"/>
        <w:rPr>
          <w:rStyle w:val="6"/>
          <w:rFonts w:hint="eastAsia" w:asciiTheme="minorEastAsia" w:hAnsiTheme="minorEastAsia" w:eastAsiaTheme="minorEastAsia" w:cstheme="minorEastAsia"/>
          <w:sz w:val="28"/>
          <w:szCs w:val="28"/>
        </w:rPr>
      </w:pPr>
      <w:r>
        <w:rPr>
          <w:rStyle w:val="6"/>
          <w:rFonts w:hint="eastAsia" w:asciiTheme="minorEastAsia" w:hAnsiTheme="minorEastAsia" w:eastAsiaTheme="minorEastAsia" w:cstheme="minorEastAsia"/>
          <w:sz w:val="28"/>
          <w:szCs w:val="28"/>
        </w:rPr>
        <w:t>具体举措：</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1.正式出版《社区教育案例百选》；</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2.征集出版《职成教育助力乡村振兴案例百选》；</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3.组织开展县域社区学习中心建设培训；</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4.开展“百校千企万人 助力乡村振兴”活动。</w:t>
      </w:r>
    </w:p>
    <w:p>
      <w:pPr>
        <w:keepNext w:val="0"/>
        <w:keepLines w:val="0"/>
        <w:pageBreakBefore w:val="0"/>
        <w:widowControl w:val="0"/>
        <w:kinsoku/>
        <w:wordWrap/>
        <w:overflowPunct/>
        <w:topLinePunct w:val="0"/>
        <w:autoSpaceDE/>
        <w:autoSpaceDN/>
        <w:bidi w:val="0"/>
        <w:adjustRightInd/>
        <w:snapToGrid/>
        <w:spacing w:line="360" w:lineRule="auto"/>
        <w:ind w:firstLine="561" w:firstLineChars="200"/>
        <w:textAlignment w:val="auto"/>
        <w:rPr>
          <w:rStyle w:val="6"/>
          <w:rFonts w:hint="eastAsia" w:asciiTheme="minorEastAsia" w:hAnsiTheme="minorEastAsia" w:eastAsiaTheme="minorEastAsia" w:cstheme="minorEastAsia"/>
          <w:sz w:val="28"/>
          <w:szCs w:val="28"/>
        </w:rPr>
      </w:pPr>
      <w:r>
        <w:rPr>
          <w:rStyle w:val="6"/>
          <w:rFonts w:hint="eastAsia" w:asciiTheme="minorEastAsia" w:hAnsiTheme="minorEastAsia" w:eastAsiaTheme="minorEastAsia" w:cstheme="minorEastAsia"/>
          <w:sz w:val="28"/>
          <w:szCs w:val="28"/>
        </w:rPr>
        <w:t>（四）加强平台建设服务三教统筹</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以“智慧继教”平台建设、“继续教育发展共同体”和高等学校学历继续教育高质量发展研讨会等交流平台为抓手，在学历继续教育教学改革创新、推进非学历教育改革创新、探索三教统筹协同创新路径有所作为。同时，依托全民终身学习公共服务平台，开展优质学习资源建设。</w:t>
      </w:r>
    </w:p>
    <w:p>
      <w:pPr>
        <w:keepNext w:val="0"/>
        <w:keepLines w:val="0"/>
        <w:pageBreakBefore w:val="0"/>
        <w:widowControl w:val="0"/>
        <w:kinsoku/>
        <w:wordWrap/>
        <w:overflowPunct/>
        <w:topLinePunct w:val="0"/>
        <w:autoSpaceDE/>
        <w:autoSpaceDN/>
        <w:bidi w:val="0"/>
        <w:adjustRightInd/>
        <w:snapToGrid/>
        <w:spacing w:line="360" w:lineRule="auto"/>
        <w:ind w:firstLine="589" w:firstLineChars="200"/>
        <w:textAlignment w:val="auto"/>
        <w:rPr>
          <w:rStyle w:val="6"/>
          <w:rFonts w:hint="eastAsia" w:asciiTheme="minorEastAsia" w:hAnsiTheme="minorEastAsia" w:eastAsiaTheme="minorEastAsia" w:cstheme="minorEastAsia"/>
          <w:spacing w:val="7"/>
          <w:sz w:val="28"/>
          <w:szCs w:val="28"/>
        </w:rPr>
      </w:pPr>
      <w:r>
        <w:rPr>
          <w:rStyle w:val="6"/>
          <w:rFonts w:hint="eastAsia" w:asciiTheme="minorEastAsia" w:hAnsiTheme="minorEastAsia" w:eastAsiaTheme="minorEastAsia" w:cstheme="minorEastAsia"/>
          <w:spacing w:val="7"/>
          <w:sz w:val="28"/>
          <w:szCs w:val="28"/>
        </w:rPr>
        <w:t>具体举措：</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1.联合高等教育出版社建设“智慧继教”平台；</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2.开展“继续教育发展共同体”项目；</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3.组织开展“三教统筹”高质量发展研讨会；</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4.推出一批以职继教育数字化建设为主题的品牌活动和周期性、品牌化、精品化的职继数字化建设培训项目。</w:t>
      </w:r>
    </w:p>
    <w:p>
      <w:pPr>
        <w:keepNext w:val="0"/>
        <w:keepLines w:val="0"/>
        <w:pageBreakBefore w:val="0"/>
        <w:widowControl w:val="0"/>
        <w:kinsoku/>
        <w:wordWrap/>
        <w:overflowPunct/>
        <w:topLinePunct w:val="0"/>
        <w:autoSpaceDE/>
        <w:autoSpaceDN/>
        <w:bidi w:val="0"/>
        <w:adjustRightInd/>
        <w:snapToGrid/>
        <w:spacing w:line="360" w:lineRule="auto"/>
        <w:ind w:firstLine="561" w:firstLineChars="200"/>
        <w:textAlignment w:val="auto"/>
        <w:rPr>
          <w:rStyle w:val="6"/>
          <w:rFonts w:hint="eastAsia" w:asciiTheme="minorEastAsia" w:hAnsiTheme="minorEastAsia" w:eastAsiaTheme="minorEastAsia" w:cstheme="minorEastAsia"/>
          <w:sz w:val="28"/>
          <w:szCs w:val="28"/>
        </w:rPr>
      </w:pPr>
      <w:r>
        <w:rPr>
          <w:rStyle w:val="6"/>
          <w:rFonts w:hint="eastAsia" w:asciiTheme="minorEastAsia" w:hAnsiTheme="minorEastAsia" w:eastAsiaTheme="minorEastAsia" w:cstheme="minorEastAsia"/>
          <w:sz w:val="28"/>
          <w:szCs w:val="28"/>
        </w:rPr>
        <w:t>（五）创新发展老年教育和服务</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继续围绕积极应对人口老龄化国家战略，稳妥有序开展各项工作，不断推进我国养老事业高质量发展。</w:t>
      </w:r>
    </w:p>
    <w:p>
      <w:pPr>
        <w:keepNext w:val="0"/>
        <w:keepLines w:val="0"/>
        <w:pageBreakBefore w:val="0"/>
        <w:widowControl w:val="0"/>
        <w:kinsoku/>
        <w:wordWrap/>
        <w:overflowPunct/>
        <w:topLinePunct w:val="0"/>
        <w:autoSpaceDE/>
        <w:autoSpaceDN/>
        <w:bidi w:val="0"/>
        <w:adjustRightInd/>
        <w:snapToGrid/>
        <w:spacing w:line="360" w:lineRule="auto"/>
        <w:ind w:firstLine="561" w:firstLineChars="200"/>
        <w:textAlignment w:val="auto"/>
        <w:rPr>
          <w:rStyle w:val="6"/>
          <w:rFonts w:hint="eastAsia" w:asciiTheme="minorEastAsia" w:hAnsiTheme="minorEastAsia" w:eastAsiaTheme="minorEastAsia" w:cstheme="minorEastAsia"/>
          <w:sz w:val="28"/>
          <w:szCs w:val="28"/>
        </w:rPr>
      </w:pPr>
      <w:r>
        <w:rPr>
          <w:rStyle w:val="6"/>
          <w:rFonts w:hint="eastAsia" w:asciiTheme="minorEastAsia" w:hAnsiTheme="minorEastAsia" w:eastAsiaTheme="minorEastAsia" w:cstheme="minorEastAsia"/>
          <w:sz w:val="28"/>
          <w:szCs w:val="28"/>
        </w:rPr>
        <w:t>具体举措：</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1.举办银发经济与康养人才培养系列主题活动；</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2.召开养老管理与服务专业课程教材建设学术交流会，探索举办双定向养老护理员培训项目；</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3.将服务老龄化社会与助力乡村振兴相结合，创新推动巩固拓展脱贫攻坚成果；</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4.搭建养老理论和政策研究交流平台，积极推广老龄化社会需求趋势和康养服务创新经验。</w:t>
      </w:r>
    </w:p>
    <w:p>
      <w:pPr>
        <w:keepNext w:val="0"/>
        <w:keepLines w:val="0"/>
        <w:pageBreakBefore w:val="0"/>
        <w:widowControl w:val="0"/>
        <w:kinsoku/>
        <w:wordWrap/>
        <w:overflowPunct/>
        <w:topLinePunct w:val="0"/>
        <w:autoSpaceDE/>
        <w:autoSpaceDN/>
        <w:bidi w:val="0"/>
        <w:adjustRightInd/>
        <w:snapToGrid/>
        <w:spacing w:line="360" w:lineRule="auto"/>
        <w:ind w:firstLine="561" w:firstLineChars="200"/>
        <w:textAlignment w:val="auto"/>
        <w:rPr>
          <w:rStyle w:val="6"/>
          <w:rFonts w:hint="eastAsia" w:asciiTheme="minorEastAsia" w:hAnsiTheme="minorEastAsia" w:eastAsiaTheme="minorEastAsia" w:cstheme="minorEastAsia"/>
          <w:sz w:val="28"/>
          <w:szCs w:val="28"/>
        </w:rPr>
      </w:pPr>
      <w:r>
        <w:rPr>
          <w:rStyle w:val="6"/>
          <w:rFonts w:hint="eastAsia" w:asciiTheme="minorEastAsia" w:hAnsiTheme="minorEastAsia" w:eastAsiaTheme="minorEastAsia" w:cstheme="minorEastAsia"/>
          <w:sz w:val="28"/>
          <w:szCs w:val="28"/>
        </w:rPr>
        <w:t>（六）推进城市和农村社区学习中心（CLC）能力建设项目</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进一步做好由中国联合国教科文组织全国委员会秘书处和联合国教科文组织驻华代表处立项的城市社区学习中心（CLC）能力建设项目。开展农村社区学习中心（CLC）项目培训。</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1.做好城市CLC第二期子项目的中期检查评估工作；</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2.编写城市CLC能力建设项目发展报告,启动《中国城市CLC探索与实践》一书的编写工作；</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3.继续开展城市CLC项目各实验点的能力提升培训和研修活动，开好2024年项目专家扩大会和项目推进会以及南京国际会议；</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4.组织开展城市CLC项目全实验点的调研，加强交流；</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5.密切结合农业农村生产生活的实用性成人教育短期培训课程和典型实践经验，推广到农村社区学习中心（CLC）项目试点开展培训；</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6.针对试点县区农村社区学习中心开展现状调研，丰富农村CLC建设的理论和实践。</w:t>
      </w:r>
    </w:p>
    <w:p>
      <w:pPr>
        <w:keepNext w:val="0"/>
        <w:keepLines w:val="0"/>
        <w:pageBreakBefore w:val="0"/>
        <w:widowControl w:val="0"/>
        <w:kinsoku/>
        <w:wordWrap/>
        <w:overflowPunct/>
        <w:topLinePunct w:val="0"/>
        <w:autoSpaceDE/>
        <w:autoSpaceDN/>
        <w:bidi w:val="0"/>
        <w:adjustRightInd/>
        <w:snapToGrid/>
        <w:spacing w:line="360" w:lineRule="auto"/>
        <w:ind w:firstLine="561" w:firstLineChars="200"/>
        <w:textAlignment w:val="auto"/>
        <w:rPr>
          <w:rStyle w:val="6"/>
          <w:rFonts w:hint="eastAsia" w:asciiTheme="minorEastAsia" w:hAnsiTheme="minorEastAsia" w:eastAsiaTheme="minorEastAsia" w:cstheme="minorEastAsia"/>
          <w:sz w:val="28"/>
          <w:szCs w:val="28"/>
        </w:rPr>
      </w:pPr>
      <w:r>
        <w:rPr>
          <w:rStyle w:val="6"/>
          <w:rFonts w:hint="eastAsia" w:asciiTheme="minorEastAsia" w:hAnsiTheme="minorEastAsia" w:eastAsiaTheme="minorEastAsia" w:cstheme="minorEastAsia"/>
          <w:sz w:val="28"/>
          <w:szCs w:val="28"/>
        </w:rPr>
        <w:t>三、积极推进数字化赋能学习型社会建设</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数字化成为我国开辟教育发展新赛道和塑造教育发展新优势的重要突破口，为构建学习型社会、学习型大国带来了新机遇，人人皆学、处处能学、时时可学已成为可能。协会要通过宣传推介“终身学习品牌项目”，大力推广在线学习。按照“搭建全天候的数字化学习平台、全场域的数字化学习空间、全覆盖的数字教育共同体”的目标要求，推介优质在线课程资源，让更多有心人、有志者能够随时随地参与学习教育。打造数字继续教育的中国方案，切实以数字化推动新时代继续教育高质量发展、助力继续教育强国建设。</w:t>
      </w:r>
    </w:p>
    <w:p>
      <w:pPr>
        <w:keepNext w:val="0"/>
        <w:keepLines w:val="0"/>
        <w:pageBreakBefore w:val="0"/>
        <w:widowControl w:val="0"/>
        <w:kinsoku/>
        <w:wordWrap/>
        <w:overflowPunct/>
        <w:topLinePunct w:val="0"/>
        <w:autoSpaceDE/>
        <w:autoSpaceDN/>
        <w:bidi w:val="0"/>
        <w:adjustRightInd/>
        <w:snapToGrid/>
        <w:spacing w:line="360" w:lineRule="auto"/>
        <w:ind w:firstLine="561" w:firstLineChars="200"/>
        <w:textAlignment w:val="auto"/>
        <w:rPr>
          <w:rStyle w:val="6"/>
          <w:rFonts w:hint="eastAsia" w:asciiTheme="minorEastAsia" w:hAnsiTheme="minorEastAsia" w:eastAsiaTheme="minorEastAsia" w:cstheme="minorEastAsia"/>
          <w:sz w:val="28"/>
          <w:szCs w:val="28"/>
        </w:rPr>
      </w:pPr>
      <w:r>
        <w:rPr>
          <w:rStyle w:val="6"/>
          <w:rFonts w:hint="eastAsia" w:asciiTheme="minorEastAsia" w:hAnsiTheme="minorEastAsia" w:eastAsiaTheme="minorEastAsia" w:cstheme="minorEastAsia"/>
          <w:sz w:val="28"/>
          <w:szCs w:val="28"/>
        </w:rPr>
        <w:t>具体举措：</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1.探索“数字赋能”“信息素养”为主题的相关学术交流、专项课题、平台建设、培训项目等；</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2.持续探索“数字化终身学习平台”宣传推介工作；</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3.加大对数字赋能全民终身学习品牌项目在新时代“终身学习品牌项目”中的宣传推介力度；</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4.结合创新与智慧教育数字化内容举办全民终身学习巡展系列活动；</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5.推动各分支机构积极开展教育数字化活动</w:t>
      </w:r>
      <w:r>
        <w:rPr>
          <w:rFonts w:hint="eastAsia" w:asciiTheme="minorEastAsia" w:hAnsiTheme="minorEastAsia" w:cstheme="minorEastAsia"/>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1" w:firstLineChars="200"/>
        <w:textAlignment w:val="auto"/>
        <w:rPr>
          <w:rStyle w:val="6"/>
          <w:rFonts w:hint="eastAsia" w:asciiTheme="minorEastAsia" w:hAnsiTheme="minorEastAsia" w:eastAsiaTheme="minorEastAsia" w:cstheme="minorEastAsia"/>
          <w:sz w:val="28"/>
          <w:szCs w:val="28"/>
        </w:rPr>
      </w:pPr>
      <w:r>
        <w:rPr>
          <w:rStyle w:val="6"/>
          <w:rFonts w:hint="eastAsia" w:asciiTheme="minorEastAsia" w:hAnsiTheme="minorEastAsia" w:eastAsiaTheme="minorEastAsia" w:cstheme="minorEastAsia"/>
          <w:sz w:val="28"/>
          <w:szCs w:val="28"/>
        </w:rPr>
        <w:t>四、做好延期换届工作</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协会延期换届工作。</w:t>
      </w:r>
    </w:p>
    <w:p>
      <w:pPr>
        <w:keepNext w:val="0"/>
        <w:keepLines w:val="0"/>
        <w:pageBreakBefore w:val="0"/>
        <w:widowControl w:val="0"/>
        <w:kinsoku/>
        <w:wordWrap/>
        <w:overflowPunct/>
        <w:topLinePunct w:val="0"/>
        <w:autoSpaceDE/>
        <w:autoSpaceDN/>
        <w:bidi w:val="0"/>
        <w:adjustRightInd/>
        <w:snapToGrid/>
        <w:spacing w:line="360" w:lineRule="auto"/>
        <w:ind w:firstLine="561" w:firstLineChars="200"/>
        <w:textAlignment w:val="auto"/>
        <w:rPr>
          <w:rStyle w:val="6"/>
          <w:rFonts w:hint="eastAsia" w:asciiTheme="minorEastAsia" w:hAnsiTheme="minorEastAsia" w:eastAsiaTheme="minorEastAsia" w:cstheme="minorEastAsia"/>
          <w:sz w:val="28"/>
          <w:szCs w:val="28"/>
        </w:rPr>
      </w:pPr>
      <w:r>
        <w:rPr>
          <w:rStyle w:val="6"/>
          <w:rFonts w:hint="eastAsia" w:asciiTheme="minorEastAsia" w:hAnsiTheme="minorEastAsia" w:eastAsiaTheme="minorEastAsia" w:cstheme="minorEastAsia"/>
          <w:sz w:val="28"/>
          <w:szCs w:val="28"/>
        </w:rPr>
        <w:t>具体举措：</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1.做好与教育部、民政部相关单位的沟通工作；</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2.完成延期换届的决策程序（会长办公会议决议、理事大会决议）；</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3.取得教育部、民政部延期换届的批复。</w:t>
      </w:r>
    </w:p>
    <w:p>
      <w:pPr>
        <w:keepNext w:val="0"/>
        <w:keepLines w:val="0"/>
        <w:pageBreakBefore w:val="0"/>
        <w:widowControl w:val="0"/>
        <w:kinsoku/>
        <w:wordWrap/>
        <w:overflowPunct/>
        <w:topLinePunct w:val="0"/>
        <w:autoSpaceDE/>
        <w:autoSpaceDN/>
        <w:bidi w:val="0"/>
        <w:adjustRightInd/>
        <w:snapToGrid/>
        <w:spacing w:line="360" w:lineRule="auto"/>
        <w:ind w:firstLine="561" w:firstLineChars="200"/>
        <w:textAlignment w:val="auto"/>
        <w:rPr>
          <w:rStyle w:val="6"/>
          <w:rFonts w:hint="eastAsia" w:asciiTheme="minorEastAsia" w:hAnsiTheme="minorEastAsia" w:eastAsiaTheme="minorEastAsia" w:cstheme="minorEastAsia"/>
          <w:sz w:val="28"/>
          <w:szCs w:val="28"/>
        </w:rPr>
      </w:pPr>
      <w:r>
        <w:rPr>
          <w:rStyle w:val="6"/>
          <w:rFonts w:hint="eastAsia" w:asciiTheme="minorEastAsia" w:hAnsiTheme="minorEastAsia" w:eastAsiaTheme="minorEastAsia" w:cstheme="minorEastAsia"/>
          <w:sz w:val="28"/>
          <w:szCs w:val="28"/>
        </w:rPr>
        <w:t>五、强化学术引领</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发挥中国成人教育协会在成人教育学术科研方面的引领作用，搭建成人继续教育领域的学术交流平台，推动成人继续教育创新发展。</w:t>
      </w:r>
    </w:p>
    <w:p>
      <w:pPr>
        <w:keepNext w:val="0"/>
        <w:keepLines w:val="0"/>
        <w:pageBreakBefore w:val="0"/>
        <w:widowControl w:val="0"/>
        <w:kinsoku/>
        <w:wordWrap/>
        <w:overflowPunct/>
        <w:topLinePunct w:val="0"/>
        <w:autoSpaceDE/>
        <w:autoSpaceDN/>
        <w:bidi w:val="0"/>
        <w:adjustRightInd/>
        <w:snapToGrid/>
        <w:spacing w:line="360" w:lineRule="auto"/>
        <w:ind w:firstLine="561" w:firstLineChars="200"/>
        <w:textAlignment w:val="auto"/>
        <w:rPr>
          <w:rStyle w:val="6"/>
          <w:rFonts w:hint="eastAsia" w:asciiTheme="minorEastAsia" w:hAnsiTheme="minorEastAsia" w:eastAsiaTheme="minorEastAsia" w:cstheme="minorEastAsia"/>
          <w:sz w:val="28"/>
          <w:szCs w:val="28"/>
        </w:rPr>
      </w:pPr>
      <w:r>
        <w:rPr>
          <w:rStyle w:val="6"/>
          <w:rFonts w:hint="eastAsia" w:asciiTheme="minorEastAsia" w:hAnsiTheme="minorEastAsia" w:eastAsiaTheme="minorEastAsia" w:cstheme="minorEastAsia"/>
          <w:sz w:val="28"/>
          <w:szCs w:val="28"/>
        </w:rPr>
        <w:t>具体举措：</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1.开好2024年中国成人教育协会学术年会；</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2.与南京大学、江苏省成协共同举办好“2024终身学习赋能城市可持续发展国际研讨会”；</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3.1-2次学术委员会全体会议；</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4.加强“十四五”科研规划课题的立项、过程指导、管理及结题鉴定工作；</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5.做好终身教育项目研究基地研究课题的立项指导和服务工作；</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6.积极开展多种形式的科研合作，培育学术科研骨干和团队，推进成人教育理论研究运用于实践；</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7.与科研机构、高校、职业院校、社区学院（老年大学）加强联系与学术互动，拓展资源，建立机制，提升服务功能；</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8.加强科研成果的推广和转化，支持、协助出版优秀论文、案例和研究报告；</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9.推动各分支机构积极开展本领域内的课题研究。</w:t>
      </w:r>
    </w:p>
    <w:p>
      <w:pPr>
        <w:keepNext w:val="0"/>
        <w:keepLines w:val="0"/>
        <w:pageBreakBefore w:val="0"/>
        <w:widowControl w:val="0"/>
        <w:kinsoku/>
        <w:wordWrap/>
        <w:overflowPunct/>
        <w:topLinePunct w:val="0"/>
        <w:autoSpaceDE/>
        <w:autoSpaceDN/>
        <w:bidi w:val="0"/>
        <w:adjustRightInd/>
        <w:snapToGrid/>
        <w:spacing w:line="360" w:lineRule="auto"/>
        <w:ind w:firstLine="561" w:firstLineChars="200"/>
        <w:textAlignment w:val="auto"/>
        <w:rPr>
          <w:rStyle w:val="6"/>
          <w:rFonts w:hint="eastAsia" w:asciiTheme="minorEastAsia" w:hAnsiTheme="minorEastAsia" w:eastAsiaTheme="minorEastAsia" w:cstheme="minorEastAsia"/>
          <w:sz w:val="28"/>
          <w:szCs w:val="28"/>
        </w:rPr>
      </w:pPr>
      <w:r>
        <w:rPr>
          <w:rStyle w:val="6"/>
          <w:rFonts w:hint="eastAsia" w:asciiTheme="minorEastAsia" w:hAnsiTheme="minorEastAsia" w:eastAsiaTheme="minorEastAsia" w:cstheme="minorEastAsia"/>
          <w:sz w:val="28"/>
          <w:szCs w:val="28"/>
        </w:rPr>
        <w:t>六、协助做好教育帮扶工作</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充分发挥全国性社会团体自身优势，组织会员单位和各分支机构创新帮扶举措，加强组织落实，提高帮扶实效，配合教育部职成司做好西藏萨嘎县、甘肃积石山县、临潭县和舟曲县教育帮扶工作。</w:t>
      </w:r>
    </w:p>
    <w:p>
      <w:pPr>
        <w:keepNext w:val="0"/>
        <w:keepLines w:val="0"/>
        <w:pageBreakBefore w:val="0"/>
        <w:widowControl w:val="0"/>
        <w:kinsoku/>
        <w:wordWrap/>
        <w:overflowPunct/>
        <w:topLinePunct w:val="0"/>
        <w:autoSpaceDE/>
        <w:autoSpaceDN/>
        <w:bidi w:val="0"/>
        <w:adjustRightInd/>
        <w:snapToGrid/>
        <w:spacing w:line="360" w:lineRule="auto"/>
        <w:ind w:firstLine="561" w:firstLineChars="200"/>
        <w:textAlignment w:val="auto"/>
        <w:rPr>
          <w:rStyle w:val="6"/>
          <w:rFonts w:hint="eastAsia" w:asciiTheme="minorEastAsia" w:hAnsiTheme="minorEastAsia" w:eastAsiaTheme="minorEastAsia" w:cstheme="minorEastAsia"/>
          <w:sz w:val="28"/>
          <w:szCs w:val="28"/>
        </w:rPr>
      </w:pPr>
      <w:r>
        <w:rPr>
          <w:rStyle w:val="6"/>
          <w:rFonts w:hint="eastAsia" w:asciiTheme="minorEastAsia" w:hAnsiTheme="minorEastAsia" w:eastAsiaTheme="minorEastAsia" w:cstheme="minorEastAsia"/>
          <w:sz w:val="28"/>
          <w:szCs w:val="28"/>
        </w:rPr>
        <w:t>具体举措：</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1.组织有关出版社提供一批优质图书，丰富帮扶县中小学、幼儿园学生阅读资源，助力打造书香校园；</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2.提供一批教师继续教育数字化课程资源，支持帮扶县教师提高素质能力；</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3.支持帮扶县教师参加相关继续教育培训班，助力教师素质提高；</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同时助力国家乡村振兴和社区教育信息化工作，针对欠发达地区农村、基层社区教育机构优质课程资源匮乏，基础设施不足、网络受限，优质学习资源输送困难等问题，实施“智富云课堂”进乡村项目、面向基层社区教育机构的“社区云课堂”和“社区学习驿站”项目。</w:t>
      </w:r>
    </w:p>
    <w:p>
      <w:pPr>
        <w:keepNext w:val="0"/>
        <w:keepLines w:val="0"/>
        <w:pageBreakBefore w:val="0"/>
        <w:widowControl w:val="0"/>
        <w:kinsoku/>
        <w:wordWrap/>
        <w:overflowPunct/>
        <w:topLinePunct w:val="0"/>
        <w:autoSpaceDE/>
        <w:autoSpaceDN/>
        <w:bidi w:val="0"/>
        <w:adjustRightInd/>
        <w:snapToGrid/>
        <w:spacing w:line="360" w:lineRule="auto"/>
        <w:ind w:firstLine="561" w:firstLineChars="200"/>
        <w:textAlignment w:val="auto"/>
        <w:rPr>
          <w:rStyle w:val="6"/>
          <w:rFonts w:hint="eastAsia" w:asciiTheme="minorEastAsia" w:hAnsiTheme="minorEastAsia" w:eastAsiaTheme="minorEastAsia" w:cstheme="minorEastAsia"/>
          <w:sz w:val="28"/>
          <w:szCs w:val="28"/>
        </w:rPr>
      </w:pPr>
      <w:r>
        <w:rPr>
          <w:rStyle w:val="6"/>
          <w:rFonts w:hint="eastAsia" w:asciiTheme="minorEastAsia" w:hAnsiTheme="minorEastAsia" w:eastAsiaTheme="minorEastAsia" w:cstheme="minorEastAsia"/>
          <w:sz w:val="28"/>
          <w:szCs w:val="28"/>
        </w:rPr>
        <w:t>七、推进成人继续教育培训工作</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依托各分支机构专业优势，积极推进继续教育重点人群的教育培训，推出一系列高质量、高水平、高标准的各类优质培训项目，形成一批有影响力的培训品牌。</w:t>
      </w:r>
    </w:p>
    <w:p>
      <w:pPr>
        <w:keepNext w:val="0"/>
        <w:keepLines w:val="0"/>
        <w:pageBreakBefore w:val="0"/>
        <w:widowControl w:val="0"/>
        <w:kinsoku/>
        <w:wordWrap/>
        <w:overflowPunct/>
        <w:topLinePunct w:val="0"/>
        <w:autoSpaceDE/>
        <w:autoSpaceDN/>
        <w:bidi w:val="0"/>
        <w:adjustRightInd/>
        <w:snapToGrid/>
        <w:spacing w:line="360" w:lineRule="auto"/>
        <w:ind w:firstLine="561" w:firstLineChars="200"/>
        <w:textAlignment w:val="auto"/>
        <w:rPr>
          <w:rStyle w:val="6"/>
          <w:rFonts w:hint="eastAsia" w:asciiTheme="minorEastAsia" w:hAnsiTheme="minorEastAsia" w:eastAsiaTheme="minorEastAsia" w:cstheme="minorEastAsia"/>
          <w:sz w:val="28"/>
          <w:szCs w:val="28"/>
        </w:rPr>
      </w:pPr>
      <w:r>
        <w:rPr>
          <w:rStyle w:val="6"/>
          <w:rFonts w:hint="eastAsia" w:asciiTheme="minorEastAsia" w:hAnsiTheme="minorEastAsia" w:eastAsiaTheme="minorEastAsia" w:cstheme="minorEastAsia"/>
          <w:sz w:val="28"/>
          <w:szCs w:val="28"/>
        </w:rPr>
        <w:t>具体举措：</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1.鼓励各分支机构发挥专业特长，组织开展社区居民、老年人和职业院校教师、继续教育学院教师等学习服务和教育培训，设计符合其实际需求的课程和培训项目，提供多样化的学习方式；</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2.开展社区教育工作者的针对性培训；</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3.推动各分支机构积极开展本领域内的专业培训；</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4.鼓励各会员单位积极与协会联合开展各类培训和会议。</w:t>
      </w:r>
    </w:p>
    <w:p>
      <w:pPr>
        <w:keepNext w:val="0"/>
        <w:keepLines w:val="0"/>
        <w:pageBreakBefore w:val="0"/>
        <w:widowControl w:val="0"/>
        <w:kinsoku/>
        <w:wordWrap/>
        <w:overflowPunct/>
        <w:topLinePunct w:val="0"/>
        <w:autoSpaceDE/>
        <w:autoSpaceDN/>
        <w:bidi w:val="0"/>
        <w:adjustRightInd/>
        <w:snapToGrid/>
        <w:spacing w:line="360" w:lineRule="auto"/>
        <w:ind w:firstLine="561" w:firstLineChars="200"/>
        <w:textAlignment w:val="auto"/>
        <w:rPr>
          <w:rStyle w:val="6"/>
          <w:rFonts w:hint="eastAsia" w:asciiTheme="minorEastAsia" w:hAnsiTheme="minorEastAsia" w:eastAsiaTheme="minorEastAsia" w:cstheme="minorEastAsia"/>
          <w:sz w:val="28"/>
          <w:szCs w:val="28"/>
        </w:rPr>
      </w:pPr>
      <w:r>
        <w:rPr>
          <w:rStyle w:val="6"/>
          <w:rFonts w:hint="eastAsia" w:asciiTheme="minorEastAsia" w:hAnsiTheme="minorEastAsia" w:eastAsiaTheme="minorEastAsia" w:cstheme="minorEastAsia"/>
          <w:sz w:val="28"/>
          <w:szCs w:val="28"/>
        </w:rPr>
        <w:t>八、做好服务工作</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协会将不断提升自身服务能力，优化服务流程，提高服务质量，为会员单位和广大成人学习者提供更加优质、高效的服务。</w:t>
      </w:r>
    </w:p>
    <w:p>
      <w:pPr>
        <w:keepNext w:val="0"/>
        <w:keepLines w:val="0"/>
        <w:pageBreakBefore w:val="0"/>
        <w:widowControl w:val="0"/>
        <w:kinsoku/>
        <w:wordWrap/>
        <w:overflowPunct/>
        <w:topLinePunct w:val="0"/>
        <w:autoSpaceDE/>
        <w:autoSpaceDN/>
        <w:bidi w:val="0"/>
        <w:adjustRightInd/>
        <w:snapToGrid/>
        <w:spacing w:line="360" w:lineRule="auto"/>
        <w:ind w:firstLine="561" w:firstLineChars="200"/>
        <w:textAlignment w:val="auto"/>
        <w:rPr>
          <w:rStyle w:val="6"/>
          <w:rFonts w:hint="eastAsia" w:asciiTheme="minorEastAsia" w:hAnsiTheme="minorEastAsia" w:eastAsiaTheme="minorEastAsia" w:cstheme="minorEastAsia"/>
          <w:sz w:val="28"/>
          <w:szCs w:val="28"/>
        </w:rPr>
      </w:pPr>
      <w:r>
        <w:rPr>
          <w:rStyle w:val="6"/>
          <w:rFonts w:hint="eastAsia" w:asciiTheme="minorEastAsia" w:hAnsiTheme="minorEastAsia" w:eastAsiaTheme="minorEastAsia" w:cstheme="minorEastAsia"/>
          <w:sz w:val="28"/>
          <w:szCs w:val="28"/>
        </w:rPr>
        <w:t>具体举措：</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1.搭建全国各省级学分银行、市级学分银行、教育行政部门、院校等会员间的学习交流合作平台，积极探索跨区域学分认定转换标准体系的应用与推广；</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2.继续推进“职业院校服务全民终身学习项目”“区域终身学习发展共同体项目” “家校社协同育人实验基地项目”；</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3.开展家庭教育、科技科普教育、教师继续教育、非遗文化传承、职继数字化建设、文化创意教育等视频课程资源共建共享活动；</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4.开展老年教育、成人外语、教师继续教育等各类课题研究；</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5.征集出版“职业院校服务全民终身学习典型案例”“新时代家庭教育工作案例”“工程技术专业教育的案例”等；</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6.坚决贯彻习惯过紧日子的要求，压实责任，不断完善制度措施，让过紧日子成为协会各种活动自觉遵循的原则，形成长期过紧日子的良好氛围。</w:t>
      </w:r>
    </w:p>
    <w:p>
      <w:pPr>
        <w:keepNext w:val="0"/>
        <w:keepLines w:val="0"/>
        <w:pageBreakBefore w:val="0"/>
        <w:widowControl w:val="0"/>
        <w:kinsoku/>
        <w:wordWrap/>
        <w:overflowPunct/>
        <w:topLinePunct w:val="0"/>
        <w:autoSpaceDE/>
        <w:autoSpaceDN/>
        <w:bidi w:val="0"/>
        <w:adjustRightInd/>
        <w:snapToGrid/>
        <w:spacing w:line="360" w:lineRule="auto"/>
        <w:ind w:firstLine="561" w:firstLineChars="200"/>
        <w:textAlignment w:val="auto"/>
        <w:rPr>
          <w:rStyle w:val="6"/>
          <w:rFonts w:hint="eastAsia" w:asciiTheme="minorEastAsia" w:hAnsiTheme="minorEastAsia" w:eastAsiaTheme="minorEastAsia" w:cstheme="minorEastAsia"/>
          <w:sz w:val="28"/>
          <w:szCs w:val="28"/>
        </w:rPr>
      </w:pPr>
      <w:r>
        <w:rPr>
          <w:rStyle w:val="6"/>
          <w:rFonts w:hint="eastAsia" w:asciiTheme="minorEastAsia" w:hAnsiTheme="minorEastAsia" w:eastAsiaTheme="minorEastAsia" w:cstheme="minorEastAsia"/>
          <w:sz w:val="28"/>
          <w:szCs w:val="28"/>
        </w:rPr>
        <w:t>九、加强宣传工作</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加强与地方教育部门、成人教育协会、会员单位的联系，广泛宣传推广成人继续教育工作。</w:t>
      </w:r>
    </w:p>
    <w:p>
      <w:pPr>
        <w:keepNext w:val="0"/>
        <w:keepLines w:val="0"/>
        <w:pageBreakBefore w:val="0"/>
        <w:widowControl w:val="0"/>
        <w:kinsoku/>
        <w:wordWrap/>
        <w:overflowPunct/>
        <w:topLinePunct w:val="0"/>
        <w:autoSpaceDE/>
        <w:autoSpaceDN/>
        <w:bidi w:val="0"/>
        <w:adjustRightInd/>
        <w:snapToGrid/>
        <w:spacing w:line="360" w:lineRule="auto"/>
        <w:ind w:firstLine="561" w:firstLineChars="200"/>
        <w:textAlignment w:val="auto"/>
        <w:rPr>
          <w:rStyle w:val="6"/>
          <w:rFonts w:hint="eastAsia" w:asciiTheme="minorEastAsia" w:hAnsiTheme="minorEastAsia" w:eastAsiaTheme="minorEastAsia" w:cstheme="minorEastAsia"/>
          <w:sz w:val="28"/>
          <w:szCs w:val="28"/>
        </w:rPr>
      </w:pPr>
      <w:r>
        <w:rPr>
          <w:rStyle w:val="6"/>
          <w:rFonts w:hint="eastAsia" w:asciiTheme="minorEastAsia" w:hAnsiTheme="minorEastAsia" w:eastAsiaTheme="minorEastAsia" w:cstheme="minorEastAsia"/>
          <w:sz w:val="28"/>
          <w:szCs w:val="28"/>
        </w:rPr>
        <w:t>具体举措：</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1.通过充分利用中国成协门户网站、公众号、视频号和全民终身学习公共服务平台等各类媒体资源，开展线上宣传活动，发布新闻动态、政策解读、典型案例、系列主题宣传活动等；</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2.通过举办讲座、研讨会、培训班等活动，向广大从业人员和社区居民普及成人继续教育的理念、政策和实践，提高居民参与意识和积极性；</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3.通过举办成果展示会、经验交流会等形式，向社会各界展示成人继续教育的成果和亮点；</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4.多种形式积极宣传成人教育标准化的重要意义，大力开展标准化人才培训；</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5.组织会员单位参加中国国际服务贸易交易会等大型会议和活动。</w:t>
      </w:r>
    </w:p>
    <w:p>
      <w:pPr>
        <w:keepNext w:val="0"/>
        <w:keepLines w:val="0"/>
        <w:pageBreakBefore w:val="0"/>
        <w:widowControl w:val="0"/>
        <w:kinsoku/>
        <w:wordWrap/>
        <w:overflowPunct/>
        <w:topLinePunct w:val="0"/>
        <w:autoSpaceDE/>
        <w:autoSpaceDN/>
        <w:bidi w:val="0"/>
        <w:adjustRightInd/>
        <w:snapToGrid/>
        <w:spacing w:line="360" w:lineRule="auto"/>
        <w:ind w:firstLine="561" w:firstLineChars="200"/>
        <w:textAlignment w:val="auto"/>
        <w:rPr>
          <w:rStyle w:val="6"/>
          <w:rFonts w:hint="eastAsia" w:asciiTheme="minorEastAsia" w:hAnsiTheme="minorEastAsia" w:eastAsiaTheme="minorEastAsia" w:cstheme="minorEastAsia"/>
          <w:sz w:val="28"/>
          <w:szCs w:val="28"/>
        </w:rPr>
      </w:pPr>
      <w:r>
        <w:rPr>
          <w:rStyle w:val="6"/>
          <w:rFonts w:hint="eastAsia" w:asciiTheme="minorEastAsia" w:hAnsiTheme="minorEastAsia" w:eastAsiaTheme="minorEastAsia" w:cstheme="minorEastAsia"/>
          <w:sz w:val="28"/>
          <w:szCs w:val="28"/>
        </w:rPr>
        <w:t>十、加强协会队伍建设</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重视队伍建设，通过培训、交流等方式，提高队伍素质和能力，打造一支高素质、专业化的工作团队，为协会各项工作提供有力保障。从会员单位中征集有关成人继续教育专家，完善协会和各分支机构专家库建设。</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1.补充调整协会“全民终身学习活动周”“学习型城市”“社区学习中心”等专家库；</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2.完善学术委员会专家库建设；3.完善各分支机构专家库建设。</w:t>
      </w:r>
    </w:p>
    <w:p>
      <w:pPr>
        <w:keepNext w:val="0"/>
        <w:keepLines w:val="0"/>
        <w:pageBreakBefore w:val="0"/>
        <w:widowControl w:val="0"/>
        <w:kinsoku/>
        <w:wordWrap/>
        <w:overflowPunct/>
        <w:topLinePunct w:val="0"/>
        <w:autoSpaceDE/>
        <w:autoSpaceDN/>
        <w:bidi w:val="0"/>
        <w:adjustRightInd/>
        <w:snapToGrid/>
        <w:spacing w:line="360" w:lineRule="auto"/>
        <w:ind w:firstLine="561" w:firstLineChars="200"/>
        <w:textAlignment w:val="auto"/>
        <w:rPr>
          <w:rStyle w:val="6"/>
          <w:rFonts w:hint="eastAsia" w:asciiTheme="minorEastAsia" w:hAnsiTheme="minorEastAsia" w:eastAsiaTheme="minorEastAsia" w:cstheme="minorEastAsia"/>
          <w:sz w:val="28"/>
          <w:szCs w:val="28"/>
        </w:rPr>
      </w:pPr>
      <w:r>
        <w:rPr>
          <w:rStyle w:val="6"/>
          <w:rFonts w:hint="eastAsia" w:asciiTheme="minorEastAsia" w:hAnsiTheme="minorEastAsia" w:eastAsiaTheme="minorEastAsia" w:cstheme="minorEastAsia"/>
          <w:sz w:val="28"/>
          <w:szCs w:val="28"/>
        </w:rPr>
        <w:t>十一、加强国际交流与合作</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加强国际交流与合作，讲好中国成人继续教育的故事，传递中国声音，展现中国形象。</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1.积极参加2024世界数字教育大会，协办教育数字化与学习型社会建设平行会议并以“数字化赋能全民终身学习 加快建设学习型社会”为题进行发言，发布世界数字教育大会解读文章，做好会议成果转化；</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2.加强与中国联合国教科文合作，创新开展国际交流项目；</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6"/>
          <w:rFonts w:hint="eastAsia" w:asciiTheme="minorEastAsia" w:hAnsiTheme="minorEastAsia" w:eastAsiaTheme="minorEastAsia" w:cstheme="minorEastAsia"/>
          <w:i w:val="0"/>
          <w:iCs w:val="0"/>
          <w:caps w:val="0"/>
          <w:color w:val="915335"/>
          <w:spacing w:val="7"/>
          <w:sz w:val="28"/>
          <w:szCs w:val="28"/>
          <w:shd w:val="clear" w:fill="FEF7EA"/>
        </w:rPr>
      </w:pPr>
      <w:r>
        <w:rPr>
          <w:rFonts w:hint="eastAsia" w:asciiTheme="minorEastAsia" w:hAnsiTheme="minorEastAsia" w:eastAsiaTheme="minorEastAsia" w:cstheme="minorEastAsia"/>
          <w:sz w:val="28"/>
          <w:szCs w:val="28"/>
        </w:rPr>
        <w:t>3.加强与国际成人教育协会、联合国教科文、联合国教科文组织国际农村教育研究与培训中心等单位合作；4.积极参加国际会议，共同探讨成人继续教育的未来发展趋势和挑战。</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小标宋简体">
    <w:altName w:val="汉仪书宋二KW"/>
    <w:panose1 w:val="03000509000000000000"/>
    <w:charset w:val="86"/>
    <w:family w:val="auto"/>
    <w:pitch w:val="default"/>
    <w:sig w:usb0="00000000" w:usb1="00000000" w:usb2="00000000" w:usb3="00000000" w:csb0="00040000" w:csb1="00000000"/>
  </w:font>
  <w:font w:name="Microsoft YaHei UI">
    <w:altName w:val="苹方-简"/>
    <w:panose1 w:val="020B0503020204020204"/>
    <w:charset w:val="86"/>
    <w:family w:val="auto"/>
    <w:pitch w:val="default"/>
    <w:sig w:usb0="00000000" w:usb1="00000000" w:usb2="00000016" w:usb3="00000000" w:csb0="0004001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zODYwYjBkYTJiZTNlYTYwOTdiOTUxODJjYzJmZGYifQ=="/>
  </w:docVars>
  <w:rsids>
    <w:rsidRoot w:val="00000000"/>
    <w:rsid w:val="4BFC50D0"/>
    <w:rsid w:val="61230766"/>
    <w:rsid w:val="73AD08A3"/>
    <w:rsid w:val="F7356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60" w:lineRule="exact"/>
      <w:ind w:firstLine="460" w:firstLineChars="200"/>
      <w:outlineLvl w:val="0"/>
    </w:pPr>
    <w:rPr>
      <w:rFonts w:eastAsia="方正小标宋简体" w:asciiTheme="minorAscii" w:hAnsiTheme="minorAscii"/>
      <w:kern w:val="44"/>
      <w:sz w:val="3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10</TotalTime>
  <ScaleCrop>false</ScaleCrop>
  <LinksUpToDate>false</LinksUpToDate>
  <CharactersWithSpaces>0</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2024-05-20T10:34:00Z</dcterms:created>
  <dc:creator>de'l'l</dc:creator>
  <cp:lastModifiedBy>-'〰'-可达鸭鸭</cp:lastModifiedBy>
  <dcterms:modified xsi:type="dcterms:W3CDTF">2024-05-22T10:18:05Z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0ACD2E89831CF1D0D4554D6682C0F67F_43</vt:lpwstr>
  </property>
</Properties>
</file>