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6303703"/>
      <w:bookmarkStart w:id="1" w:name="_Toc405393372"/>
      <w:bookmarkStart w:id="2" w:name="_Toc305418726"/>
      <w:bookmarkStart w:id="3" w:name="_Toc303837889"/>
      <w:bookmarkStart w:id="4" w:name="_Toc407696129"/>
      <w:bookmarkStart w:id="5" w:name="_Toc407697887"/>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254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7"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3级人才培养方案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建筑工程技术专业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二〇二三年</w:t>
      </w:r>
      <w:r>
        <w:rPr>
          <w:rFonts w:hint="eastAsia" w:ascii="楷体_GB2312" w:eastAsia="楷体_GB2312" w:cs="仿宋_GB2312"/>
          <w:bCs/>
          <w:kern w:val="0"/>
          <w:sz w:val="44"/>
          <w:szCs w:val="44"/>
          <w:lang w:eastAsia="zh-CN"/>
        </w:rPr>
        <w:t>五</w:t>
      </w:r>
      <w:r>
        <w:rPr>
          <w:rFonts w:hint="eastAsia" w:ascii="楷体_GB2312" w:eastAsia="楷体_GB2312" w:cs="仿宋_GB2312"/>
          <w:bCs/>
          <w:kern w:val="0"/>
          <w:sz w:val="44"/>
          <w:szCs w:val="44"/>
        </w:rPr>
        <w:t>月</w:t>
      </w:r>
    </w:p>
    <w:p>
      <w:pPr>
        <w:autoSpaceDE w:val="0"/>
        <w:autoSpaceDN w:val="0"/>
        <w:adjustRightInd w:val="0"/>
        <w:spacing w:line="500" w:lineRule="exact"/>
        <w:jc w:val="center"/>
        <w:rPr>
          <w:rFonts w:ascii="楷体_GB2312" w:eastAsia="楷体_GB2312" w:cs="仿宋_GB2312"/>
          <w:bCs/>
          <w:kern w:val="0"/>
          <w:sz w:val="44"/>
          <w:szCs w:val="44"/>
        </w:rPr>
      </w:pPr>
    </w:p>
    <w:p>
      <w:pPr>
        <w:autoSpaceDE w:val="0"/>
        <w:autoSpaceDN w:val="0"/>
        <w:adjustRightInd w:val="0"/>
        <w:spacing w:line="500" w:lineRule="exact"/>
        <w:jc w:val="center"/>
        <w:rPr>
          <w:rFonts w:ascii="楷体_GB2312" w:eastAsia="楷体_GB2312" w:cs="仿宋_GB2312"/>
          <w:bCs/>
          <w:kern w:val="0"/>
          <w:sz w:val="44"/>
          <w:szCs w:val="44"/>
        </w:rPr>
      </w:pPr>
      <w:r>
        <w:rPr>
          <w:rFonts w:hint="eastAsia" w:ascii="楷体_GB2312" w:eastAsia="楷体_GB2312" w:cs="仿宋_GB2312"/>
          <w:bCs/>
          <w:kern w:val="0"/>
          <w:sz w:val="44"/>
          <w:szCs w:val="44"/>
        </w:rPr>
        <w:t>教务处制</w:t>
      </w:r>
    </w:p>
    <w:p>
      <w:pPr>
        <w:widowControl/>
        <w:jc w:val="center"/>
        <w:rPr>
          <w:b/>
          <w:sz w:val="32"/>
          <w:szCs w:val="32"/>
        </w:rPr>
        <w:sectPr>
          <w:footerReference r:id="rId3" w:type="default"/>
          <w:pgSz w:w="11906" w:h="16838"/>
          <w:pgMar w:top="1440" w:right="1800" w:bottom="1440" w:left="1800" w:header="851" w:footer="992" w:gutter="0"/>
          <w:cols w:space="425" w:num="1"/>
          <w:docGrid w:type="lines" w:linePitch="312" w:charSpace="0"/>
        </w:sectPr>
      </w:pPr>
    </w:p>
    <w:p>
      <w:pPr>
        <w:pStyle w:val="18"/>
        <w:tabs>
          <w:tab w:val="left" w:pos="840"/>
        </w:tabs>
        <w:jc w:val="center"/>
        <w:rPr>
          <w:b/>
          <w:sz w:val="44"/>
          <w:szCs w:val="44"/>
        </w:rPr>
      </w:pPr>
      <w:r>
        <w:rPr>
          <w:rFonts w:hint="eastAsia"/>
          <w:b/>
          <w:sz w:val="44"/>
          <w:szCs w:val="44"/>
        </w:rPr>
        <w:t>目录</w:t>
      </w:r>
    </w:p>
    <w:p>
      <w:pPr>
        <w:ind w:firstLine="150" w:firstLineChars="50"/>
        <w:jc w:val="left"/>
        <w:rPr>
          <w:rFonts w:ascii="黑体" w:hAnsi="黑体" w:eastAsia="黑体"/>
          <w:bCs/>
          <w:sz w:val="28"/>
          <w:szCs w:val="28"/>
        </w:rPr>
      </w:pPr>
      <w:r>
        <w:rPr>
          <w:rFonts w:hint="eastAsia" w:ascii="黑体" w:hAnsi="黑体" w:eastAsia="黑体"/>
          <w:bCs/>
          <w:sz w:val="30"/>
          <w:szCs w:val="30"/>
        </w:rPr>
        <w:t>2023级建筑工程技术专业</w:t>
      </w:r>
      <w:r>
        <w:rPr>
          <w:rFonts w:ascii="黑体" w:hAnsi="黑体" w:eastAsia="黑体"/>
          <w:bCs/>
          <w:sz w:val="30"/>
          <w:szCs w:val="30"/>
        </w:rPr>
        <w:t>人才培养方案</w:t>
      </w:r>
      <w:r>
        <w:rPr>
          <w:rFonts w:ascii="黑体" w:hAnsi="黑体" w:eastAsia="黑体"/>
          <w:bCs/>
          <w:sz w:val="28"/>
          <w:szCs w:val="28"/>
        </w:rPr>
        <w:t>…………………………1</w:t>
      </w:r>
    </w:p>
    <w:p>
      <w:pPr>
        <w:pStyle w:val="18"/>
        <w:tabs>
          <w:tab w:val="left" w:pos="840"/>
        </w:tabs>
        <w:rPr>
          <w:rFonts w:ascii="黑体" w:hAnsi="黑体" w:eastAsia="黑体" w:cstheme="minorBidi"/>
          <w:bCs/>
          <w:szCs w:val="28"/>
        </w:rPr>
      </w:pPr>
      <w:r>
        <w:rPr>
          <w:rFonts w:ascii="黑体" w:hAnsi="黑体" w:eastAsia="黑体"/>
          <w:bCs/>
          <w:szCs w:val="28"/>
        </w:rPr>
        <w:fldChar w:fldCharType="begin"/>
      </w:r>
      <w:r>
        <w:rPr>
          <w:rFonts w:ascii="黑体" w:hAnsi="黑体" w:eastAsia="黑体"/>
          <w:bCs/>
          <w:szCs w:val="28"/>
        </w:rPr>
        <w:instrText xml:space="preserve"> TOC \o "1-2" \h \z \u </w:instrText>
      </w:r>
      <w:r>
        <w:rPr>
          <w:rFonts w:ascii="黑体" w:hAnsi="黑体" w:eastAsia="黑体"/>
          <w:bCs/>
          <w:szCs w:val="28"/>
        </w:rPr>
        <w:fldChar w:fldCharType="separate"/>
      </w:r>
      <w:r>
        <w:fldChar w:fldCharType="begin"/>
      </w:r>
      <w:r>
        <w:instrText xml:space="preserve"> HYPERLINK \l "_Toc119633028" </w:instrText>
      </w:r>
      <w:r>
        <w:fldChar w:fldCharType="separate"/>
      </w:r>
      <w:r>
        <w:rPr>
          <w:rStyle w:val="29"/>
          <w:rFonts w:ascii="黑体" w:hAnsi="黑体" w:eastAsia="黑体"/>
          <w:bCs/>
          <w:color w:val="auto"/>
          <w:kern w:val="44"/>
          <w:szCs w:val="28"/>
        </w:rPr>
        <w:t>一、</w:t>
      </w:r>
      <w:r>
        <w:rPr>
          <w:rFonts w:ascii="黑体" w:hAnsi="黑体" w:eastAsia="黑体" w:cstheme="minorBidi"/>
          <w:bCs/>
          <w:szCs w:val="28"/>
        </w:rPr>
        <w:tab/>
      </w:r>
      <w:r>
        <w:rPr>
          <w:rStyle w:val="29"/>
          <w:rFonts w:ascii="黑体" w:hAnsi="黑体" w:eastAsia="黑体"/>
          <w:bCs/>
          <w:color w:val="auto"/>
          <w:kern w:val="44"/>
          <w:szCs w:val="28"/>
        </w:rPr>
        <w:t>专业名称及代码</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_Toc119633028 \h </w:instrText>
      </w:r>
      <w:r>
        <w:rPr>
          <w:rFonts w:ascii="黑体" w:hAnsi="黑体" w:eastAsia="黑体"/>
          <w:bCs/>
          <w:szCs w:val="28"/>
        </w:rPr>
        <w:fldChar w:fldCharType="separate"/>
      </w:r>
      <w:r>
        <w:rPr>
          <w:rFonts w:ascii="黑体" w:hAnsi="黑体" w:eastAsia="黑体"/>
          <w:bCs/>
          <w:szCs w:val="28"/>
        </w:rPr>
        <w:t>1</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"_Toc119633031" </w:instrText>
      </w:r>
      <w:r>
        <w:fldChar w:fldCharType="separate"/>
      </w:r>
      <w:r>
        <w:rPr>
          <w:rStyle w:val="29"/>
          <w:rFonts w:ascii="黑体" w:hAnsi="黑体" w:eastAsia="黑体"/>
          <w:bCs/>
          <w:color w:val="auto"/>
          <w:kern w:val="44"/>
          <w:szCs w:val="28"/>
        </w:rPr>
        <w:t>二、入学要求</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_Toc119633031 \h </w:instrText>
      </w:r>
      <w:r>
        <w:rPr>
          <w:rFonts w:ascii="黑体" w:hAnsi="黑体" w:eastAsia="黑体"/>
          <w:bCs/>
          <w:szCs w:val="28"/>
        </w:rPr>
        <w:fldChar w:fldCharType="separate"/>
      </w:r>
      <w:r>
        <w:rPr>
          <w:rFonts w:ascii="黑体" w:hAnsi="黑体" w:eastAsia="黑体"/>
          <w:bCs/>
          <w:szCs w:val="28"/>
        </w:rPr>
        <w:t>1</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"_Toc119633034" </w:instrText>
      </w:r>
      <w:r>
        <w:fldChar w:fldCharType="separate"/>
      </w:r>
      <w:r>
        <w:rPr>
          <w:rStyle w:val="29"/>
          <w:rFonts w:ascii="黑体" w:hAnsi="黑体" w:eastAsia="黑体"/>
          <w:bCs/>
          <w:color w:val="auto"/>
          <w:kern w:val="44"/>
          <w:szCs w:val="28"/>
        </w:rPr>
        <w:t>三、修业年限</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_Toc119633034 \h </w:instrText>
      </w:r>
      <w:r>
        <w:rPr>
          <w:rFonts w:ascii="黑体" w:hAnsi="黑体" w:eastAsia="黑体"/>
          <w:bCs/>
          <w:szCs w:val="28"/>
        </w:rPr>
        <w:fldChar w:fldCharType="separate"/>
      </w:r>
      <w:r>
        <w:rPr>
          <w:rFonts w:ascii="黑体" w:hAnsi="黑体" w:eastAsia="黑体"/>
          <w:bCs/>
          <w:szCs w:val="28"/>
        </w:rPr>
        <w:t>1</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"_Toc119633036" </w:instrText>
      </w:r>
      <w:r>
        <w:fldChar w:fldCharType="separate"/>
      </w:r>
      <w:r>
        <w:rPr>
          <w:rStyle w:val="29"/>
          <w:rFonts w:ascii="黑体" w:hAnsi="黑体" w:eastAsia="黑体"/>
          <w:bCs/>
          <w:color w:val="auto"/>
          <w:kern w:val="44"/>
          <w:szCs w:val="28"/>
        </w:rPr>
        <w:t>四、职业面向</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_Toc119633036 \h </w:instrText>
      </w:r>
      <w:r>
        <w:rPr>
          <w:rFonts w:ascii="黑体" w:hAnsi="黑体" w:eastAsia="黑体"/>
          <w:bCs/>
          <w:szCs w:val="28"/>
        </w:rPr>
        <w:fldChar w:fldCharType="separate"/>
      </w:r>
      <w:r>
        <w:rPr>
          <w:rFonts w:ascii="黑体" w:hAnsi="黑体" w:eastAsia="黑体"/>
          <w:bCs/>
          <w:szCs w:val="28"/>
        </w:rPr>
        <w:t>1</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"_Toc119633037" </w:instrText>
      </w:r>
      <w:r>
        <w:fldChar w:fldCharType="separate"/>
      </w:r>
      <w:r>
        <w:rPr>
          <w:rStyle w:val="29"/>
          <w:rFonts w:ascii="黑体" w:hAnsi="黑体" w:eastAsia="黑体"/>
          <w:bCs/>
          <w:color w:val="auto"/>
          <w:kern w:val="44"/>
          <w:szCs w:val="28"/>
        </w:rPr>
        <w:t>五、培养目标及培养规格</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_Toc119633037 \h </w:instrText>
      </w:r>
      <w:r>
        <w:rPr>
          <w:rFonts w:ascii="黑体" w:hAnsi="黑体" w:eastAsia="黑体"/>
          <w:bCs/>
          <w:szCs w:val="28"/>
        </w:rPr>
        <w:fldChar w:fldCharType="separate"/>
      </w:r>
      <w:r>
        <w:rPr>
          <w:rFonts w:ascii="黑体" w:hAnsi="黑体" w:eastAsia="黑体"/>
          <w:bCs/>
          <w:szCs w:val="28"/>
        </w:rPr>
        <w:t>2</w:t>
      </w:r>
      <w:r>
        <w:rPr>
          <w:rFonts w:ascii="黑体" w:hAnsi="黑体" w:eastAsia="黑体"/>
          <w:bCs/>
          <w:szCs w:val="28"/>
        </w:rPr>
        <w:fldChar w:fldCharType="end"/>
      </w:r>
      <w:r>
        <w:rPr>
          <w:rFonts w:ascii="黑体" w:hAnsi="黑体" w:eastAsia="黑体"/>
          <w:bCs/>
          <w:szCs w:val="28"/>
        </w:rPr>
        <w:fldChar w:fldCharType="end"/>
      </w:r>
    </w:p>
    <w:p>
      <w:pPr>
        <w:pStyle w:val="18"/>
        <w:ind w:firstLine="700" w:firstLineChars="250"/>
        <w:rPr>
          <w:rFonts w:ascii="黑体" w:hAnsi="黑体" w:eastAsia="黑体" w:cstheme="minorBidi"/>
          <w:bCs/>
          <w:szCs w:val="28"/>
        </w:rPr>
      </w:pPr>
      <w:r>
        <w:fldChar w:fldCharType="begin"/>
      </w:r>
      <w:r>
        <w:instrText xml:space="preserve"> HYPERLINK \l "_Toc119633038" </w:instrText>
      </w:r>
      <w:r>
        <w:fldChar w:fldCharType="separate"/>
      </w:r>
      <w:r>
        <w:rPr>
          <w:rStyle w:val="29"/>
          <w:rFonts w:ascii="黑体" w:hAnsi="黑体" w:eastAsia="黑体"/>
          <w:bCs/>
          <w:color w:val="auto"/>
          <w:szCs w:val="28"/>
        </w:rPr>
        <w:t>（一）培养目标</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_Toc119633038 \h </w:instrText>
      </w:r>
      <w:r>
        <w:rPr>
          <w:rFonts w:ascii="黑体" w:hAnsi="黑体" w:eastAsia="黑体"/>
          <w:bCs/>
          <w:szCs w:val="28"/>
        </w:rPr>
        <w:fldChar w:fldCharType="separate"/>
      </w:r>
      <w:r>
        <w:rPr>
          <w:rFonts w:ascii="黑体" w:hAnsi="黑体" w:eastAsia="黑体"/>
          <w:bCs/>
          <w:szCs w:val="28"/>
        </w:rPr>
        <w:t>2</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"_Toc119633040" </w:instrText>
      </w:r>
      <w:r>
        <w:fldChar w:fldCharType="separate"/>
      </w:r>
      <w:r>
        <w:rPr>
          <w:rStyle w:val="29"/>
          <w:rFonts w:ascii="黑体" w:hAnsi="黑体" w:eastAsia="黑体"/>
          <w:bCs/>
          <w:color w:val="auto"/>
          <w:szCs w:val="28"/>
        </w:rPr>
        <w:t>（二）培养规格</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_Toc119633040 \h </w:instrText>
      </w:r>
      <w:r>
        <w:rPr>
          <w:rFonts w:ascii="黑体" w:hAnsi="黑体" w:eastAsia="黑体"/>
          <w:bCs/>
          <w:szCs w:val="28"/>
        </w:rPr>
        <w:fldChar w:fldCharType="separate"/>
      </w:r>
      <w:r>
        <w:rPr>
          <w:rFonts w:ascii="黑体" w:hAnsi="黑体" w:eastAsia="黑体"/>
          <w:bCs/>
          <w:szCs w:val="28"/>
        </w:rPr>
        <w:t>2</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bCs/>
          <w:szCs w:val="28"/>
        </w:rPr>
      </w:pPr>
      <w:r>
        <w:fldChar w:fldCharType="begin"/>
      </w:r>
      <w:r>
        <w:instrText xml:space="preserve"> HYPERLINK \l "_Toc119633050" </w:instrText>
      </w:r>
      <w:r>
        <w:fldChar w:fldCharType="separate"/>
      </w:r>
      <w:r>
        <w:rPr>
          <w:rStyle w:val="29"/>
          <w:rFonts w:ascii="黑体" w:hAnsi="黑体" w:eastAsia="黑体"/>
          <w:bCs/>
          <w:color w:val="auto"/>
          <w:kern w:val="44"/>
          <w:szCs w:val="28"/>
        </w:rPr>
        <w:t>六、</w:t>
      </w:r>
      <w:r>
        <w:rPr>
          <w:rStyle w:val="29"/>
          <w:rFonts w:hint="eastAsia" w:ascii="黑体" w:hAnsi="黑体" w:eastAsia="黑体"/>
          <w:bCs/>
          <w:color w:val="auto"/>
          <w:kern w:val="44"/>
          <w:szCs w:val="28"/>
        </w:rPr>
        <w:t>人才</w:t>
      </w:r>
      <w:r>
        <w:rPr>
          <w:rStyle w:val="29"/>
          <w:rFonts w:ascii="黑体" w:hAnsi="黑体" w:eastAsia="黑体"/>
          <w:bCs/>
          <w:color w:val="auto"/>
          <w:kern w:val="44"/>
          <w:szCs w:val="28"/>
        </w:rPr>
        <w:t>培养模式</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_Toc119633050 \h </w:instrText>
      </w:r>
      <w:r>
        <w:rPr>
          <w:rFonts w:ascii="黑体" w:hAnsi="黑体" w:eastAsia="黑体"/>
          <w:bCs/>
          <w:szCs w:val="28"/>
        </w:rPr>
        <w:fldChar w:fldCharType="separate"/>
      </w:r>
      <w:r>
        <w:rPr>
          <w:rFonts w:ascii="黑体" w:hAnsi="黑体" w:eastAsia="黑体"/>
          <w:bCs/>
          <w:szCs w:val="28"/>
        </w:rPr>
        <w:t>3</w:t>
      </w:r>
      <w:r>
        <w:rPr>
          <w:rFonts w:ascii="黑体" w:hAnsi="黑体" w:eastAsia="黑体"/>
          <w:bCs/>
          <w:szCs w:val="28"/>
        </w:rPr>
        <w:fldChar w:fldCharType="end"/>
      </w:r>
      <w:r>
        <w:rPr>
          <w:rFonts w:ascii="黑体" w:hAnsi="黑体" w:eastAsia="黑体"/>
          <w:bCs/>
          <w:szCs w:val="28"/>
        </w:rPr>
        <w:fldChar w:fldCharType="end"/>
      </w:r>
    </w:p>
    <w:p>
      <w:pPr>
        <w:spacing w:line="360" w:lineRule="auto"/>
        <w:ind w:firstLine="548" w:firstLineChars="196"/>
        <w:rPr>
          <w:rFonts w:ascii="黑体" w:hAnsi="黑体" w:eastAsia="黑体"/>
          <w:sz w:val="28"/>
          <w:szCs w:val="28"/>
        </w:rPr>
      </w:pPr>
      <w:r>
        <w:rPr>
          <w:rFonts w:hint="eastAsia" w:ascii="黑体" w:hAnsi="黑体" w:eastAsia="黑体"/>
          <w:sz w:val="28"/>
          <w:szCs w:val="28"/>
        </w:rPr>
        <w:t>（</w:t>
      </w:r>
      <w:r>
        <w:rPr>
          <w:rFonts w:ascii="黑体" w:hAnsi="黑体" w:eastAsia="黑体"/>
          <w:sz w:val="28"/>
          <w:szCs w:val="28"/>
        </w:rPr>
        <w:t>一）</w:t>
      </w:r>
      <w:r>
        <w:rPr>
          <w:rFonts w:hint="eastAsia" w:ascii="黑体" w:hAnsi="黑体" w:eastAsia="黑体"/>
          <w:sz w:val="28"/>
          <w:szCs w:val="28"/>
        </w:rPr>
        <w:t>“课岗融通、校企共育”人才培养模式的内涵</w:t>
      </w:r>
      <w:r>
        <w:rPr>
          <w:rFonts w:ascii="黑体" w:hAnsi="黑体" w:eastAsia="黑体"/>
          <w:szCs w:val="21"/>
        </w:rPr>
        <w:t>………………</w:t>
      </w:r>
      <w:r>
        <w:rPr>
          <w:rFonts w:ascii="黑体" w:hAnsi="黑体" w:eastAsia="黑体"/>
          <w:sz w:val="28"/>
          <w:szCs w:val="28"/>
        </w:rPr>
        <w:t>3</w:t>
      </w:r>
    </w:p>
    <w:p>
      <w:pPr>
        <w:widowControl/>
        <w:spacing w:line="360" w:lineRule="auto"/>
        <w:ind w:firstLine="560" w:firstLineChars="200"/>
        <w:jc w:val="left"/>
        <w:rPr>
          <w:rFonts w:ascii="黑体" w:hAnsi="黑体" w:eastAsia="黑体"/>
          <w:sz w:val="28"/>
          <w:szCs w:val="28"/>
        </w:rPr>
      </w:pPr>
      <w:r>
        <w:rPr>
          <w:rFonts w:hint="eastAsia" w:ascii="黑体" w:hAnsi="黑体" w:eastAsia="黑体"/>
          <w:sz w:val="28"/>
          <w:szCs w:val="28"/>
        </w:rPr>
        <w:t>（二）“课岗融通、校企共育”人才培养模式的实施</w:t>
      </w:r>
      <w:r>
        <w:rPr>
          <w:rFonts w:ascii="黑体" w:hAnsi="黑体" w:eastAsia="黑体"/>
          <w:szCs w:val="21"/>
        </w:rPr>
        <w:t>………………</w:t>
      </w:r>
      <w:r>
        <w:rPr>
          <w:rFonts w:ascii="黑体" w:hAnsi="黑体" w:eastAsia="黑体"/>
          <w:sz w:val="28"/>
          <w:szCs w:val="28"/>
        </w:rPr>
        <w:t>4</w:t>
      </w:r>
    </w:p>
    <w:p>
      <w:pPr>
        <w:pStyle w:val="18"/>
        <w:rPr>
          <w:rFonts w:ascii="黑体" w:hAnsi="黑体" w:eastAsia="黑体" w:cstheme="minorBidi"/>
          <w:bCs/>
          <w:szCs w:val="28"/>
        </w:rPr>
      </w:pPr>
      <w:r>
        <w:fldChar w:fldCharType="begin"/>
      </w:r>
      <w:r>
        <w:instrText xml:space="preserve"> HYPERLINK \l "_Toc119633051" </w:instrText>
      </w:r>
      <w:r>
        <w:fldChar w:fldCharType="separate"/>
      </w:r>
      <w:r>
        <w:rPr>
          <w:rStyle w:val="29"/>
          <w:rFonts w:ascii="黑体" w:hAnsi="黑体" w:eastAsia="黑体"/>
          <w:bCs/>
          <w:color w:val="auto"/>
          <w:kern w:val="44"/>
          <w:szCs w:val="28"/>
        </w:rPr>
        <w:t>七、课程体系</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_Toc119633051 \h </w:instrText>
      </w:r>
      <w:r>
        <w:rPr>
          <w:rFonts w:ascii="黑体" w:hAnsi="黑体" w:eastAsia="黑体"/>
          <w:bCs/>
          <w:szCs w:val="28"/>
        </w:rPr>
        <w:fldChar w:fldCharType="separate"/>
      </w:r>
      <w:r>
        <w:rPr>
          <w:rFonts w:ascii="黑体" w:hAnsi="黑体" w:eastAsia="黑体"/>
          <w:bCs/>
          <w:szCs w:val="28"/>
        </w:rPr>
        <w:t>5</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"_Toc119633052" </w:instrText>
      </w:r>
      <w:r>
        <w:fldChar w:fldCharType="separate"/>
      </w:r>
      <w:r>
        <w:rPr>
          <w:rStyle w:val="29"/>
          <w:rFonts w:ascii="黑体" w:hAnsi="黑体" w:eastAsia="黑体"/>
          <w:bCs/>
          <w:color w:val="auto"/>
          <w:szCs w:val="28"/>
        </w:rPr>
        <w:t>（一）课程体系构建</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_Toc119633052 \h </w:instrText>
      </w:r>
      <w:r>
        <w:rPr>
          <w:rFonts w:ascii="黑体" w:hAnsi="黑体" w:eastAsia="黑体"/>
          <w:bCs/>
          <w:szCs w:val="28"/>
        </w:rPr>
        <w:fldChar w:fldCharType="separate"/>
      </w:r>
      <w:r>
        <w:rPr>
          <w:rFonts w:ascii="黑体" w:hAnsi="黑体" w:eastAsia="黑体"/>
          <w:bCs/>
          <w:szCs w:val="28"/>
        </w:rPr>
        <w:t>5</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"_Toc119633057" </w:instrText>
      </w:r>
      <w:r>
        <w:fldChar w:fldCharType="separate"/>
      </w:r>
      <w:r>
        <w:rPr>
          <w:rStyle w:val="29"/>
          <w:rFonts w:ascii="黑体" w:hAnsi="黑体" w:eastAsia="黑体"/>
          <w:bCs/>
          <w:color w:val="auto"/>
          <w:szCs w:val="28"/>
        </w:rPr>
        <w:t>（二）课程设置及描述</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_Toc119633057 \h </w:instrText>
      </w:r>
      <w:r>
        <w:rPr>
          <w:rFonts w:ascii="黑体" w:hAnsi="黑体" w:eastAsia="黑体"/>
          <w:bCs/>
          <w:szCs w:val="28"/>
        </w:rPr>
        <w:fldChar w:fldCharType="separate"/>
      </w:r>
      <w:r>
        <w:rPr>
          <w:rFonts w:ascii="黑体" w:hAnsi="黑体" w:eastAsia="黑体"/>
          <w:bCs/>
          <w:szCs w:val="28"/>
        </w:rPr>
        <w:t>8</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"_Toc119633058" </w:instrText>
      </w:r>
      <w:r>
        <w:fldChar w:fldCharType="separate"/>
      </w:r>
      <w:r>
        <w:rPr>
          <w:rStyle w:val="29"/>
          <w:rFonts w:ascii="黑体" w:hAnsi="黑体" w:eastAsia="黑体"/>
          <w:bCs/>
          <w:color w:val="auto"/>
          <w:kern w:val="44"/>
          <w:szCs w:val="28"/>
        </w:rPr>
        <w:t>八、实践教学体系</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_Toc119633058 \h </w:instrText>
      </w:r>
      <w:r>
        <w:rPr>
          <w:rFonts w:ascii="黑体" w:hAnsi="黑体" w:eastAsia="黑体"/>
          <w:bCs/>
          <w:szCs w:val="28"/>
        </w:rPr>
        <w:fldChar w:fldCharType="separate"/>
      </w:r>
      <w:r>
        <w:rPr>
          <w:rFonts w:ascii="黑体" w:hAnsi="黑体" w:eastAsia="黑体"/>
          <w:bCs/>
          <w:szCs w:val="28"/>
        </w:rPr>
        <w:t>18</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"_Toc119633059" </w:instrText>
      </w:r>
      <w:r>
        <w:fldChar w:fldCharType="separate"/>
      </w:r>
      <w:r>
        <w:rPr>
          <w:rStyle w:val="29"/>
          <w:rFonts w:ascii="黑体" w:hAnsi="黑体" w:eastAsia="黑体"/>
          <w:bCs/>
          <w:color w:val="auto"/>
          <w:szCs w:val="28"/>
        </w:rPr>
        <w:t>（一） 内容架构</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_Toc119633059 \h </w:instrText>
      </w:r>
      <w:r>
        <w:rPr>
          <w:rFonts w:ascii="黑体" w:hAnsi="黑体" w:eastAsia="黑体"/>
          <w:bCs/>
          <w:szCs w:val="28"/>
        </w:rPr>
        <w:fldChar w:fldCharType="separate"/>
      </w:r>
      <w:r>
        <w:rPr>
          <w:rFonts w:ascii="黑体" w:hAnsi="黑体" w:eastAsia="黑体"/>
          <w:bCs/>
          <w:szCs w:val="28"/>
        </w:rPr>
        <w:t>18</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"_Toc119633060" </w:instrText>
      </w:r>
      <w:r>
        <w:fldChar w:fldCharType="separate"/>
      </w:r>
      <w:r>
        <w:rPr>
          <w:rStyle w:val="29"/>
          <w:rFonts w:ascii="黑体" w:hAnsi="黑体" w:eastAsia="黑体"/>
          <w:bCs/>
          <w:color w:val="auto"/>
          <w:szCs w:val="28"/>
        </w:rPr>
        <w:t>（二） 组织与实施</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_Toc119633060 \h </w:instrText>
      </w:r>
      <w:r>
        <w:rPr>
          <w:rFonts w:ascii="黑体" w:hAnsi="黑体" w:eastAsia="黑体"/>
          <w:bCs/>
          <w:szCs w:val="28"/>
        </w:rPr>
        <w:fldChar w:fldCharType="separate"/>
      </w:r>
      <w:r>
        <w:rPr>
          <w:rFonts w:ascii="黑体" w:hAnsi="黑体" w:eastAsia="黑体"/>
          <w:bCs/>
          <w:szCs w:val="28"/>
        </w:rPr>
        <w:t>18</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"_Toc119633061" </w:instrText>
      </w:r>
      <w:r>
        <w:fldChar w:fldCharType="separate"/>
      </w:r>
      <w:r>
        <w:rPr>
          <w:rStyle w:val="29"/>
          <w:rFonts w:ascii="黑体" w:hAnsi="黑体" w:eastAsia="黑体"/>
          <w:bCs/>
          <w:color w:val="auto"/>
          <w:szCs w:val="28"/>
        </w:rPr>
        <w:t>九、程思政教学体系</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_Toc119633061 \h </w:instrText>
      </w:r>
      <w:r>
        <w:rPr>
          <w:rFonts w:ascii="黑体" w:hAnsi="黑体" w:eastAsia="黑体"/>
          <w:bCs/>
          <w:szCs w:val="28"/>
        </w:rPr>
        <w:fldChar w:fldCharType="separate"/>
      </w:r>
      <w:r>
        <w:rPr>
          <w:rFonts w:ascii="黑体" w:hAnsi="黑体" w:eastAsia="黑体"/>
          <w:bCs/>
          <w:szCs w:val="28"/>
        </w:rPr>
        <w:t>21</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bCs/>
          <w:szCs w:val="28"/>
        </w:rPr>
      </w:pPr>
      <w:r>
        <w:fldChar w:fldCharType="begin"/>
      </w:r>
      <w:r>
        <w:instrText xml:space="preserve"> HYPERLINK \l "_Toc119633062" </w:instrText>
      </w:r>
      <w:r>
        <w:fldChar w:fldCharType="separate"/>
      </w:r>
      <w:r>
        <w:rPr>
          <w:rStyle w:val="29"/>
          <w:rFonts w:ascii="黑体" w:hAnsi="黑体" w:eastAsia="黑体"/>
          <w:bCs/>
          <w:color w:val="auto"/>
          <w:szCs w:val="28"/>
        </w:rPr>
        <w:t>（一）课程思政目标要求</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_Toc119633062 \h </w:instrText>
      </w:r>
      <w:r>
        <w:rPr>
          <w:rFonts w:ascii="黑体" w:hAnsi="黑体" w:eastAsia="黑体"/>
          <w:bCs/>
          <w:szCs w:val="28"/>
        </w:rPr>
        <w:fldChar w:fldCharType="separate"/>
      </w:r>
      <w:r>
        <w:rPr>
          <w:rFonts w:ascii="黑体" w:hAnsi="黑体" w:eastAsia="黑体"/>
          <w:bCs/>
          <w:szCs w:val="28"/>
        </w:rPr>
        <w:t>21</w:t>
      </w:r>
      <w:r>
        <w:rPr>
          <w:rFonts w:ascii="黑体" w:hAnsi="黑体" w:eastAsia="黑体"/>
          <w:bCs/>
          <w:szCs w:val="28"/>
        </w:rPr>
        <w:fldChar w:fldCharType="end"/>
      </w:r>
      <w:r>
        <w:rPr>
          <w:rFonts w:ascii="黑体" w:hAnsi="黑体" w:eastAsia="黑体"/>
          <w:bCs/>
          <w:szCs w:val="28"/>
        </w:rPr>
        <w:fldChar w:fldCharType="end"/>
      </w:r>
    </w:p>
    <w:p>
      <w:pPr>
        <w:pStyle w:val="2"/>
        <w:spacing w:line="360" w:lineRule="auto"/>
        <w:ind w:firstLine="562"/>
        <w:jc w:val="left"/>
        <w:rPr>
          <w:rFonts w:ascii="黑体" w:hAnsi="黑体" w:eastAsia="黑体" w:cs="Times New Roman"/>
          <w:bCs/>
          <w:szCs w:val="21"/>
          <w:lang w:val="en-US"/>
        </w:rPr>
      </w:pPr>
      <w:r>
        <w:rPr>
          <w:rFonts w:hint="eastAsia" w:ascii="黑体" w:hAnsi="黑体" w:eastAsia="黑体"/>
          <w:b/>
          <w:sz w:val="28"/>
          <w:szCs w:val="28"/>
        </w:rPr>
        <w:t>（</w:t>
      </w:r>
      <w:r>
        <w:rPr>
          <w:rFonts w:hint="eastAsia" w:ascii="黑体" w:hAnsi="黑体" w:eastAsia="黑体"/>
          <w:sz w:val="28"/>
          <w:szCs w:val="28"/>
        </w:rPr>
        <w:t>二）</w:t>
      </w:r>
      <w:r>
        <w:rPr>
          <w:rFonts w:hint="eastAsia" w:ascii="黑体" w:hAnsi="黑体" w:eastAsia="黑体" w:cs="Times New Roman"/>
          <w:bCs/>
          <w:sz w:val="28"/>
          <w:szCs w:val="28"/>
          <w:lang w:val="en-US"/>
        </w:rPr>
        <w:t>课程思政体系建设</w:t>
      </w:r>
      <w:r>
        <w:rPr>
          <w:rFonts w:ascii="黑体" w:hAnsi="黑体" w:eastAsia="黑体" w:cs="Times New Roman"/>
          <w:bCs/>
          <w:szCs w:val="21"/>
          <w:lang w:val="en-US"/>
        </w:rPr>
        <w:t>………………………………………………………</w:t>
      </w:r>
      <w:r>
        <w:rPr>
          <w:rFonts w:ascii="黑体" w:hAnsi="黑体" w:eastAsia="黑体" w:cs="Times New Roman"/>
          <w:bCs/>
          <w:sz w:val="28"/>
          <w:szCs w:val="28"/>
          <w:lang w:val="en-US"/>
        </w:rPr>
        <w:t>22</w:t>
      </w:r>
    </w:p>
    <w:p>
      <w:pPr>
        <w:pStyle w:val="2"/>
        <w:spacing w:line="360" w:lineRule="auto"/>
        <w:ind w:firstLine="560"/>
        <w:jc w:val="left"/>
        <w:rPr>
          <w:rFonts w:ascii="黑体" w:hAnsi="黑体" w:eastAsia="黑体"/>
          <w:sz w:val="28"/>
          <w:szCs w:val="28"/>
        </w:rPr>
      </w:pPr>
      <w:r>
        <w:rPr>
          <w:rFonts w:hint="eastAsia" w:ascii="黑体" w:hAnsi="黑体" w:eastAsia="黑体"/>
          <w:sz w:val="28"/>
          <w:szCs w:val="28"/>
        </w:rPr>
        <w:t>（三）课程思政建设及实施</w:t>
      </w:r>
      <w:r>
        <w:rPr>
          <w:rFonts w:ascii="黑体" w:hAnsi="黑体" w:eastAsia="黑体"/>
          <w:szCs w:val="21"/>
        </w:rPr>
        <w:t>……………………………………………………</w:t>
      </w:r>
      <w:r>
        <w:rPr>
          <w:rFonts w:ascii="黑体" w:hAnsi="黑体" w:eastAsia="黑体"/>
          <w:sz w:val="28"/>
          <w:szCs w:val="28"/>
        </w:rPr>
        <w:t>23</w:t>
      </w:r>
    </w:p>
    <w:p>
      <w:pPr>
        <w:pStyle w:val="18"/>
        <w:rPr>
          <w:rFonts w:ascii="黑体" w:hAnsi="黑体" w:eastAsia="黑体" w:cstheme="minorBidi"/>
          <w:bCs/>
          <w:szCs w:val="28"/>
        </w:rPr>
      </w:pPr>
      <w:r>
        <w:fldChar w:fldCharType="begin"/>
      </w:r>
      <w:r>
        <w:instrText xml:space="preserve"> HYPERLINK \l "_Toc119633063" </w:instrText>
      </w:r>
      <w:r>
        <w:fldChar w:fldCharType="separate"/>
      </w:r>
      <w:r>
        <w:rPr>
          <w:rStyle w:val="29"/>
          <w:rFonts w:ascii="黑体" w:hAnsi="黑体" w:eastAsia="黑体"/>
          <w:bCs/>
          <w:color w:val="auto"/>
          <w:kern w:val="44"/>
          <w:szCs w:val="28"/>
        </w:rPr>
        <w:t>十、课程学时与学分</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_Toc119633063 \h </w:instrText>
      </w:r>
      <w:r>
        <w:rPr>
          <w:rFonts w:ascii="黑体" w:hAnsi="黑体" w:eastAsia="黑体"/>
          <w:bCs/>
          <w:szCs w:val="28"/>
        </w:rPr>
        <w:fldChar w:fldCharType="separate"/>
      </w:r>
      <w:r>
        <w:rPr>
          <w:rFonts w:ascii="黑体" w:hAnsi="黑体" w:eastAsia="黑体"/>
          <w:bCs/>
          <w:szCs w:val="28"/>
        </w:rPr>
        <w:t>24</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"_Toc119633064" </w:instrText>
      </w:r>
      <w:r>
        <w:fldChar w:fldCharType="separate"/>
      </w:r>
      <w:r>
        <w:rPr>
          <w:rStyle w:val="29"/>
          <w:rFonts w:ascii="黑体" w:hAnsi="黑体" w:eastAsia="黑体"/>
          <w:bCs/>
          <w:color w:val="auto"/>
          <w:szCs w:val="28"/>
        </w:rPr>
        <w:t>（一）学时、学分安排</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_Toc119633064 \h </w:instrText>
      </w:r>
      <w:r>
        <w:rPr>
          <w:rFonts w:ascii="黑体" w:hAnsi="黑体" w:eastAsia="黑体"/>
          <w:bCs/>
          <w:szCs w:val="28"/>
        </w:rPr>
        <w:fldChar w:fldCharType="separate"/>
      </w:r>
      <w:r>
        <w:rPr>
          <w:rFonts w:ascii="黑体" w:hAnsi="黑体" w:eastAsia="黑体"/>
          <w:bCs/>
          <w:szCs w:val="28"/>
        </w:rPr>
        <w:t>24</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"_Toc119633065" </w:instrText>
      </w:r>
      <w:r>
        <w:fldChar w:fldCharType="separate"/>
      </w:r>
      <w:r>
        <w:rPr>
          <w:rStyle w:val="29"/>
          <w:rFonts w:ascii="黑体" w:hAnsi="黑体" w:eastAsia="黑体"/>
          <w:bCs/>
          <w:color w:val="auto"/>
          <w:szCs w:val="28"/>
        </w:rPr>
        <w:t>（三）学时、学分分配汇总</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_Toc119633065 \h </w:instrText>
      </w:r>
      <w:r>
        <w:rPr>
          <w:rFonts w:ascii="黑体" w:hAnsi="黑体" w:eastAsia="黑体"/>
          <w:bCs/>
          <w:szCs w:val="28"/>
        </w:rPr>
        <w:fldChar w:fldCharType="separate"/>
      </w:r>
      <w:r>
        <w:rPr>
          <w:rFonts w:ascii="黑体" w:hAnsi="黑体" w:eastAsia="黑体"/>
          <w:bCs/>
          <w:szCs w:val="28"/>
        </w:rPr>
        <w:t>25</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"_Toc119633066" </w:instrText>
      </w:r>
      <w:r>
        <w:fldChar w:fldCharType="separate"/>
      </w:r>
      <w:r>
        <w:rPr>
          <w:rStyle w:val="29"/>
          <w:rFonts w:ascii="黑体" w:hAnsi="黑体" w:eastAsia="黑体"/>
          <w:bCs/>
          <w:color w:val="auto"/>
          <w:kern w:val="44"/>
          <w:szCs w:val="28"/>
        </w:rPr>
        <w:t>十一、教学进程总体安排</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_Toc119633066 \h </w:instrText>
      </w:r>
      <w:r>
        <w:rPr>
          <w:rFonts w:ascii="黑体" w:hAnsi="黑体" w:eastAsia="黑体"/>
          <w:bCs/>
          <w:szCs w:val="28"/>
        </w:rPr>
        <w:fldChar w:fldCharType="separate"/>
      </w:r>
      <w:r>
        <w:rPr>
          <w:rFonts w:ascii="黑体" w:hAnsi="黑体" w:eastAsia="黑体"/>
          <w:bCs/>
          <w:szCs w:val="28"/>
        </w:rPr>
        <w:t>26</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"_Toc119633067" </w:instrText>
      </w:r>
      <w:r>
        <w:fldChar w:fldCharType="separate"/>
      </w:r>
      <w:r>
        <w:rPr>
          <w:rStyle w:val="29"/>
          <w:rFonts w:ascii="黑体" w:hAnsi="黑体" w:eastAsia="黑体"/>
          <w:bCs/>
          <w:color w:val="auto"/>
          <w:szCs w:val="28"/>
        </w:rPr>
        <w:t>（一）课程设置总表</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_Toc119633067 \h </w:instrText>
      </w:r>
      <w:r>
        <w:rPr>
          <w:rFonts w:ascii="黑体" w:hAnsi="黑体" w:eastAsia="黑体"/>
          <w:bCs/>
          <w:szCs w:val="28"/>
        </w:rPr>
        <w:fldChar w:fldCharType="separate"/>
      </w:r>
      <w:r>
        <w:rPr>
          <w:rFonts w:ascii="黑体" w:hAnsi="黑体" w:eastAsia="黑体"/>
          <w:bCs/>
          <w:szCs w:val="28"/>
        </w:rPr>
        <w:t>26</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"_Toc119633068" </w:instrText>
      </w:r>
      <w:r>
        <w:fldChar w:fldCharType="separate"/>
      </w:r>
      <w:r>
        <w:rPr>
          <w:rStyle w:val="29"/>
          <w:rFonts w:ascii="黑体" w:hAnsi="黑体" w:eastAsia="黑体"/>
          <w:bCs/>
          <w:color w:val="auto"/>
          <w:kern w:val="44"/>
          <w:szCs w:val="28"/>
        </w:rPr>
        <w:t>十二、实施保障</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_Toc119633068 \h </w:instrText>
      </w:r>
      <w:r>
        <w:rPr>
          <w:rFonts w:ascii="黑体" w:hAnsi="黑体" w:eastAsia="黑体"/>
          <w:bCs/>
          <w:szCs w:val="28"/>
        </w:rPr>
        <w:fldChar w:fldCharType="separate"/>
      </w:r>
      <w:r>
        <w:rPr>
          <w:rFonts w:ascii="黑体" w:hAnsi="黑体" w:eastAsia="黑体"/>
          <w:bCs/>
          <w:szCs w:val="28"/>
        </w:rPr>
        <w:t>30</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"_Toc119633069" </w:instrText>
      </w:r>
      <w:r>
        <w:fldChar w:fldCharType="separate"/>
      </w:r>
      <w:r>
        <w:rPr>
          <w:rStyle w:val="29"/>
          <w:rFonts w:ascii="黑体" w:hAnsi="黑体" w:eastAsia="黑体"/>
          <w:bCs/>
          <w:color w:val="auto"/>
          <w:szCs w:val="28"/>
        </w:rPr>
        <w:t>（一）师资队伍</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_Toc119633069 \h </w:instrText>
      </w:r>
      <w:r>
        <w:rPr>
          <w:rFonts w:ascii="黑体" w:hAnsi="黑体" w:eastAsia="黑体"/>
          <w:bCs/>
          <w:szCs w:val="28"/>
        </w:rPr>
        <w:fldChar w:fldCharType="separate"/>
      </w:r>
      <w:r>
        <w:rPr>
          <w:rFonts w:ascii="黑体" w:hAnsi="黑体" w:eastAsia="黑体"/>
          <w:bCs/>
          <w:szCs w:val="28"/>
        </w:rPr>
        <w:t>30</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"_Toc119633070" </w:instrText>
      </w:r>
      <w:r>
        <w:fldChar w:fldCharType="separate"/>
      </w:r>
      <w:r>
        <w:rPr>
          <w:rStyle w:val="29"/>
          <w:rFonts w:ascii="黑体" w:hAnsi="黑体" w:eastAsia="黑体"/>
          <w:bCs/>
          <w:color w:val="auto"/>
          <w:szCs w:val="28"/>
        </w:rPr>
        <w:t>（二）教学设施</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_Toc119633070 \h </w:instrText>
      </w:r>
      <w:r>
        <w:rPr>
          <w:rFonts w:ascii="黑体" w:hAnsi="黑体" w:eastAsia="黑体"/>
          <w:bCs/>
          <w:szCs w:val="28"/>
        </w:rPr>
        <w:fldChar w:fldCharType="separate"/>
      </w:r>
      <w:r>
        <w:rPr>
          <w:rFonts w:ascii="黑体" w:hAnsi="黑体" w:eastAsia="黑体"/>
          <w:bCs/>
          <w:szCs w:val="28"/>
        </w:rPr>
        <w:t>30</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"_Toc119633071" </w:instrText>
      </w:r>
      <w:r>
        <w:fldChar w:fldCharType="separate"/>
      </w:r>
      <w:r>
        <w:rPr>
          <w:rStyle w:val="29"/>
          <w:rFonts w:ascii="黑体" w:hAnsi="黑体" w:eastAsia="黑体"/>
          <w:bCs/>
          <w:color w:val="auto"/>
          <w:szCs w:val="28"/>
        </w:rPr>
        <w:t>（三）教学资源</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_Toc119633071 \h </w:instrText>
      </w:r>
      <w:r>
        <w:rPr>
          <w:rFonts w:ascii="黑体" w:hAnsi="黑体" w:eastAsia="黑体"/>
          <w:bCs/>
          <w:szCs w:val="28"/>
        </w:rPr>
        <w:fldChar w:fldCharType="separate"/>
      </w:r>
      <w:r>
        <w:rPr>
          <w:rFonts w:ascii="黑体" w:hAnsi="黑体" w:eastAsia="黑体"/>
          <w:bCs/>
          <w:szCs w:val="28"/>
        </w:rPr>
        <w:t>33</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"_Toc119633072" </w:instrText>
      </w:r>
      <w:r>
        <w:fldChar w:fldCharType="separate"/>
      </w:r>
      <w:r>
        <w:rPr>
          <w:rStyle w:val="29"/>
          <w:rFonts w:ascii="黑体" w:hAnsi="黑体" w:eastAsia="黑体"/>
          <w:bCs/>
          <w:color w:val="auto"/>
          <w:szCs w:val="28"/>
        </w:rPr>
        <w:t>（四）教学方法</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_Toc119633072 \h </w:instrText>
      </w:r>
      <w:r>
        <w:rPr>
          <w:rFonts w:ascii="黑体" w:hAnsi="黑体" w:eastAsia="黑体"/>
          <w:bCs/>
          <w:szCs w:val="28"/>
        </w:rPr>
        <w:fldChar w:fldCharType="separate"/>
      </w:r>
      <w:r>
        <w:rPr>
          <w:rFonts w:ascii="黑体" w:hAnsi="黑体" w:eastAsia="黑体"/>
          <w:bCs/>
          <w:szCs w:val="28"/>
        </w:rPr>
        <w:t>33</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"_Toc119633073" </w:instrText>
      </w:r>
      <w:r>
        <w:fldChar w:fldCharType="separate"/>
      </w:r>
      <w:r>
        <w:rPr>
          <w:rStyle w:val="29"/>
          <w:rFonts w:ascii="黑体" w:hAnsi="黑体" w:eastAsia="黑体"/>
          <w:bCs/>
          <w:color w:val="auto"/>
          <w:szCs w:val="28"/>
        </w:rPr>
        <w:t>（五）考核评价</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_Toc119633073 \h </w:instrText>
      </w:r>
      <w:r>
        <w:rPr>
          <w:rFonts w:ascii="黑体" w:hAnsi="黑体" w:eastAsia="黑体"/>
          <w:bCs/>
          <w:szCs w:val="28"/>
        </w:rPr>
        <w:fldChar w:fldCharType="separate"/>
      </w:r>
      <w:r>
        <w:rPr>
          <w:rFonts w:ascii="黑体" w:hAnsi="黑体" w:eastAsia="黑体"/>
          <w:bCs/>
          <w:szCs w:val="28"/>
        </w:rPr>
        <w:t>34</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"_Toc119633074" </w:instrText>
      </w:r>
      <w:r>
        <w:fldChar w:fldCharType="separate"/>
      </w:r>
      <w:r>
        <w:rPr>
          <w:rStyle w:val="29"/>
          <w:rFonts w:ascii="黑体" w:hAnsi="黑体" w:eastAsia="黑体"/>
          <w:bCs/>
          <w:color w:val="auto"/>
          <w:szCs w:val="28"/>
        </w:rPr>
        <w:t>（六）质量管理</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_Toc119633074 \h </w:instrText>
      </w:r>
      <w:r>
        <w:rPr>
          <w:rFonts w:ascii="黑体" w:hAnsi="黑体" w:eastAsia="黑体"/>
          <w:bCs/>
          <w:szCs w:val="28"/>
        </w:rPr>
        <w:fldChar w:fldCharType="separate"/>
      </w:r>
      <w:r>
        <w:rPr>
          <w:rFonts w:ascii="黑体" w:hAnsi="黑体" w:eastAsia="黑体"/>
          <w:bCs/>
          <w:szCs w:val="28"/>
        </w:rPr>
        <w:t>35</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"_Toc119633075" </w:instrText>
      </w:r>
      <w:r>
        <w:fldChar w:fldCharType="separate"/>
      </w:r>
      <w:r>
        <w:rPr>
          <w:rStyle w:val="29"/>
          <w:rFonts w:ascii="黑体" w:hAnsi="黑体" w:eastAsia="黑体"/>
          <w:bCs/>
          <w:color w:val="auto"/>
          <w:kern w:val="44"/>
          <w:szCs w:val="28"/>
        </w:rPr>
        <w:t>十三、毕业要求</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_Toc119633075 \h </w:instrText>
      </w:r>
      <w:r>
        <w:rPr>
          <w:rFonts w:ascii="黑体" w:hAnsi="黑体" w:eastAsia="黑体"/>
          <w:bCs/>
          <w:szCs w:val="28"/>
        </w:rPr>
        <w:fldChar w:fldCharType="separate"/>
      </w:r>
      <w:r>
        <w:rPr>
          <w:rFonts w:ascii="黑体" w:hAnsi="黑体" w:eastAsia="黑体"/>
          <w:bCs/>
          <w:szCs w:val="28"/>
        </w:rPr>
        <w:t>35</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"_Toc119633076" </w:instrText>
      </w:r>
      <w:r>
        <w:fldChar w:fldCharType="separate"/>
      </w:r>
      <w:r>
        <w:rPr>
          <w:rStyle w:val="29"/>
          <w:rFonts w:ascii="黑体" w:hAnsi="黑体" w:eastAsia="黑体"/>
          <w:bCs/>
          <w:color w:val="auto"/>
          <w:szCs w:val="28"/>
        </w:rPr>
        <w:t>（一）学分要求</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_Toc119633076 \h </w:instrText>
      </w:r>
      <w:r>
        <w:rPr>
          <w:rFonts w:ascii="黑体" w:hAnsi="黑体" w:eastAsia="黑体"/>
          <w:bCs/>
          <w:szCs w:val="28"/>
        </w:rPr>
        <w:fldChar w:fldCharType="separate"/>
      </w:r>
      <w:r>
        <w:rPr>
          <w:rFonts w:ascii="黑体" w:hAnsi="黑体" w:eastAsia="黑体"/>
          <w:bCs/>
          <w:szCs w:val="28"/>
        </w:rPr>
        <w:t>35</w:t>
      </w:r>
      <w:r>
        <w:rPr>
          <w:rFonts w:ascii="黑体" w:hAnsi="黑体" w:eastAsia="黑体"/>
          <w:bCs/>
          <w:szCs w:val="28"/>
        </w:rPr>
        <w:fldChar w:fldCharType="end"/>
      </w:r>
      <w:r>
        <w:rPr>
          <w:rFonts w:ascii="黑体" w:hAnsi="黑体" w:eastAsia="黑体"/>
          <w:bCs/>
          <w:szCs w:val="28"/>
        </w:rPr>
        <w:fldChar w:fldCharType="end"/>
      </w:r>
    </w:p>
    <w:p>
      <w:pPr>
        <w:pStyle w:val="20"/>
        <w:ind w:firstLine="473"/>
        <w:rPr>
          <w:rFonts w:ascii="黑体" w:hAnsi="黑体" w:eastAsia="黑体" w:cstheme="minorBidi"/>
          <w:bCs/>
          <w:szCs w:val="28"/>
        </w:rPr>
      </w:pPr>
      <w:r>
        <w:fldChar w:fldCharType="begin"/>
      </w:r>
      <w:r>
        <w:instrText xml:space="preserve"> HYPERLINK \l "_Toc119633077" </w:instrText>
      </w:r>
      <w:r>
        <w:fldChar w:fldCharType="separate"/>
      </w:r>
      <w:r>
        <w:rPr>
          <w:rStyle w:val="29"/>
          <w:rFonts w:ascii="黑体" w:hAnsi="黑体" w:eastAsia="黑体"/>
          <w:bCs/>
          <w:color w:val="auto"/>
          <w:szCs w:val="28"/>
        </w:rPr>
        <w:t>（二）证书要求</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_Toc119633077 \h </w:instrText>
      </w:r>
      <w:r>
        <w:rPr>
          <w:rFonts w:ascii="黑体" w:hAnsi="黑体" w:eastAsia="黑体"/>
          <w:bCs/>
          <w:szCs w:val="28"/>
        </w:rPr>
        <w:fldChar w:fldCharType="separate"/>
      </w:r>
      <w:r>
        <w:rPr>
          <w:rFonts w:ascii="黑体" w:hAnsi="黑体" w:eastAsia="黑体"/>
          <w:bCs/>
          <w:szCs w:val="28"/>
        </w:rPr>
        <w:t>36</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"_Toc119633078" </w:instrText>
      </w:r>
      <w:r>
        <w:fldChar w:fldCharType="separate"/>
      </w:r>
      <w:r>
        <w:rPr>
          <w:rStyle w:val="29"/>
          <w:rFonts w:hint="eastAsia" w:ascii="黑体" w:hAnsi="黑体" w:eastAsia="黑体"/>
          <w:bCs/>
          <w:color w:val="auto"/>
          <w:szCs w:val="28"/>
        </w:rPr>
        <w:t>建筑工程技术专业</w:t>
      </w:r>
      <w:r>
        <w:rPr>
          <w:rStyle w:val="29"/>
          <w:rFonts w:ascii="黑体" w:hAnsi="黑体" w:eastAsia="黑体"/>
          <w:bCs/>
          <w:color w:val="auto"/>
          <w:szCs w:val="28"/>
        </w:rPr>
        <w:t>课程标准</w:t>
      </w:r>
      <w:r>
        <w:rPr>
          <w:rFonts w:ascii="黑体" w:hAnsi="黑体" w:eastAsia="黑体"/>
          <w:bCs/>
          <w:szCs w:val="28"/>
        </w:rPr>
        <w:tab/>
      </w:r>
      <w:r>
        <w:rPr>
          <w:rFonts w:ascii="黑体" w:hAnsi="黑体" w:eastAsia="黑体"/>
          <w:bCs/>
          <w:szCs w:val="28"/>
        </w:rPr>
        <w:fldChar w:fldCharType="begin"/>
      </w:r>
      <w:r>
        <w:rPr>
          <w:rFonts w:ascii="黑体" w:hAnsi="黑体" w:eastAsia="黑体"/>
          <w:bCs/>
          <w:szCs w:val="28"/>
        </w:rPr>
        <w:instrText xml:space="preserve"> PAGEREF _Toc119633078 \h </w:instrText>
      </w:r>
      <w:r>
        <w:rPr>
          <w:rFonts w:ascii="黑体" w:hAnsi="黑体" w:eastAsia="黑体"/>
          <w:bCs/>
          <w:szCs w:val="28"/>
        </w:rPr>
        <w:fldChar w:fldCharType="separate"/>
      </w:r>
      <w:r>
        <w:rPr>
          <w:rFonts w:ascii="黑体" w:hAnsi="黑体" w:eastAsia="黑体"/>
          <w:bCs/>
          <w:szCs w:val="28"/>
        </w:rPr>
        <w:t>37</w:t>
      </w:r>
      <w:r>
        <w:rPr>
          <w:rFonts w:ascii="黑体" w:hAnsi="黑体" w:eastAsia="黑体"/>
          <w:bCs/>
          <w:szCs w:val="28"/>
        </w:rPr>
        <w:fldChar w:fldCharType="end"/>
      </w:r>
      <w:r>
        <w:rPr>
          <w:rFonts w:ascii="黑体" w:hAnsi="黑体" w:eastAsia="黑体"/>
          <w:bCs/>
          <w:szCs w:val="28"/>
        </w:rPr>
        <w:fldChar w:fldCharType="end"/>
      </w:r>
    </w:p>
    <w:p>
      <w:pPr>
        <w:pStyle w:val="18"/>
        <w:rPr>
          <w:rFonts w:ascii="黑体" w:hAnsi="黑体" w:eastAsia="黑体" w:cstheme="minorBidi"/>
          <w:bCs/>
          <w:szCs w:val="28"/>
        </w:rPr>
      </w:pPr>
      <w:r>
        <w:fldChar w:fldCharType="begin"/>
      </w:r>
      <w:r>
        <w:instrText xml:space="preserve"> HYPERLINK \l "_Toc119633079" </w:instrText>
      </w:r>
      <w:r>
        <w:fldChar w:fldCharType="separate"/>
      </w:r>
      <w:r>
        <w:rPr>
          <w:rStyle w:val="29"/>
          <w:rFonts w:ascii="黑体" w:hAnsi="黑体" w:eastAsia="黑体"/>
          <w:bCs/>
          <w:color w:val="auto"/>
          <w:szCs w:val="28"/>
        </w:rPr>
        <w:t>建筑</w:t>
      </w:r>
      <w:r>
        <w:rPr>
          <w:rStyle w:val="29"/>
          <w:rFonts w:hint="eastAsia" w:ascii="黑体" w:hAnsi="黑体" w:eastAsia="黑体"/>
          <w:bCs/>
          <w:color w:val="auto"/>
          <w:szCs w:val="28"/>
        </w:rPr>
        <w:t>工程技术</w:t>
      </w:r>
      <w:r>
        <w:rPr>
          <w:rStyle w:val="29"/>
          <w:rFonts w:ascii="黑体" w:hAnsi="黑体" w:eastAsia="黑体"/>
          <w:bCs/>
          <w:color w:val="auto"/>
          <w:szCs w:val="28"/>
        </w:rPr>
        <w:t>专业</w:t>
      </w:r>
      <w:r>
        <w:rPr>
          <w:rStyle w:val="29"/>
          <w:rFonts w:hint="eastAsia" w:ascii="黑体" w:hAnsi="黑体" w:eastAsia="黑体"/>
          <w:bCs/>
          <w:color w:val="auto"/>
          <w:szCs w:val="28"/>
        </w:rPr>
        <w:t>调研报告</w:t>
      </w:r>
      <w:r>
        <w:rPr>
          <w:rFonts w:ascii="黑体" w:hAnsi="黑体" w:eastAsia="黑体"/>
          <w:bCs/>
          <w:szCs w:val="28"/>
        </w:rPr>
        <w:tab/>
      </w:r>
      <w:r>
        <w:rPr>
          <w:rFonts w:ascii="黑体" w:hAnsi="黑体" w:eastAsia="黑体"/>
          <w:bCs/>
          <w:szCs w:val="28"/>
        </w:rPr>
        <w:t>51</w:t>
      </w:r>
      <w:r>
        <w:rPr>
          <w:rFonts w:ascii="黑体" w:hAnsi="黑体" w:eastAsia="黑体"/>
          <w:bCs/>
          <w:szCs w:val="28"/>
        </w:rPr>
        <w:fldChar w:fldCharType="end"/>
      </w:r>
    </w:p>
    <w:p>
      <w:pPr>
        <w:pStyle w:val="18"/>
        <w:rPr>
          <w:rFonts w:ascii="黑体" w:hAnsi="黑体" w:eastAsia="黑体" w:cstheme="minorBidi"/>
          <w:bCs/>
          <w:szCs w:val="28"/>
        </w:rPr>
      </w:pPr>
      <w:r>
        <w:rPr>
          <w:rFonts w:ascii="黑体" w:hAnsi="黑体" w:eastAsia="黑体"/>
          <w:bCs/>
          <w:szCs w:val="28"/>
        </w:rPr>
        <w:fldChar w:fldCharType="end"/>
      </w:r>
      <w:r>
        <w:fldChar w:fldCharType="begin"/>
      </w:r>
      <w:r>
        <w:instrText xml:space="preserve"> HYPERLINK \l "_Toc119633079" </w:instrText>
      </w:r>
      <w:r>
        <w:fldChar w:fldCharType="separate"/>
      </w:r>
      <w:r>
        <w:rPr>
          <w:rStyle w:val="29"/>
          <w:rFonts w:ascii="黑体" w:hAnsi="黑体" w:eastAsia="黑体"/>
          <w:bCs/>
          <w:color w:val="auto"/>
          <w:szCs w:val="28"/>
          <w:u w:val="none"/>
        </w:rPr>
        <w:t>建筑</w:t>
      </w:r>
      <w:r>
        <w:rPr>
          <w:rStyle w:val="29"/>
          <w:rFonts w:hint="eastAsia" w:ascii="黑体" w:hAnsi="黑体" w:eastAsia="黑体"/>
          <w:bCs/>
          <w:color w:val="auto"/>
          <w:szCs w:val="28"/>
          <w:u w:val="none"/>
        </w:rPr>
        <w:t>工程技术</w:t>
      </w:r>
      <w:r>
        <w:rPr>
          <w:rStyle w:val="29"/>
          <w:rFonts w:ascii="黑体" w:hAnsi="黑体" w:eastAsia="黑体"/>
          <w:bCs/>
          <w:color w:val="auto"/>
          <w:szCs w:val="28"/>
          <w:u w:val="none"/>
        </w:rPr>
        <w:t>专业</w:t>
      </w:r>
      <w:r>
        <w:rPr>
          <w:rStyle w:val="29"/>
          <w:rFonts w:hint="eastAsia" w:ascii="黑体" w:hAnsi="黑体" w:eastAsia="黑体"/>
          <w:bCs/>
          <w:color w:val="auto"/>
          <w:szCs w:val="28"/>
          <w:u w:val="none"/>
        </w:rPr>
        <w:t>建设指导委员会</w:t>
      </w:r>
      <w:r>
        <w:rPr>
          <w:rFonts w:ascii="黑体" w:hAnsi="黑体" w:eastAsia="黑体"/>
          <w:bCs/>
          <w:szCs w:val="28"/>
        </w:rPr>
        <w:tab/>
      </w:r>
      <w:r>
        <w:rPr>
          <w:rFonts w:ascii="黑体" w:hAnsi="黑体" w:eastAsia="黑体"/>
          <w:bCs/>
          <w:szCs w:val="28"/>
        </w:rPr>
        <w:t>55</w:t>
      </w:r>
      <w:r>
        <w:rPr>
          <w:rFonts w:ascii="黑体" w:hAnsi="黑体" w:eastAsia="黑体"/>
          <w:bCs/>
          <w:szCs w:val="28"/>
        </w:rPr>
        <w:fldChar w:fldCharType="end"/>
      </w:r>
    </w:p>
    <w:p>
      <w:pPr>
        <w:jc w:val="center"/>
        <w:rPr>
          <w:b/>
          <w:sz w:val="44"/>
          <w:szCs w:val="44"/>
        </w:rPr>
      </w:pPr>
    </w:p>
    <w:p>
      <w:pPr>
        <w:jc w:val="center"/>
        <w:rPr>
          <w:b/>
          <w:sz w:val="44"/>
          <w:szCs w:val="44"/>
        </w:rPr>
      </w:pPr>
    </w:p>
    <w:p>
      <w:pPr>
        <w:rPr>
          <w:b/>
          <w:sz w:val="44"/>
          <w:szCs w:val="44"/>
        </w:rPr>
      </w:pPr>
    </w:p>
    <w:p>
      <w:pPr>
        <w:jc w:val="center"/>
        <w:rPr>
          <w:b/>
          <w:sz w:val="44"/>
          <w:szCs w:val="44"/>
        </w:rPr>
      </w:pPr>
    </w:p>
    <w:p>
      <w:pPr>
        <w:rPr>
          <w:b/>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pPr>
        <w:jc w:val="center"/>
        <w:rPr>
          <w:b/>
          <w:sz w:val="44"/>
          <w:szCs w:val="44"/>
        </w:rPr>
      </w:pPr>
      <w:r>
        <w:rPr>
          <w:rFonts w:hint="eastAsia"/>
          <w:b/>
          <w:sz w:val="44"/>
          <w:szCs w:val="44"/>
        </w:rPr>
        <w:t>2023级建筑工程技术专业</w:t>
      </w:r>
      <w:r>
        <w:rPr>
          <w:rFonts w:hAnsi="宋体"/>
          <w:b/>
          <w:sz w:val="44"/>
          <w:szCs w:val="44"/>
        </w:rPr>
        <w:t>人才培养方案</w:t>
      </w:r>
    </w:p>
    <w:p>
      <w:pPr>
        <w:keepNext/>
        <w:keepLines/>
        <w:spacing w:line="500" w:lineRule="exact"/>
        <w:outlineLvl w:val="0"/>
        <w:rPr>
          <w:rFonts w:eastAsia="黑体"/>
          <w:b/>
          <w:bCs/>
          <w:kern w:val="44"/>
          <w:sz w:val="32"/>
          <w:szCs w:val="30"/>
        </w:rPr>
      </w:pP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kern w:val="44"/>
          <w:sz w:val="32"/>
          <w:szCs w:val="30"/>
        </w:rPr>
      </w:pPr>
      <w:bookmarkStart w:id="7" w:name="_Toc119633028"/>
      <w:r>
        <w:rPr>
          <w:rFonts w:hint="eastAsia" w:eastAsia="黑体"/>
          <w:b/>
          <w:bCs/>
          <w:kern w:val="44"/>
          <w:sz w:val="32"/>
          <w:szCs w:val="30"/>
        </w:rPr>
        <w:t>专业名称及代码</w:t>
      </w:r>
      <w:bookmarkEnd w:id="7"/>
    </w:p>
    <w:p>
      <w:pPr>
        <w:keepNext/>
        <w:keepLines/>
        <w:spacing w:line="500" w:lineRule="exact"/>
        <w:ind w:firstLine="632" w:firstLineChars="300"/>
        <w:outlineLvl w:val="0"/>
        <w:rPr>
          <w:rFonts w:ascii="宋体" w:hAnsi="宋体"/>
          <w:kern w:val="44"/>
          <w:szCs w:val="21"/>
        </w:rPr>
      </w:pPr>
      <w:bookmarkStart w:id="8" w:name="_Toc119633029"/>
      <w:r>
        <w:rPr>
          <w:rFonts w:hint="eastAsia" w:ascii="宋体" w:hAnsi="宋体"/>
          <w:b/>
          <w:bCs/>
          <w:kern w:val="44"/>
          <w:szCs w:val="21"/>
        </w:rPr>
        <w:t>专业名称：</w:t>
      </w:r>
      <w:r>
        <w:rPr>
          <w:rFonts w:hint="eastAsia" w:ascii="宋体" w:hAnsi="宋体"/>
          <w:kern w:val="44"/>
          <w:szCs w:val="21"/>
        </w:rPr>
        <w:t>建筑工程技术</w:t>
      </w:r>
      <w:bookmarkEnd w:id="8"/>
    </w:p>
    <w:p>
      <w:pPr>
        <w:keepNext/>
        <w:keepLines/>
        <w:spacing w:line="500" w:lineRule="exact"/>
        <w:ind w:firstLine="632" w:firstLineChars="300"/>
        <w:outlineLvl w:val="0"/>
        <w:rPr>
          <w:rFonts w:ascii="宋体" w:hAnsi="宋体"/>
          <w:b/>
          <w:bCs/>
          <w:kern w:val="44"/>
          <w:szCs w:val="21"/>
        </w:rPr>
      </w:pPr>
      <w:bookmarkStart w:id="9" w:name="_Toc119633030"/>
      <w:r>
        <w:rPr>
          <w:rFonts w:hint="eastAsia" w:ascii="宋体" w:hAnsi="宋体"/>
          <w:b/>
          <w:bCs/>
          <w:kern w:val="44"/>
          <w:szCs w:val="21"/>
        </w:rPr>
        <w:t>专业代码：</w:t>
      </w:r>
      <w:r>
        <w:rPr>
          <w:rFonts w:hint="eastAsia" w:ascii="宋体" w:hAnsi="宋体"/>
          <w:kern w:val="44"/>
          <w:szCs w:val="21"/>
        </w:rPr>
        <w:t>440301</w:t>
      </w:r>
      <w:bookmarkEnd w:id="9"/>
    </w:p>
    <w:bookmarkEnd w:id="6"/>
    <w:p>
      <w:pPr>
        <w:keepNext/>
        <w:keepLines/>
        <w:spacing w:line="500" w:lineRule="exact"/>
        <w:ind w:firstLine="643" w:firstLineChars="200"/>
        <w:outlineLvl w:val="0"/>
        <w:rPr>
          <w:rFonts w:eastAsia="黑体"/>
          <w:b/>
          <w:bCs/>
          <w:kern w:val="44"/>
          <w:sz w:val="32"/>
          <w:szCs w:val="30"/>
        </w:rPr>
      </w:pPr>
      <w:bookmarkStart w:id="10" w:name="_Toc46303704"/>
      <w:bookmarkStart w:id="11" w:name="_Toc119633031"/>
      <w:bookmarkStart w:id="12" w:name="_Hlk11185753"/>
      <w:bookmarkStart w:id="13" w:name="_Toc305418727"/>
      <w:bookmarkStart w:id="14" w:name="_Toc303837891"/>
      <w:r>
        <w:rPr>
          <w:rFonts w:hint="eastAsia" w:eastAsia="黑体"/>
          <w:b/>
          <w:bCs/>
          <w:kern w:val="44"/>
          <w:sz w:val="32"/>
          <w:szCs w:val="30"/>
        </w:rPr>
        <w:t>二、入学要求</w:t>
      </w:r>
      <w:bookmarkEnd w:id="10"/>
      <w:bookmarkEnd w:id="11"/>
    </w:p>
    <w:bookmarkEnd w:id="12"/>
    <w:p>
      <w:pPr>
        <w:keepNext/>
        <w:keepLines/>
        <w:spacing w:line="500" w:lineRule="exact"/>
        <w:ind w:firstLine="630" w:firstLineChars="300"/>
        <w:outlineLvl w:val="0"/>
        <w:rPr>
          <w:rFonts w:ascii="仿宋_GB2312" w:hAnsi="仿宋" w:cs="仿宋_GB2312"/>
          <w:szCs w:val="24"/>
        </w:rPr>
      </w:pPr>
      <w:bookmarkStart w:id="15" w:name="_Toc119633032"/>
      <w:bookmarkStart w:id="16" w:name="_Hlk12287714"/>
      <w:r>
        <w:rPr>
          <w:rFonts w:hint="eastAsia" w:ascii="仿宋_GB2312" w:hAnsi="仿宋" w:cs="仿宋_GB2312"/>
          <w:szCs w:val="24"/>
        </w:rPr>
        <w:t>1.高中阶段教育毕业生</w:t>
      </w:r>
      <w:bookmarkEnd w:id="15"/>
    </w:p>
    <w:p>
      <w:pPr>
        <w:keepNext/>
        <w:keepLines/>
        <w:spacing w:line="500" w:lineRule="exact"/>
        <w:ind w:firstLine="630" w:firstLineChars="300"/>
        <w:outlineLvl w:val="0"/>
        <w:rPr>
          <w:rFonts w:ascii="仿宋_GB2312" w:hAnsi="仿宋" w:cs="仿宋_GB2312"/>
          <w:szCs w:val="24"/>
        </w:rPr>
      </w:pPr>
      <w:bookmarkStart w:id="17" w:name="_Toc119633033"/>
      <w:r>
        <w:rPr>
          <w:rFonts w:hint="eastAsia" w:ascii="仿宋_GB2312" w:hAnsi="仿宋" w:cs="仿宋_GB2312"/>
          <w:szCs w:val="24"/>
        </w:rPr>
        <w:t>2.具有高中阶段同等学力者</w:t>
      </w:r>
      <w:bookmarkEnd w:id="17"/>
    </w:p>
    <w:bookmarkEnd w:id="16"/>
    <w:p>
      <w:pPr>
        <w:keepNext/>
        <w:keepLines/>
        <w:spacing w:line="500" w:lineRule="exact"/>
        <w:ind w:firstLine="643" w:firstLineChars="200"/>
        <w:outlineLvl w:val="0"/>
        <w:rPr>
          <w:rFonts w:eastAsia="黑体"/>
          <w:b/>
          <w:bCs/>
          <w:kern w:val="44"/>
          <w:sz w:val="32"/>
          <w:szCs w:val="30"/>
        </w:rPr>
      </w:pPr>
      <w:bookmarkStart w:id="18" w:name="_Toc46303705"/>
      <w:bookmarkStart w:id="19" w:name="_Toc119633034"/>
      <w:bookmarkStart w:id="20" w:name="_Hlk11185867"/>
      <w:r>
        <w:rPr>
          <w:rFonts w:hint="eastAsia" w:eastAsia="黑体"/>
          <w:b/>
          <w:bCs/>
          <w:kern w:val="44"/>
          <w:sz w:val="32"/>
          <w:szCs w:val="30"/>
        </w:rPr>
        <w:t>三、修业年限</w:t>
      </w:r>
      <w:bookmarkEnd w:id="18"/>
      <w:bookmarkEnd w:id="19"/>
    </w:p>
    <w:bookmarkEnd w:id="20"/>
    <w:p>
      <w:pPr>
        <w:keepNext/>
        <w:keepLines/>
        <w:spacing w:line="500" w:lineRule="exact"/>
        <w:ind w:firstLine="630" w:firstLineChars="300"/>
        <w:outlineLvl w:val="0"/>
        <w:rPr>
          <w:rFonts w:ascii="仿宋_GB2312" w:hAnsi="仿宋" w:cs="仿宋_GB2312"/>
          <w:szCs w:val="24"/>
        </w:rPr>
      </w:pPr>
      <w:bookmarkStart w:id="21" w:name="_Toc119633035"/>
      <w:bookmarkStart w:id="22" w:name="_Toc46303706"/>
      <w:bookmarkStart w:id="23" w:name="_Hlk11185893"/>
      <w:bookmarkStart w:id="24" w:name="_Toc407697891"/>
      <w:bookmarkStart w:id="25" w:name="_Toc405393376"/>
      <w:bookmarkStart w:id="26" w:name="_Toc407696133"/>
      <w:r>
        <w:rPr>
          <w:rFonts w:hint="eastAsia" w:ascii="仿宋_GB2312" w:hAnsi="仿宋" w:cs="仿宋_GB2312"/>
          <w:szCs w:val="24"/>
        </w:rPr>
        <w:t>弹性学制，修业年限3-6年。</w:t>
      </w:r>
      <w:bookmarkEnd w:id="21"/>
    </w:p>
    <w:p>
      <w:pPr>
        <w:keepNext/>
        <w:keepLines/>
        <w:spacing w:line="500" w:lineRule="exact"/>
        <w:ind w:firstLine="643" w:firstLineChars="200"/>
        <w:outlineLvl w:val="0"/>
        <w:rPr>
          <w:rFonts w:eastAsia="黑体"/>
          <w:b/>
          <w:bCs/>
          <w:kern w:val="44"/>
          <w:sz w:val="32"/>
          <w:szCs w:val="30"/>
        </w:rPr>
      </w:pPr>
      <w:bookmarkStart w:id="27" w:name="_Toc119633036"/>
      <w:r>
        <w:rPr>
          <w:rFonts w:hint="eastAsia" w:eastAsia="黑体"/>
          <w:b/>
          <w:bCs/>
          <w:kern w:val="44"/>
          <w:sz w:val="32"/>
          <w:szCs w:val="30"/>
        </w:rPr>
        <w:t>四、职业面向</w:t>
      </w:r>
      <w:bookmarkEnd w:id="22"/>
      <w:bookmarkEnd w:id="27"/>
    </w:p>
    <w:p>
      <w:pPr>
        <w:jc w:val="center"/>
        <w:rPr>
          <w:rFonts w:ascii="宋体" w:hAnsi="宋体" w:cs="宋体"/>
          <w:bCs/>
          <w:kern w:val="0"/>
          <w:sz w:val="18"/>
          <w:szCs w:val="18"/>
        </w:rPr>
      </w:pPr>
      <w:bookmarkStart w:id="28" w:name="_Hlk11958191"/>
      <w:r>
        <w:rPr>
          <w:rFonts w:hint="eastAsia" w:ascii="Times New Roman" w:hAnsi="Times New Roman"/>
          <w:b/>
          <w:bCs/>
          <w:sz w:val="24"/>
          <w:szCs w:val="24"/>
        </w:rPr>
        <w:t>表1  职业面向表</w:t>
      </w:r>
    </w:p>
    <w:bookmarkEnd w:id="23"/>
    <w:tbl>
      <w:tblPr>
        <w:tblStyle w:val="24"/>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2"/>
        <w:gridCol w:w="1143"/>
        <w:gridCol w:w="1143"/>
        <w:gridCol w:w="1371"/>
        <w:gridCol w:w="1797"/>
        <w:gridCol w:w="17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1272" w:type="dxa"/>
            <w:vAlign w:val="center"/>
          </w:tcPr>
          <w:p>
            <w:pPr>
              <w:jc w:val="center"/>
              <w:rPr>
                <w:rFonts w:ascii="宋体" w:hAnsi="宋体" w:cs="宋体"/>
                <w:bCs/>
                <w:kern w:val="0"/>
                <w:sz w:val="18"/>
                <w:szCs w:val="18"/>
              </w:rPr>
            </w:pPr>
            <w:r>
              <w:rPr>
                <w:rFonts w:hint="eastAsia" w:ascii="宋体" w:hAnsi="宋体" w:cs="宋体"/>
                <w:bCs/>
                <w:kern w:val="0"/>
                <w:sz w:val="18"/>
                <w:szCs w:val="18"/>
              </w:rPr>
              <w:t>所属专业大类（代码）</w:t>
            </w:r>
          </w:p>
        </w:tc>
        <w:tc>
          <w:tcPr>
            <w:tcW w:w="1143" w:type="dxa"/>
            <w:vAlign w:val="center"/>
          </w:tcPr>
          <w:p>
            <w:pPr>
              <w:jc w:val="center"/>
              <w:rPr>
                <w:rFonts w:ascii="宋体" w:hAnsi="宋体" w:cs="宋体"/>
                <w:bCs/>
                <w:kern w:val="0"/>
                <w:sz w:val="18"/>
                <w:szCs w:val="18"/>
              </w:rPr>
            </w:pPr>
            <w:r>
              <w:rPr>
                <w:rFonts w:hint="eastAsia" w:ascii="宋体" w:hAnsi="宋体" w:cs="宋体"/>
                <w:bCs/>
                <w:kern w:val="0"/>
                <w:sz w:val="18"/>
                <w:szCs w:val="18"/>
              </w:rPr>
              <w:t>所属专业类</w:t>
            </w:r>
          </w:p>
          <w:p>
            <w:pPr>
              <w:jc w:val="center"/>
              <w:rPr>
                <w:rFonts w:ascii="宋体" w:hAnsi="宋体" w:cs="宋体"/>
                <w:bCs/>
                <w:kern w:val="0"/>
                <w:sz w:val="18"/>
                <w:szCs w:val="18"/>
              </w:rPr>
            </w:pPr>
            <w:r>
              <w:rPr>
                <w:rFonts w:hint="eastAsia" w:ascii="宋体" w:hAnsi="宋体" w:cs="宋体"/>
                <w:bCs/>
                <w:kern w:val="0"/>
                <w:sz w:val="18"/>
                <w:szCs w:val="18"/>
              </w:rPr>
              <w:t>（代码）</w:t>
            </w:r>
          </w:p>
        </w:tc>
        <w:tc>
          <w:tcPr>
            <w:tcW w:w="1143" w:type="dxa"/>
            <w:vAlign w:val="center"/>
          </w:tcPr>
          <w:p>
            <w:pPr>
              <w:jc w:val="center"/>
              <w:rPr>
                <w:rFonts w:ascii="宋体" w:hAnsi="宋体" w:cs="宋体"/>
                <w:bCs/>
                <w:kern w:val="0"/>
                <w:sz w:val="18"/>
                <w:szCs w:val="18"/>
              </w:rPr>
            </w:pPr>
            <w:r>
              <w:rPr>
                <w:rFonts w:hint="eastAsia" w:ascii="宋体" w:hAnsi="宋体" w:cs="宋体"/>
                <w:bCs/>
                <w:kern w:val="0"/>
                <w:sz w:val="18"/>
                <w:szCs w:val="18"/>
              </w:rPr>
              <w:t>对应行业</w:t>
            </w:r>
          </w:p>
          <w:p>
            <w:pPr>
              <w:jc w:val="center"/>
              <w:rPr>
                <w:rFonts w:ascii="宋体" w:hAnsi="宋体" w:cs="宋体"/>
                <w:bCs/>
                <w:kern w:val="0"/>
                <w:sz w:val="18"/>
                <w:szCs w:val="18"/>
              </w:rPr>
            </w:pPr>
            <w:r>
              <w:rPr>
                <w:rFonts w:hint="eastAsia" w:ascii="宋体" w:hAnsi="宋体" w:cs="宋体"/>
                <w:bCs/>
                <w:kern w:val="0"/>
                <w:sz w:val="18"/>
                <w:szCs w:val="18"/>
              </w:rPr>
              <w:t>（代码）</w:t>
            </w:r>
          </w:p>
        </w:tc>
        <w:tc>
          <w:tcPr>
            <w:tcW w:w="1371" w:type="dxa"/>
            <w:vAlign w:val="center"/>
          </w:tcPr>
          <w:p>
            <w:pPr>
              <w:jc w:val="center"/>
              <w:rPr>
                <w:rFonts w:ascii="宋体" w:hAnsi="宋体" w:cs="宋体"/>
                <w:bCs/>
                <w:kern w:val="0"/>
                <w:sz w:val="18"/>
                <w:szCs w:val="18"/>
              </w:rPr>
            </w:pPr>
            <w:r>
              <w:rPr>
                <w:rFonts w:hint="eastAsia" w:ascii="宋体" w:hAnsi="宋体" w:cs="宋体"/>
                <w:bCs/>
                <w:kern w:val="0"/>
                <w:sz w:val="18"/>
                <w:szCs w:val="18"/>
              </w:rPr>
              <w:t>主要职业类别（代码）</w:t>
            </w:r>
          </w:p>
        </w:tc>
        <w:tc>
          <w:tcPr>
            <w:tcW w:w="1797" w:type="dxa"/>
            <w:vAlign w:val="center"/>
          </w:tcPr>
          <w:p>
            <w:pPr>
              <w:jc w:val="center"/>
              <w:rPr>
                <w:rFonts w:ascii="宋体" w:hAnsi="宋体" w:cs="宋体"/>
                <w:bCs/>
                <w:kern w:val="0"/>
                <w:sz w:val="18"/>
                <w:szCs w:val="18"/>
              </w:rPr>
            </w:pPr>
            <w:r>
              <w:rPr>
                <w:rFonts w:hint="eastAsia" w:ascii="宋体" w:hAnsi="宋体" w:cs="宋体"/>
                <w:bCs/>
                <w:kern w:val="0"/>
                <w:sz w:val="18"/>
                <w:szCs w:val="18"/>
              </w:rPr>
              <w:t>主要岗位群或技术领域举例</w:t>
            </w:r>
          </w:p>
        </w:tc>
        <w:tc>
          <w:tcPr>
            <w:tcW w:w="1796" w:type="dxa"/>
            <w:vAlign w:val="center"/>
          </w:tcPr>
          <w:p>
            <w:pPr>
              <w:jc w:val="center"/>
              <w:rPr>
                <w:rFonts w:ascii="宋体" w:hAnsi="宋体" w:cs="宋体"/>
                <w:bCs/>
                <w:kern w:val="0"/>
                <w:sz w:val="18"/>
                <w:szCs w:val="18"/>
              </w:rPr>
            </w:pPr>
            <w:r>
              <w:rPr>
                <w:rFonts w:hint="eastAsia" w:ascii="宋体" w:hAnsi="宋体" w:cs="宋体"/>
                <w:bCs/>
                <w:kern w:val="0"/>
                <w:sz w:val="18"/>
                <w:szCs w:val="18"/>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84" w:hRule="exact"/>
        </w:trPr>
        <w:tc>
          <w:tcPr>
            <w:tcW w:w="1272" w:type="dxa"/>
            <w:vAlign w:val="center"/>
          </w:tcPr>
          <w:p>
            <w:pPr>
              <w:jc w:val="center"/>
              <w:rPr>
                <w:rFonts w:ascii="宋体" w:hAnsi="宋体" w:cs="宋体"/>
                <w:bCs/>
                <w:kern w:val="0"/>
                <w:sz w:val="18"/>
                <w:szCs w:val="18"/>
              </w:rPr>
            </w:pPr>
            <w:r>
              <w:rPr>
                <w:rFonts w:hint="eastAsia" w:ascii="宋体" w:hAnsi="宋体" w:cs="宋体"/>
                <w:bCs/>
                <w:kern w:val="0"/>
                <w:sz w:val="18"/>
                <w:szCs w:val="18"/>
              </w:rPr>
              <w:t>土木建筑大类（44）</w:t>
            </w:r>
          </w:p>
        </w:tc>
        <w:tc>
          <w:tcPr>
            <w:tcW w:w="1143" w:type="dxa"/>
            <w:vAlign w:val="center"/>
          </w:tcPr>
          <w:p>
            <w:pPr>
              <w:jc w:val="center"/>
              <w:rPr>
                <w:rFonts w:ascii="宋体" w:hAnsi="宋体" w:cs="宋体"/>
                <w:bCs/>
                <w:kern w:val="0"/>
                <w:sz w:val="18"/>
                <w:szCs w:val="18"/>
              </w:rPr>
            </w:pPr>
            <w:r>
              <w:rPr>
                <w:rFonts w:hint="eastAsia" w:ascii="宋体" w:hAnsi="宋体" w:cs="宋体"/>
                <w:bCs/>
                <w:kern w:val="0"/>
                <w:sz w:val="18"/>
                <w:szCs w:val="18"/>
              </w:rPr>
              <w:t>土建施工类（4403）</w:t>
            </w:r>
          </w:p>
        </w:tc>
        <w:tc>
          <w:tcPr>
            <w:tcW w:w="1143" w:type="dxa"/>
            <w:vAlign w:val="center"/>
          </w:tcPr>
          <w:p>
            <w:pPr>
              <w:jc w:val="center"/>
              <w:rPr>
                <w:rFonts w:ascii="宋体" w:hAnsi="宋体" w:cs="宋体"/>
                <w:bCs/>
                <w:kern w:val="0"/>
                <w:sz w:val="18"/>
                <w:szCs w:val="18"/>
              </w:rPr>
            </w:pPr>
            <w:r>
              <w:rPr>
                <w:rFonts w:hint="eastAsia" w:ascii="宋体" w:hAnsi="宋体" w:cs="宋体"/>
                <w:bCs/>
                <w:kern w:val="0"/>
                <w:sz w:val="18"/>
                <w:szCs w:val="18"/>
              </w:rPr>
              <w:t>房屋建筑业（47）土木工程建筑业（48）</w:t>
            </w:r>
          </w:p>
        </w:tc>
        <w:tc>
          <w:tcPr>
            <w:tcW w:w="1371" w:type="dxa"/>
            <w:vAlign w:val="center"/>
          </w:tcPr>
          <w:p>
            <w:pPr>
              <w:jc w:val="center"/>
              <w:rPr>
                <w:rFonts w:ascii="宋体" w:hAnsi="宋体" w:cs="宋体"/>
                <w:bCs/>
                <w:kern w:val="0"/>
                <w:sz w:val="18"/>
                <w:szCs w:val="18"/>
              </w:rPr>
            </w:pPr>
            <w:r>
              <w:rPr>
                <w:rFonts w:hint="eastAsia" w:ascii="宋体" w:hAnsi="宋体" w:cs="宋体"/>
                <w:bCs/>
                <w:kern w:val="0"/>
                <w:sz w:val="18"/>
                <w:szCs w:val="18"/>
              </w:rPr>
              <w:t>建筑设计工程技术人员（2022102）</w:t>
            </w:r>
          </w:p>
          <w:p>
            <w:pPr>
              <w:jc w:val="center"/>
              <w:rPr>
                <w:rFonts w:ascii="宋体" w:hAnsi="宋体" w:cs="宋体"/>
                <w:bCs/>
                <w:kern w:val="0"/>
                <w:sz w:val="18"/>
                <w:szCs w:val="18"/>
              </w:rPr>
            </w:pPr>
            <w:r>
              <w:rPr>
                <w:rFonts w:hint="eastAsia" w:ascii="宋体" w:hAnsi="宋体" w:cs="宋体"/>
                <w:bCs/>
                <w:kern w:val="0"/>
                <w:sz w:val="18"/>
                <w:szCs w:val="18"/>
              </w:rPr>
              <w:t>土木建筑工程技术人员（2022103）</w:t>
            </w:r>
          </w:p>
          <w:p>
            <w:pPr>
              <w:jc w:val="center"/>
              <w:rPr>
                <w:rFonts w:ascii="宋体" w:hAnsi="宋体" w:cs="宋体"/>
                <w:bCs/>
                <w:kern w:val="0"/>
                <w:sz w:val="18"/>
                <w:szCs w:val="18"/>
              </w:rPr>
            </w:pPr>
          </w:p>
          <w:p>
            <w:pPr>
              <w:jc w:val="center"/>
              <w:rPr>
                <w:rFonts w:ascii="宋体" w:hAnsi="宋体" w:cs="宋体"/>
                <w:bCs/>
                <w:kern w:val="0"/>
                <w:sz w:val="18"/>
                <w:szCs w:val="18"/>
              </w:rPr>
            </w:pPr>
          </w:p>
        </w:tc>
        <w:tc>
          <w:tcPr>
            <w:tcW w:w="1797" w:type="dxa"/>
            <w:vAlign w:val="center"/>
          </w:tcPr>
          <w:p>
            <w:pPr>
              <w:jc w:val="center"/>
              <w:rPr>
                <w:rFonts w:ascii="宋体" w:hAnsi="宋体" w:cs="宋体"/>
                <w:bCs/>
                <w:kern w:val="0"/>
                <w:sz w:val="18"/>
                <w:szCs w:val="18"/>
              </w:rPr>
            </w:pPr>
            <w:r>
              <w:rPr>
                <w:rFonts w:hint="eastAsia" w:ascii="宋体" w:hAnsi="宋体" w:cs="宋体"/>
                <w:bCs/>
                <w:kern w:val="0"/>
                <w:sz w:val="18"/>
                <w:szCs w:val="18"/>
              </w:rPr>
              <w:t>主要岗位：土建监理岗位和土建技工岗位，如监理员、施工员，钢筋工、混凝土工、测量放线工、砌筑工；相近岗位有造价员、安全员、质检员、管理员、资料员等。可晋升或考取一二级建造师、注册造价师、中级职称工程师等。</w:t>
            </w:r>
          </w:p>
          <w:p>
            <w:pPr>
              <w:jc w:val="center"/>
              <w:rPr>
                <w:rFonts w:ascii="宋体" w:hAnsi="宋体" w:cs="宋体"/>
                <w:bCs/>
                <w:kern w:val="0"/>
                <w:sz w:val="18"/>
                <w:szCs w:val="18"/>
              </w:rPr>
            </w:pPr>
            <w:r>
              <w:rPr>
                <w:rFonts w:hint="eastAsia" w:ascii="宋体" w:hAnsi="宋体" w:cs="宋体"/>
                <w:bCs/>
                <w:kern w:val="0"/>
                <w:sz w:val="18"/>
                <w:szCs w:val="18"/>
              </w:rPr>
              <w:t>技术领域：建筑劳务公司、建筑施工企业、建设单位、工程建设监理企业、建筑工程监理职能单位等其他相关企事业单位等。</w:t>
            </w:r>
          </w:p>
          <w:p>
            <w:pPr>
              <w:jc w:val="center"/>
              <w:rPr>
                <w:rFonts w:ascii="宋体" w:hAnsi="宋体" w:cs="宋体"/>
                <w:bCs/>
                <w:kern w:val="0"/>
                <w:sz w:val="18"/>
                <w:szCs w:val="18"/>
              </w:rPr>
            </w:pPr>
          </w:p>
          <w:p>
            <w:pPr>
              <w:jc w:val="center"/>
              <w:rPr>
                <w:rFonts w:ascii="宋体" w:hAnsi="宋体" w:cs="宋体"/>
                <w:bCs/>
                <w:kern w:val="0"/>
                <w:sz w:val="18"/>
                <w:szCs w:val="18"/>
              </w:rPr>
            </w:pPr>
          </w:p>
        </w:tc>
        <w:tc>
          <w:tcPr>
            <w:tcW w:w="1796" w:type="dxa"/>
            <w:vAlign w:val="center"/>
          </w:tcPr>
          <w:p>
            <w:pPr>
              <w:jc w:val="center"/>
              <w:rPr>
                <w:rFonts w:ascii="宋体" w:hAnsi="宋体" w:cs="宋体"/>
                <w:bCs/>
                <w:kern w:val="0"/>
                <w:sz w:val="18"/>
                <w:szCs w:val="18"/>
              </w:rPr>
            </w:pPr>
            <w:r>
              <w:rPr>
                <w:rFonts w:hint="eastAsia" w:ascii="宋体" w:hAnsi="宋体" w:cs="宋体"/>
                <w:bCs/>
                <w:kern w:val="0"/>
                <w:sz w:val="18"/>
                <w:szCs w:val="18"/>
              </w:rPr>
              <w:t>工程测量员、一二级建造师、监理工程师、注册造价师等；1+X BIM技能等级证书</w:t>
            </w:r>
          </w:p>
        </w:tc>
      </w:tr>
      <w:bookmarkEnd w:id="28"/>
    </w:tbl>
    <w:p>
      <w:pPr>
        <w:keepNext/>
        <w:keepLines/>
        <w:spacing w:line="500" w:lineRule="exact"/>
        <w:ind w:firstLine="643" w:firstLineChars="200"/>
        <w:outlineLvl w:val="0"/>
        <w:rPr>
          <w:rFonts w:ascii="Arial" w:hAnsi="Arial" w:eastAsia="黑体"/>
          <w:b/>
          <w:bCs/>
          <w:sz w:val="28"/>
          <w:szCs w:val="28"/>
        </w:rPr>
      </w:pPr>
      <w:bookmarkStart w:id="29" w:name="_Hlk11185969"/>
      <w:bookmarkStart w:id="30" w:name="_Toc46303707"/>
      <w:bookmarkStart w:id="31" w:name="_Toc119633037"/>
      <w:r>
        <w:rPr>
          <w:rFonts w:hint="eastAsia" w:eastAsia="黑体"/>
          <w:b/>
          <w:bCs/>
          <w:kern w:val="44"/>
          <w:sz w:val="32"/>
          <w:szCs w:val="30"/>
        </w:rPr>
        <w:t>五、</w:t>
      </w:r>
      <w:bookmarkEnd w:id="13"/>
      <w:bookmarkEnd w:id="14"/>
      <w:r>
        <w:rPr>
          <w:rFonts w:hint="eastAsia" w:eastAsia="黑体"/>
          <w:b/>
          <w:bCs/>
          <w:kern w:val="44"/>
          <w:sz w:val="32"/>
          <w:szCs w:val="30"/>
        </w:rPr>
        <w:t>培养目标及培养规格</w:t>
      </w:r>
      <w:bookmarkEnd w:id="24"/>
      <w:bookmarkEnd w:id="25"/>
      <w:bookmarkEnd w:id="26"/>
      <w:bookmarkEnd w:id="29"/>
      <w:bookmarkEnd w:id="30"/>
      <w:bookmarkEnd w:id="31"/>
    </w:p>
    <w:p>
      <w:pPr>
        <w:keepNext/>
        <w:keepLines/>
        <w:spacing w:line="500" w:lineRule="exact"/>
        <w:ind w:firstLine="562" w:firstLineChars="200"/>
        <w:outlineLvl w:val="0"/>
        <w:rPr>
          <w:rFonts w:ascii="宋体" w:hAnsi="宋体" w:cs="宋体"/>
          <w:sz w:val="24"/>
          <w:szCs w:val="24"/>
        </w:rPr>
      </w:pPr>
      <w:bookmarkStart w:id="32" w:name="_Toc119633038"/>
      <w:r>
        <w:rPr>
          <w:rFonts w:hint="eastAsia" w:ascii="Arial" w:hAnsi="Arial" w:eastAsia="黑体"/>
          <w:b/>
          <w:bCs/>
          <w:sz w:val="28"/>
          <w:szCs w:val="28"/>
        </w:rPr>
        <w:t>（一）培养目标</w:t>
      </w:r>
      <w:bookmarkEnd w:id="32"/>
    </w:p>
    <w:p>
      <w:pPr>
        <w:keepNext/>
        <w:keepLines/>
        <w:spacing w:line="500" w:lineRule="exact"/>
        <w:ind w:firstLine="480" w:firstLineChars="200"/>
        <w:outlineLvl w:val="0"/>
        <w:rPr>
          <w:rFonts w:ascii="宋体" w:hAnsi="宋体" w:cs="宋体"/>
          <w:sz w:val="24"/>
          <w:szCs w:val="24"/>
        </w:rPr>
      </w:pPr>
      <w:bookmarkStart w:id="33" w:name="_Toc119633039"/>
      <w:r>
        <w:rPr>
          <w:rFonts w:hint="eastAsia" w:ascii="宋体" w:hAnsi="宋体" w:cs="宋体"/>
          <w:sz w:val="24"/>
          <w:szCs w:val="24"/>
        </w:rPr>
        <w:t>本专业坚持立德树人，培养理想信念坚定，</w:t>
      </w:r>
      <w:r>
        <w:rPr>
          <w:rFonts w:ascii="宋体" w:hAnsi="宋体" w:cs="宋体"/>
          <w:sz w:val="24"/>
          <w:szCs w:val="24"/>
        </w:rPr>
        <w:t>培养德智体美劳全面发展，掌握扎实的科学文化基础和建筑制图、建筑材料、 建筑力学、建筑构造、建筑结构、工程测量、工程岩土等知识，具备解决一般建筑工程 施工技术问题，以及建筑施工合同管理、进度管理、质量管理、安全管理、技术资料管 理和成本控制等能力</w:t>
      </w:r>
      <w:r>
        <w:rPr>
          <w:rFonts w:hint="eastAsia" w:ascii="宋体" w:hAnsi="宋体" w:cs="宋体"/>
          <w:sz w:val="24"/>
          <w:szCs w:val="24"/>
        </w:rPr>
        <w:t>，</w:t>
      </w:r>
      <w:r>
        <w:rPr>
          <w:rFonts w:ascii="宋体" w:hAnsi="宋体" w:cs="宋体"/>
          <w:sz w:val="24"/>
          <w:szCs w:val="24"/>
        </w:rPr>
        <w:t>具有工匠精神和信息素养</w:t>
      </w:r>
      <w:r>
        <w:rPr>
          <w:rFonts w:hint="eastAsia" w:ascii="宋体" w:hAnsi="宋体" w:cs="宋体"/>
          <w:sz w:val="24"/>
          <w:szCs w:val="24"/>
        </w:rPr>
        <w:t>；</w:t>
      </w:r>
      <w:r>
        <w:rPr>
          <w:rFonts w:ascii="宋体" w:hAnsi="宋体" w:cs="宋体"/>
          <w:sz w:val="24"/>
          <w:szCs w:val="24"/>
        </w:rPr>
        <w:t>面向土木建筑工程技术人员、项目管理工程技术人员等职业，建筑施工与管理等岗位（群）</w:t>
      </w:r>
      <w:r>
        <w:rPr>
          <w:rFonts w:hint="eastAsia" w:ascii="宋体" w:hAnsi="宋体" w:cs="宋体"/>
          <w:sz w:val="24"/>
          <w:szCs w:val="24"/>
        </w:rPr>
        <w:t>，</w:t>
      </w:r>
      <w:r>
        <w:rPr>
          <w:rFonts w:ascii="宋体" w:hAnsi="宋体" w:cs="宋体"/>
          <w:sz w:val="24"/>
          <w:szCs w:val="24"/>
        </w:rPr>
        <w:t>能够从事建筑施工技术与施工管理等工作的高素质技术技能人才。</w:t>
      </w:r>
      <w:bookmarkEnd w:id="33"/>
    </w:p>
    <w:p>
      <w:pPr>
        <w:keepNext/>
        <w:keepLines/>
        <w:spacing w:line="500" w:lineRule="exact"/>
        <w:ind w:firstLine="562" w:firstLineChars="200"/>
        <w:outlineLvl w:val="1"/>
        <w:rPr>
          <w:rFonts w:ascii="Arial" w:hAnsi="Arial" w:eastAsia="黑体"/>
          <w:b/>
          <w:bCs/>
          <w:sz w:val="28"/>
          <w:szCs w:val="28"/>
        </w:rPr>
      </w:pPr>
      <w:bookmarkStart w:id="34" w:name="_Toc46303711"/>
      <w:bookmarkStart w:id="35" w:name="_Toc119633040"/>
      <w:bookmarkStart w:id="36" w:name="_Hlk11186088"/>
      <w:r>
        <w:rPr>
          <w:rFonts w:hint="eastAsia" w:ascii="Arial" w:hAnsi="Arial" w:eastAsia="黑体"/>
          <w:b/>
          <w:bCs/>
          <w:sz w:val="28"/>
          <w:szCs w:val="28"/>
        </w:rPr>
        <w:t>（二）培养规格</w:t>
      </w:r>
      <w:bookmarkEnd w:id="34"/>
      <w:bookmarkEnd w:id="35"/>
    </w:p>
    <w:bookmarkEnd w:id="36"/>
    <w:p>
      <w:pPr>
        <w:spacing w:line="500" w:lineRule="exact"/>
        <w:ind w:firstLine="482" w:firstLineChars="200"/>
        <w:rPr>
          <w:rFonts w:ascii="宋体" w:hAnsi="宋体" w:cs="宋体"/>
          <w:b/>
          <w:sz w:val="24"/>
          <w:szCs w:val="24"/>
        </w:rPr>
      </w:pPr>
      <w:r>
        <w:rPr>
          <w:rFonts w:hint="eastAsia" w:ascii="宋体" w:hAnsi="宋体" w:cs="宋体"/>
          <w:b/>
          <w:sz w:val="24"/>
          <w:szCs w:val="24"/>
        </w:rPr>
        <w:t>1、素质要求</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2、知识要求</w:t>
      </w:r>
    </w:p>
    <w:p>
      <w:pPr>
        <w:pStyle w:val="9"/>
        <w:spacing w:after="0" w:line="360" w:lineRule="auto"/>
        <w:ind w:right="585" w:firstLine="480" w:firstLineChars="200"/>
        <w:rPr>
          <w:rFonts w:ascii="宋体" w:hAnsi="宋体"/>
          <w:sz w:val="24"/>
        </w:rPr>
      </w:pPr>
      <w:r>
        <w:rPr>
          <w:rFonts w:hint="eastAsia" w:ascii="宋体" w:hAnsi="宋体"/>
          <w:sz w:val="24"/>
        </w:rPr>
        <w:t>（1）掌握必备的思想政治理论、科学文化基础知识和中华优秀传统文化知识。具有一定的文化基础知识、人文社会科学知识、英语和计算机知识；掌握本专业必需的高等数学、体育与健康等基础知识。</w:t>
      </w:r>
    </w:p>
    <w:p>
      <w:pPr>
        <w:spacing w:line="360" w:lineRule="auto"/>
        <w:ind w:firstLine="470" w:firstLineChars="196"/>
        <w:rPr>
          <w:rFonts w:ascii="宋体" w:hAnsi="宋体"/>
          <w:sz w:val="24"/>
          <w:szCs w:val="24"/>
        </w:rPr>
      </w:pPr>
      <w:r>
        <w:rPr>
          <w:rFonts w:hint="eastAsia" w:ascii="宋体" w:hAnsi="宋体"/>
          <w:sz w:val="24"/>
          <w:szCs w:val="24"/>
        </w:rPr>
        <w:t>（2）掌握建筑制图与识图、建筑材料与检测、建筑CAD、建筑工程测量等职业基础知识。</w:t>
      </w:r>
    </w:p>
    <w:p>
      <w:pPr>
        <w:spacing w:line="360" w:lineRule="auto"/>
        <w:ind w:firstLine="470" w:firstLineChars="196"/>
        <w:rPr>
          <w:rFonts w:ascii="宋体" w:hAnsi="宋体"/>
          <w:sz w:val="24"/>
          <w:szCs w:val="24"/>
        </w:rPr>
      </w:pPr>
      <w:r>
        <w:rPr>
          <w:rFonts w:hint="eastAsia" w:ascii="宋体" w:hAnsi="宋体"/>
          <w:sz w:val="24"/>
          <w:szCs w:val="24"/>
        </w:rPr>
        <w:t>（3）掌握一般工业与民用建筑施工的标准、规范和施工技术。</w:t>
      </w:r>
    </w:p>
    <w:p>
      <w:pPr>
        <w:spacing w:line="360" w:lineRule="auto"/>
        <w:ind w:firstLine="470" w:firstLineChars="196"/>
        <w:rPr>
          <w:rFonts w:ascii="宋体" w:hAnsi="宋体"/>
          <w:sz w:val="24"/>
          <w:szCs w:val="24"/>
        </w:rPr>
      </w:pPr>
      <w:r>
        <w:rPr>
          <w:rFonts w:hint="eastAsia" w:ascii="宋体" w:hAnsi="宋体"/>
          <w:sz w:val="24"/>
          <w:szCs w:val="24"/>
        </w:rPr>
        <w:t>（4）掌握施工现场常用的施工组织和施工管理方法及简单的施工计算方法。</w:t>
      </w:r>
    </w:p>
    <w:p>
      <w:pPr>
        <w:spacing w:line="360" w:lineRule="auto"/>
        <w:ind w:firstLine="470" w:firstLineChars="196"/>
        <w:rPr>
          <w:rFonts w:ascii="宋体" w:hAnsi="宋体"/>
          <w:sz w:val="24"/>
          <w:szCs w:val="24"/>
        </w:rPr>
      </w:pPr>
      <w:r>
        <w:rPr>
          <w:rFonts w:hint="eastAsia" w:ascii="宋体" w:hAnsi="宋体"/>
          <w:sz w:val="24"/>
          <w:szCs w:val="24"/>
        </w:rPr>
        <w:t>（5）掌握常用建筑施工质量验收，并了解相关建筑的法律与法规。</w:t>
      </w:r>
    </w:p>
    <w:p>
      <w:pPr>
        <w:spacing w:line="360" w:lineRule="auto"/>
        <w:ind w:firstLine="470" w:firstLineChars="196"/>
        <w:rPr>
          <w:rFonts w:ascii="宋体" w:hAnsi="宋体"/>
          <w:sz w:val="24"/>
          <w:szCs w:val="24"/>
        </w:rPr>
      </w:pPr>
      <w:r>
        <w:rPr>
          <w:rFonts w:hint="eastAsia" w:ascii="宋体" w:hAnsi="宋体"/>
          <w:sz w:val="24"/>
          <w:szCs w:val="24"/>
        </w:rPr>
        <w:t>（6）掌握建筑工程质量、安全、文明施工管理知识。</w:t>
      </w:r>
    </w:p>
    <w:p>
      <w:pPr>
        <w:spacing w:line="360" w:lineRule="auto"/>
        <w:ind w:firstLine="470" w:firstLineChars="196"/>
        <w:rPr>
          <w:rFonts w:ascii="宋体" w:hAnsi="宋体" w:cs="宋体"/>
          <w:b/>
          <w:sz w:val="24"/>
          <w:szCs w:val="24"/>
        </w:rPr>
      </w:pPr>
      <w:r>
        <w:rPr>
          <w:rFonts w:hint="eastAsia" w:ascii="宋体" w:hAnsi="宋体"/>
          <w:sz w:val="24"/>
          <w:szCs w:val="24"/>
        </w:rPr>
        <w:t>（7）掌握一定的经济与经营管理知识，能编制施工预算，能进行工程统计和现场经济分析。</w:t>
      </w:r>
    </w:p>
    <w:p>
      <w:pPr>
        <w:spacing w:line="500" w:lineRule="exact"/>
        <w:ind w:firstLine="482" w:firstLineChars="200"/>
        <w:rPr>
          <w:rFonts w:ascii="宋体" w:hAnsi="宋体" w:cs="宋体"/>
          <w:b/>
          <w:sz w:val="24"/>
          <w:szCs w:val="24"/>
        </w:rPr>
      </w:pPr>
      <w:r>
        <w:rPr>
          <w:rFonts w:hint="eastAsia" w:ascii="宋体" w:hAnsi="宋体" w:cs="宋体"/>
          <w:b/>
          <w:sz w:val="24"/>
          <w:szCs w:val="24"/>
        </w:rPr>
        <w:t>3、能力要求</w:t>
      </w:r>
    </w:p>
    <w:p>
      <w:pPr>
        <w:keepNext/>
        <w:keepLines/>
        <w:spacing w:line="500" w:lineRule="exact"/>
        <w:ind w:firstLine="480" w:firstLineChars="200"/>
        <w:outlineLvl w:val="0"/>
        <w:rPr>
          <w:rFonts w:ascii="宋体" w:hAnsi="宋体" w:cs="宋体"/>
          <w:sz w:val="24"/>
          <w:szCs w:val="24"/>
        </w:rPr>
      </w:pPr>
      <w:bookmarkStart w:id="37" w:name="_Toc119633041"/>
      <w:bookmarkStart w:id="38" w:name="_Toc46303714"/>
      <w:bookmarkStart w:id="39" w:name="_Hlk11958231"/>
      <w:r>
        <w:rPr>
          <w:rFonts w:hint="eastAsia" w:ascii="宋体" w:hAnsi="宋体" w:cs="宋体"/>
          <w:sz w:val="24"/>
          <w:szCs w:val="24"/>
        </w:rPr>
        <w:t>（1）</w:t>
      </w:r>
      <w:r>
        <w:rPr>
          <w:rFonts w:ascii="宋体" w:hAnsi="宋体" w:cs="宋体"/>
          <w:sz w:val="24"/>
          <w:szCs w:val="24"/>
        </w:rPr>
        <w:t xml:space="preserve"> 具有识读建筑工程施工图、绘制土建工程竣工图的能力</w:t>
      </w:r>
      <w:r>
        <w:rPr>
          <w:rFonts w:hint="eastAsia" w:ascii="宋体" w:hAnsi="宋体" w:cs="宋体"/>
          <w:sz w:val="24"/>
          <w:szCs w:val="24"/>
        </w:rPr>
        <w:t>。</w:t>
      </w:r>
      <w:bookmarkEnd w:id="37"/>
    </w:p>
    <w:p>
      <w:pPr>
        <w:keepNext/>
        <w:keepLines/>
        <w:spacing w:line="500" w:lineRule="exact"/>
        <w:ind w:firstLine="480" w:firstLineChars="200"/>
        <w:outlineLvl w:val="0"/>
        <w:rPr>
          <w:rFonts w:ascii="宋体" w:hAnsi="宋体" w:cs="宋体"/>
          <w:sz w:val="24"/>
          <w:szCs w:val="24"/>
        </w:rPr>
      </w:pPr>
      <w:bookmarkStart w:id="40" w:name="_Toc119633042"/>
      <w:r>
        <w:rPr>
          <w:rFonts w:hint="eastAsia" w:ascii="宋体" w:hAnsi="宋体" w:cs="宋体"/>
          <w:sz w:val="24"/>
          <w:szCs w:val="24"/>
        </w:rPr>
        <w:t>（2）</w:t>
      </w:r>
      <w:r>
        <w:rPr>
          <w:rFonts w:ascii="宋体" w:hAnsi="宋体" w:cs="宋体"/>
          <w:sz w:val="24"/>
          <w:szCs w:val="24"/>
        </w:rPr>
        <w:t xml:space="preserve"> 具有建筑材料进场验收、保管、检测及应用的能力</w:t>
      </w:r>
      <w:r>
        <w:rPr>
          <w:rFonts w:hint="eastAsia" w:ascii="宋体" w:hAnsi="宋体" w:cs="宋体"/>
          <w:sz w:val="24"/>
          <w:szCs w:val="24"/>
        </w:rPr>
        <w:t>。</w:t>
      </w:r>
      <w:bookmarkEnd w:id="40"/>
    </w:p>
    <w:p>
      <w:pPr>
        <w:keepNext/>
        <w:keepLines/>
        <w:spacing w:line="500" w:lineRule="exact"/>
        <w:ind w:firstLine="480" w:firstLineChars="200"/>
        <w:outlineLvl w:val="0"/>
        <w:rPr>
          <w:rFonts w:ascii="宋体" w:hAnsi="宋体" w:cs="宋体"/>
          <w:sz w:val="24"/>
          <w:szCs w:val="24"/>
        </w:rPr>
      </w:pPr>
      <w:bookmarkStart w:id="41" w:name="_Toc119633043"/>
      <w:r>
        <w:rPr>
          <w:rFonts w:hint="eastAsia" w:ascii="宋体" w:hAnsi="宋体" w:cs="宋体"/>
          <w:sz w:val="24"/>
          <w:szCs w:val="24"/>
        </w:rPr>
        <w:t>（3）</w:t>
      </w:r>
      <w:r>
        <w:rPr>
          <w:rFonts w:ascii="宋体" w:hAnsi="宋体" w:cs="宋体"/>
          <w:sz w:val="24"/>
          <w:szCs w:val="24"/>
        </w:rPr>
        <w:t xml:space="preserve"> 具有施工测量放线和技术复核的能力</w:t>
      </w:r>
      <w:r>
        <w:rPr>
          <w:rFonts w:hint="eastAsia" w:ascii="宋体" w:hAnsi="宋体" w:cs="宋体"/>
          <w:sz w:val="24"/>
          <w:szCs w:val="24"/>
        </w:rPr>
        <w:t>。</w:t>
      </w:r>
      <w:bookmarkEnd w:id="41"/>
    </w:p>
    <w:p>
      <w:pPr>
        <w:keepNext/>
        <w:keepLines/>
        <w:spacing w:line="500" w:lineRule="exact"/>
        <w:ind w:firstLine="480" w:firstLineChars="200"/>
        <w:outlineLvl w:val="0"/>
        <w:rPr>
          <w:rFonts w:ascii="宋体" w:hAnsi="宋体" w:cs="宋体"/>
          <w:sz w:val="24"/>
          <w:szCs w:val="24"/>
        </w:rPr>
      </w:pPr>
      <w:bookmarkStart w:id="42" w:name="_Toc119633044"/>
      <w:r>
        <w:rPr>
          <w:rFonts w:hint="eastAsia" w:ascii="宋体" w:hAnsi="宋体" w:cs="宋体"/>
          <w:sz w:val="24"/>
          <w:szCs w:val="24"/>
        </w:rPr>
        <w:t>（4）</w:t>
      </w:r>
      <w:r>
        <w:rPr>
          <w:rFonts w:ascii="宋体" w:hAnsi="宋体" w:cs="宋体"/>
          <w:sz w:val="24"/>
          <w:szCs w:val="24"/>
        </w:rPr>
        <w:t xml:space="preserve"> 具有一般建筑工程施工计算，判断和分析施工中的一般结构问题，处理施工中 的一般技术问题的能力</w:t>
      </w:r>
      <w:r>
        <w:rPr>
          <w:rFonts w:hint="eastAsia" w:ascii="宋体" w:hAnsi="宋体" w:cs="宋体"/>
          <w:sz w:val="24"/>
          <w:szCs w:val="24"/>
        </w:rPr>
        <w:t>。</w:t>
      </w:r>
      <w:bookmarkEnd w:id="42"/>
    </w:p>
    <w:p>
      <w:pPr>
        <w:keepNext/>
        <w:keepLines/>
        <w:spacing w:line="500" w:lineRule="exact"/>
        <w:ind w:firstLine="480" w:firstLineChars="200"/>
        <w:outlineLvl w:val="0"/>
        <w:rPr>
          <w:rFonts w:ascii="宋体" w:hAnsi="宋体" w:cs="宋体"/>
          <w:sz w:val="24"/>
          <w:szCs w:val="24"/>
        </w:rPr>
      </w:pPr>
      <w:bookmarkStart w:id="43" w:name="_Toc119633045"/>
      <w:r>
        <w:rPr>
          <w:rFonts w:hint="eastAsia" w:ascii="宋体" w:hAnsi="宋体" w:cs="宋体"/>
          <w:sz w:val="24"/>
          <w:szCs w:val="24"/>
        </w:rPr>
        <w:t>（5）</w:t>
      </w:r>
      <w:r>
        <w:rPr>
          <w:rFonts w:ascii="宋体" w:hAnsi="宋体" w:cs="宋体"/>
          <w:sz w:val="24"/>
          <w:szCs w:val="24"/>
        </w:rPr>
        <w:t xml:space="preserve"> 具有编制分部分项工程施工技术文件，并组织指导施工的能力</w:t>
      </w:r>
      <w:r>
        <w:rPr>
          <w:rFonts w:hint="eastAsia" w:ascii="宋体" w:hAnsi="宋体" w:cs="宋体"/>
          <w:sz w:val="24"/>
          <w:szCs w:val="24"/>
        </w:rPr>
        <w:t>。</w:t>
      </w:r>
      <w:bookmarkEnd w:id="43"/>
    </w:p>
    <w:p>
      <w:pPr>
        <w:keepNext/>
        <w:keepLines/>
        <w:spacing w:line="500" w:lineRule="exact"/>
        <w:ind w:firstLine="480" w:firstLineChars="200"/>
        <w:outlineLvl w:val="0"/>
        <w:rPr>
          <w:rFonts w:ascii="宋体" w:hAnsi="宋体" w:cs="宋体"/>
          <w:sz w:val="24"/>
          <w:szCs w:val="24"/>
        </w:rPr>
      </w:pPr>
      <w:bookmarkStart w:id="44" w:name="_Toc119633046"/>
      <w:r>
        <w:rPr>
          <w:rFonts w:hint="eastAsia" w:ascii="宋体" w:hAnsi="宋体" w:cs="宋体"/>
          <w:sz w:val="24"/>
          <w:szCs w:val="24"/>
        </w:rPr>
        <w:t>（6）</w:t>
      </w:r>
      <w:r>
        <w:rPr>
          <w:rFonts w:ascii="宋体" w:hAnsi="宋体" w:cs="宋体"/>
          <w:sz w:val="24"/>
          <w:szCs w:val="24"/>
        </w:rPr>
        <w:t xml:space="preserve"> 具有一般建筑工程施工进度、质量、安全、技术资料、施工成本管理的能力</w:t>
      </w:r>
      <w:r>
        <w:rPr>
          <w:rFonts w:hint="eastAsia" w:ascii="宋体" w:hAnsi="宋体" w:cs="宋体"/>
          <w:sz w:val="24"/>
          <w:szCs w:val="24"/>
        </w:rPr>
        <w:t>。</w:t>
      </w:r>
      <w:bookmarkEnd w:id="44"/>
    </w:p>
    <w:p>
      <w:pPr>
        <w:keepNext/>
        <w:keepLines/>
        <w:spacing w:line="500" w:lineRule="exact"/>
        <w:ind w:firstLine="480" w:firstLineChars="200"/>
        <w:outlineLvl w:val="0"/>
        <w:rPr>
          <w:rFonts w:ascii="宋体" w:hAnsi="宋体" w:cs="宋体"/>
          <w:sz w:val="24"/>
          <w:szCs w:val="24"/>
        </w:rPr>
      </w:pPr>
      <w:bookmarkStart w:id="45" w:name="_Toc119633047"/>
      <w:r>
        <w:rPr>
          <w:rFonts w:hint="eastAsia" w:ascii="宋体" w:hAnsi="宋体" w:cs="宋体"/>
          <w:sz w:val="24"/>
          <w:szCs w:val="24"/>
        </w:rPr>
        <w:t>（7）</w:t>
      </w:r>
      <w:r>
        <w:rPr>
          <w:rFonts w:ascii="宋体" w:hAnsi="宋体" w:cs="宋体"/>
          <w:sz w:val="24"/>
          <w:szCs w:val="24"/>
        </w:rPr>
        <w:t xml:space="preserve"> 掌握房屋建筑领域相关法律法规，具有安全至上、质量第一、节能减排意识</w:t>
      </w:r>
      <w:r>
        <w:rPr>
          <w:rFonts w:hint="eastAsia" w:ascii="宋体" w:hAnsi="宋体" w:cs="宋体"/>
          <w:sz w:val="24"/>
          <w:szCs w:val="24"/>
        </w:rPr>
        <w:t>。</w:t>
      </w:r>
      <w:bookmarkEnd w:id="45"/>
    </w:p>
    <w:p>
      <w:pPr>
        <w:keepNext/>
        <w:keepLines/>
        <w:spacing w:line="500" w:lineRule="exact"/>
        <w:ind w:firstLine="480" w:firstLineChars="200"/>
        <w:outlineLvl w:val="0"/>
        <w:rPr>
          <w:rFonts w:ascii="宋体" w:hAnsi="宋体" w:cs="宋体"/>
          <w:sz w:val="24"/>
          <w:szCs w:val="24"/>
        </w:rPr>
      </w:pPr>
      <w:bookmarkStart w:id="46" w:name="_Toc119633048"/>
      <w:r>
        <w:rPr>
          <w:rFonts w:hint="eastAsia" w:ascii="宋体" w:hAnsi="宋体" w:cs="宋体"/>
          <w:sz w:val="24"/>
          <w:szCs w:val="24"/>
        </w:rPr>
        <w:t>（8）</w:t>
      </w:r>
      <w:r>
        <w:rPr>
          <w:rFonts w:ascii="宋体" w:hAnsi="宋体" w:cs="宋体"/>
          <w:sz w:val="24"/>
          <w:szCs w:val="24"/>
        </w:rPr>
        <w:t xml:space="preserve"> 具有一定的创新能力，能够适应建筑业数字化转型升级</w:t>
      </w:r>
      <w:r>
        <w:rPr>
          <w:rFonts w:hint="eastAsia" w:ascii="宋体" w:hAnsi="宋体" w:cs="宋体"/>
          <w:sz w:val="24"/>
          <w:szCs w:val="24"/>
        </w:rPr>
        <w:t>。</w:t>
      </w:r>
      <w:bookmarkEnd w:id="46"/>
    </w:p>
    <w:p>
      <w:pPr>
        <w:keepNext/>
        <w:keepLines/>
        <w:spacing w:line="500" w:lineRule="exact"/>
        <w:ind w:firstLine="480" w:firstLineChars="200"/>
        <w:outlineLvl w:val="0"/>
        <w:rPr>
          <w:rFonts w:ascii="宋体" w:hAnsi="宋体" w:cs="宋体"/>
          <w:sz w:val="24"/>
          <w:szCs w:val="24"/>
        </w:rPr>
      </w:pPr>
      <w:bookmarkStart w:id="47" w:name="_Toc119633049"/>
      <w:r>
        <w:rPr>
          <w:rFonts w:hint="eastAsia" w:ascii="宋体" w:hAnsi="宋体" w:cs="宋体"/>
          <w:sz w:val="24"/>
          <w:szCs w:val="24"/>
        </w:rPr>
        <w:t>（9）</w:t>
      </w:r>
      <w:r>
        <w:rPr>
          <w:rFonts w:ascii="宋体" w:hAnsi="宋体" w:cs="宋体"/>
          <w:sz w:val="24"/>
          <w:szCs w:val="24"/>
        </w:rPr>
        <w:t xml:space="preserve"> 具有探究学习、终身学习和可持续发展的能力。</w:t>
      </w:r>
      <w:bookmarkEnd w:id="47"/>
    </w:p>
    <w:p>
      <w:pPr>
        <w:pStyle w:val="74"/>
        <w:keepNext/>
        <w:keepLines/>
        <w:numPr>
          <w:ilvl w:val="0"/>
          <w:numId w:val="2"/>
        </w:numPr>
        <w:spacing w:line="500" w:lineRule="exact"/>
        <w:ind w:firstLineChars="0"/>
        <w:outlineLvl w:val="0"/>
        <w:rPr>
          <w:rFonts w:eastAsia="黑体"/>
          <w:b/>
          <w:bCs/>
          <w:kern w:val="44"/>
          <w:sz w:val="32"/>
          <w:szCs w:val="30"/>
        </w:rPr>
      </w:pPr>
      <w:bookmarkStart w:id="48" w:name="_Toc119633050"/>
      <w:r>
        <w:rPr>
          <w:rFonts w:hint="eastAsia" w:eastAsia="黑体"/>
          <w:b/>
          <w:bCs/>
          <w:kern w:val="44"/>
          <w:sz w:val="32"/>
          <w:szCs w:val="30"/>
        </w:rPr>
        <w:t>人才培养模式</w:t>
      </w:r>
      <w:bookmarkEnd w:id="48"/>
    </w:p>
    <w:p>
      <w:pPr>
        <w:spacing w:line="360" w:lineRule="auto"/>
        <w:ind w:firstLine="470" w:firstLineChars="196"/>
        <w:rPr>
          <w:rFonts w:ascii="宋体" w:hAnsi="宋体"/>
          <w:sz w:val="24"/>
          <w:szCs w:val="24"/>
        </w:rPr>
      </w:pPr>
      <w:r>
        <w:rPr>
          <w:rFonts w:hint="eastAsia" w:ascii="宋体" w:hAnsi="宋体"/>
          <w:sz w:val="24"/>
          <w:szCs w:val="24"/>
        </w:rPr>
        <w:t xml:space="preserve">  在学校“岗课赛证，综合育人”的总体人才培养模式下，结合专业发展特点，以“</w:t>
      </w:r>
      <w:r>
        <w:rPr>
          <w:rFonts w:hint="eastAsia" w:ascii="宋体" w:hAnsi="宋体"/>
          <w:b/>
          <w:bCs/>
          <w:sz w:val="24"/>
          <w:szCs w:val="24"/>
        </w:rPr>
        <w:t>专业对接产业，课程对接岗位</w:t>
      </w:r>
      <w:r>
        <w:rPr>
          <w:rFonts w:hint="eastAsia" w:ascii="宋体" w:hAnsi="宋体"/>
          <w:sz w:val="24"/>
          <w:szCs w:val="24"/>
        </w:rPr>
        <w:t>”为导向，创新并实施“</w:t>
      </w:r>
      <w:r>
        <w:rPr>
          <w:rFonts w:hint="eastAsia" w:ascii="宋体" w:hAnsi="宋体"/>
          <w:b/>
          <w:bCs/>
          <w:sz w:val="24"/>
          <w:szCs w:val="24"/>
        </w:rPr>
        <w:t>课岗融通、校企共育</w:t>
      </w:r>
      <w:r>
        <w:rPr>
          <w:rFonts w:hint="eastAsia" w:ascii="宋体" w:hAnsi="宋体"/>
          <w:sz w:val="24"/>
          <w:szCs w:val="24"/>
        </w:rPr>
        <w:t>”人才培养模式。</w:t>
      </w:r>
    </w:p>
    <w:p>
      <w:pPr>
        <w:spacing w:line="360" w:lineRule="auto"/>
        <w:ind w:firstLine="548" w:firstLineChars="196"/>
        <w:rPr>
          <w:rFonts w:ascii="黑体" w:hAnsi="黑体" w:eastAsia="黑体"/>
          <w:sz w:val="28"/>
          <w:szCs w:val="28"/>
        </w:rPr>
      </w:pPr>
      <w:r>
        <w:rPr>
          <w:rFonts w:hint="eastAsia" w:ascii="黑体" w:hAnsi="黑体" w:eastAsia="黑体"/>
          <w:sz w:val="28"/>
          <w:szCs w:val="28"/>
        </w:rPr>
        <w:t>（</w:t>
      </w:r>
      <w:r>
        <w:rPr>
          <w:rFonts w:ascii="黑体" w:hAnsi="黑体" w:eastAsia="黑体"/>
          <w:sz w:val="28"/>
          <w:szCs w:val="28"/>
        </w:rPr>
        <w:t>一）</w:t>
      </w:r>
      <w:r>
        <w:rPr>
          <w:rFonts w:hint="eastAsia" w:ascii="黑体" w:hAnsi="黑体" w:eastAsia="黑体"/>
          <w:sz w:val="28"/>
          <w:szCs w:val="28"/>
        </w:rPr>
        <w:t>“课岗融通、校企共育”人才培养模式的内涵</w:t>
      </w:r>
    </w:p>
    <w:p>
      <w:pPr>
        <w:spacing w:line="360" w:lineRule="auto"/>
        <w:ind w:firstLine="470" w:firstLineChars="196"/>
        <w:rPr>
          <w:rFonts w:ascii="宋体" w:hAnsi="宋体"/>
          <w:sz w:val="24"/>
          <w:szCs w:val="24"/>
        </w:rPr>
      </w:pPr>
      <w:r>
        <w:rPr>
          <w:rFonts w:hint="eastAsia" w:ascii="宋体" w:hAnsi="宋体"/>
          <w:sz w:val="24"/>
          <w:szCs w:val="24"/>
        </w:rPr>
        <w:t>“课岗融通”：以建筑工程施工、工程监理、工程造价等主要工作岗位职业能力分析为主线，结合国家相关职业资格、行业、企业要求，确定典型工作任务，分析出岗位典型工作任务的知识、技能与素质要求，构建课程体系，确立课程内容。从而实现了人才培养目标与工作岗位要求相统一，课程设置与职业能力需求相统一，课程目标与岗位标准相统一，教学内容与岗位技能需求相统一。</w:t>
      </w:r>
    </w:p>
    <w:p>
      <w:pPr>
        <w:spacing w:line="360" w:lineRule="auto"/>
        <w:ind w:firstLine="470" w:firstLineChars="196"/>
        <w:rPr>
          <w:rFonts w:ascii="宋体" w:hAnsi="宋体"/>
          <w:sz w:val="24"/>
          <w:szCs w:val="24"/>
        </w:rPr>
      </w:pPr>
      <w:r>
        <w:rPr>
          <w:rFonts w:hint="eastAsia" w:ascii="宋体" w:hAnsi="宋体"/>
          <w:sz w:val="24"/>
          <w:szCs w:val="24"/>
        </w:rPr>
        <w:t>“校企共育”：依托专业建设指导委员会，借助与校企合作企业深层次合作，形成了课程、师资和实训基地三位一体的校企共育平台。校企双方共同实施专业调研，制订人才培养方案，构建课程体系，开发课程标准，强化与合作企业的岗位实习管理，共建双师结构教学团队等。校企紧密合作，融为一体，校企共育贯穿人才培养的全过程。</w:t>
      </w:r>
    </w:p>
    <w:p>
      <w:pPr>
        <w:widowControl/>
        <w:spacing w:line="360" w:lineRule="auto"/>
        <w:ind w:firstLine="560" w:firstLineChars="200"/>
        <w:jc w:val="left"/>
        <w:rPr>
          <w:rFonts w:ascii="黑体" w:hAnsi="黑体" w:eastAsia="黑体"/>
          <w:sz w:val="28"/>
          <w:szCs w:val="28"/>
        </w:rPr>
      </w:pPr>
      <w:r>
        <w:rPr>
          <w:rFonts w:hint="eastAsia" w:ascii="黑体" w:hAnsi="黑体" w:eastAsia="黑体"/>
          <w:sz w:val="28"/>
          <w:szCs w:val="28"/>
        </w:rPr>
        <w:t>（二）“课岗融通、校企共育”人才培养模式的实施</w:t>
      </w:r>
    </w:p>
    <w:p>
      <w:pPr>
        <w:spacing w:line="360" w:lineRule="auto"/>
        <w:ind w:firstLine="470" w:firstLineChars="196"/>
        <w:rPr>
          <w:rFonts w:ascii="宋体" w:hAnsi="宋体"/>
          <w:sz w:val="24"/>
          <w:szCs w:val="24"/>
        </w:rPr>
      </w:pPr>
      <w:r>
        <w:rPr>
          <w:rFonts w:hint="eastAsia" w:ascii="宋体" w:hAnsi="宋体"/>
          <w:sz w:val="24"/>
          <w:szCs w:val="24"/>
        </w:rPr>
        <w:t>为适应人才培养模式要求，专业教学团队与企业共同联合针对每一个教学阶段及不同的学习领域课程，制订了详细的人才培养计划与周密的运行保障机制，形成“工学融合”的教学过程，具体分三个阶段进行。</w:t>
      </w:r>
    </w:p>
    <w:p>
      <w:pPr>
        <w:numPr>
          <w:ilvl w:val="0"/>
          <w:numId w:val="3"/>
        </w:numPr>
        <w:spacing w:line="360" w:lineRule="auto"/>
        <w:ind w:firstLine="470" w:firstLineChars="196"/>
        <w:rPr>
          <w:rFonts w:ascii="宋体" w:hAnsi="宋体"/>
          <w:sz w:val="24"/>
          <w:szCs w:val="24"/>
        </w:rPr>
      </w:pPr>
      <w:r>
        <w:rPr>
          <w:rFonts w:hint="eastAsia" w:ascii="宋体" w:hAnsi="宋体"/>
          <w:sz w:val="24"/>
          <w:szCs w:val="24"/>
        </w:rPr>
        <w:t>第一阶段：职业认识与入门阶段</w:t>
      </w:r>
    </w:p>
    <w:p>
      <w:pPr>
        <w:spacing w:line="440" w:lineRule="exact"/>
        <w:ind w:firstLine="480" w:firstLineChars="200"/>
        <w:rPr>
          <w:rFonts w:ascii="宋体" w:hAnsi="宋体"/>
          <w:sz w:val="24"/>
          <w:szCs w:val="24"/>
        </w:rPr>
      </w:pPr>
      <w:r>
        <w:rPr>
          <w:rFonts w:hint="eastAsia" w:ascii="宋体" w:hAnsi="宋体"/>
          <w:sz w:val="24"/>
          <w:szCs w:val="24"/>
        </w:rPr>
        <w:t>由第一、二两个学期构成的职业基础能力和素养的形成阶段</w:t>
      </w:r>
      <w:r>
        <w:rPr>
          <w:rFonts w:hint="eastAsia" w:ascii="仿宋_GB2312" w:eastAsia="仿宋_GB2312"/>
          <w:sz w:val="24"/>
        </w:rPr>
        <w:t>。</w:t>
      </w:r>
      <w:r>
        <w:rPr>
          <w:rFonts w:hint="eastAsia" w:ascii="宋体" w:hAnsi="宋体"/>
          <w:sz w:val="24"/>
          <w:szCs w:val="24"/>
        </w:rPr>
        <w:t>主要是进行职业认识与入门，培养学生基本的职业素养与对职业的基本认识（包括工地见习、职业岗位、工作任务等）。在教学上主要安排学生进行社会实践与专业见习。带领学生到施工现场参观，与现场工作人员进行交流与座谈，让学生对职业工作环境初步了解，同时采用座谈会、讲座等形式，让学生对今后的工作岗位有更多的认识，并初步具有职业规划的能力。本阶段重点培养初步的职业技能，形成职业意识。</w:t>
      </w:r>
    </w:p>
    <w:p>
      <w:pPr>
        <w:spacing w:line="360" w:lineRule="auto"/>
        <w:ind w:firstLine="470" w:firstLineChars="196"/>
        <w:rPr>
          <w:rFonts w:ascii="宋体" w:hAnsi="宋体"/>
          <w:sz w:val="24"/>
          <w:szCs w:val="24"/>
        </w:rPr>
      </w:pPr>
      <w:r>
        <w:rPr>
          <w:rFonts w:hint="eastAsia" w:ascii="宋体" w:hAnsi="宋体"/>
          <w:sz w:val="24"/>
          <w:szCs w:val="24"/>
        </w:rPr>
        <w:t>2、第二阶段：奠定专业基础，不断提升专业核心技能阶段</w:t>
      </w:r>
    </w:p>
    <w:p>
      <w:pPr>
        <w:spacing w:line="360" w:lineRule="auto"/>
        <w:ind w:firstLine="470" w:firstLineChars="196"/>
        <w:rPr>
          <w:rFonts w:ascii="宋体" w:hAnsi="宋体"/>
          <w:sz w:val="24"/>
          <w:szCs w:val="24"/>
        </w:rPr>
      </w:pPr>
      <w:r>
        <w:rPr>
          <w:rFonts w:hint="eastAsia" w:ascii="宋体" w:hAnsi="宋体"/>
          <w:sz w:val="24"/>
          <w:szCs w:val="24"/>
        </w:rPr>
        <w:t xml:space="preserve">第3—4学期主要是对学生进行基本技能及核心的施工技能训练与培养，主要开设的课程有《建筑施工技术》、《建筑工程项目管理》、《BIM建模及应用基础》、《建设法规与案例分析》、《建筑施工组织与管理》、《建设施工技术实训》、《建筑工程计量与计价》。根据课程实训需要，进行4节课连堂排课或整周排课，有利于老师进行实训项目的连贯安排，方便老师安排学生到校内实训基地进行专项技能训练和到校外合作企业进行专项技能实习、参观，从而让学生在“教、 学、做”一体的教学中得到技能培养。 </w:t>
      </w:r>
    </w:p>
    <w:p>
      <w:pPr>
        <w:spacing w:line="360" w:lineRule="auto"/>
        <w:ind w:firstLine="470" w:firstLineChars="196"/>
        <w:rPr>
          <w:rFonts w:ascii="宋体" w:hAnsi="宋体"/>
          <w:sz w:val="24"/>
          <w:szCs w:val="24"/>
        </w:rPr>
      </w:pPr>
      <w:r>
        <w:rPr>
          <w:rFonts w:hint="eastAsia" w:ascii="宋体" w:hAnsi="宋体"/>
          <w:sz w:val="24"/>
          <w:szCs w:val="24"/>
        </w:rPr>
        <w:t>3、第三阶段：岗位实习、综合锻炼阶段</w:t>
      </w:r>
    </w:p>
    <w:p>
      <w:pPr>
        <w:spacing w:line="360" w:lineRule="auto"/>
        <w:ind w:firstLine="470" w:firstLineChars="196"/>
        <w:rPr>
          <w:rFonts w:ascii="宋体" w:hAnsi="宋体"/>
          <w:sz w:val="24"/>
          <w:szCs w:val="24"/>
        </w:rPr>
      </w:pPr>
      <w:r>
        <w:rPr>
          <w:rFonts w:hint="eastAsia" w:ascii="宋体" w:hAnsi="宋体"/>
          <w:sz w:val="24"/>
          <w:szCs w:val="24"/>
        </w:rPr>
        <w:t xml:space="preserve">第5-6学期，通过学校联系、推荐，学生自谋等方式，安排学生进行岗位实习，学生带着指导教师布置的岗位实习任务进行实习，学校和企业对学生进行共同跟踪管理与指导。专业教师定期到岗位实习人数较多的单位进行回访，与实习单位进行沟通，共同培养与锻炼学生的综合能力。在此过程中，学校推荐优秀毕业生到该单位或其他单位就业。 </w:t>
      </w:r>
    </w:p>
    <w:p>
      <w:pPr>
        <w:keepNext/>
        <w:keepLines/>
        <w:spacing w:line="500" w:lineRule="exact"/>
        <w:ind w:firstLine="643" w:firstLineChars="200"/>
        <w:outlineLvl w:val="0"/>
        <w:rPr>
          <w:rFonts w:eastAsia="黑体"/>
          <w:b/>
          <w:bCs/>
          <w:kern w:val="44"/>
          <w:sz w:val="32"/>
          <w:szCs w:val="30"/>
        </w:rPr>
      </w:pPr>
      <w:bookmarkStart w:id="49" w:name="_Toc119633051"/>
      <w:r>
        <w:rPr>
          <w:rFonts w:hint="eastAsia" w:eastAsia="黑体"/>
          <w:b/>
          <w:bCs/>
          <w:kern w:val="44"/>
          <w:sz w:val="32"/>
          <w:szCs w:val="30"/>
        </w:rPr>
        <w:t>七、</w:t>
      </w:r>
      <w:bookmarkEnd w:id="38"/>
      <w:r>
        <w:rPr>
          <w:rFonts w:hint="eastAsia" w:eastAsia="黑体"/>
          <w:b/>
          <w:bCs/>
          <w:kern w:val="44"/>
          <w:sz w:val="32"/>
          <w:szCs w:val="30"/>
        </w:rPr>
        <w:t>课程体系</w:t>
      </w:r>
      <w:bookmarkEnd w:id="49"/>
    </w:p>
    <w:p>
      <w:pPr>
        <w:keepNext/>
        <w:keepLines/>
        <w:spacing w:line="500" w:lineRule="exact"/>
        <w:ind w:firstLine="562" w:firstLineChars="200"/>
        <w:outlineLvl w:val="1"/>
        <w:rPr>
          <w:rFonts w:ascii="Arial" w:hAnsi="Arial" w:eastAsia="黑体"/>
          <w:b/>
          <w:bCs/>
          <w:sz w:val="28"/>
          <w:szCs w:val="28"/>
        </w:rPr>
      </w:pPr>
      <w:bookmarkStart w:id="50" w:name="_Toc405393386"/>
      <w:bookmarkStart w:id="51" w:name="_Toc407696143"/>
      <w:bookmarkStart w:id="52" w:name="_Toc407697901"/>
      <w:bookmarkStart w:id="53" w:name="_Toc46303715"/>
      <w:bookmarkStart w:id="54" w:name="_Toc119633052"/>
      <w:r>
        <w:rPr>
          <w:rFonts w:hint="eastAsia" w:ascii="Arial" w:hAnsi="Arial" w:eastAsia="黑体"/>
          <w:b/>
          <w:bCs/>
          <w:sz w:val="28"/>
          <w:szCs w:val="28"/>
        </w:rPr>
        <w:t>（一）</w:t>
      </w:r>
      <w:bookmarkEnd w:id="50"/>
      <w:bookmarkEnd w:id="51"/>
      <w:bookmarkEnd w:id="52"/>
      <w:bookmarkEnd w:id="53"/>
      <w:r>
        <w:rPr>
          <w:rFonts w:hint="eastAsia" w:ascii="Arial" w:hAnsi="Arial" w:eastAsia="黑体"/>
          <w:b/>
          <w:bCs/>
          <w:sz w:val="28"/>
          <w:szCs w:val="28"/>
        </w:rPr>
        <w:t>课程体系构建</w:t>
      </w:r>
      <w:bookmarkEnd w:id="54"/>
    </w:p>
    <w:p>
      <w:pPr>
        <w:keepNext/>
        <w:keepLines/>
        <w:spacing w:line="500" w:lineRule="exact"/>
        <w:ind w:firstLine="562" w:firstLineChars="200"/>
        <w:outlineLvl w:val="1"/>
        <w:rPr>
          <w:rFonts w:ascii="Arial" w:hAnsi="Arial" w:eastAsia="黑体"/>
          <w:b/>
          <w:bCs/>
          <w:sz w:val="28"/>
          <w:szCs w:val="28"/>
        </w:rPr>
      </w:pPr>
      <w:bookmarkStart w:id="55" w:name="_Toc119633053"/>
      <w:r>
        <w:rPr>
          <w:rFonts w:hint="eastAsia" w:ascii="Arial" w:hAnsi="Arial" w:eastAsia="黑体"/>
          <w:b/>
          <w:bCs/>
          <w:sz w:val="28"/>
          <w:szCs w:val="28"/>
        </w:rPr>
        <w:t>1、岗位职业能力和典型工作任务分析</w:t>
      </w:r>
      <w:bookmarkEnd w:id="55"/>
      <w:bookmarkStart w:id="56" w:name="_Toc405393387"/>
      <w:bookmarkStart w:id="57" w:name="_Toc407696144"/>
      <w:bookmarkStart w:id="58" w:name="_Toc407697902"/>
    </w:p>
    <w:p>
      <w:pPr>
        <w:ind w:firstLine="482" w:firstLineChars="200"/>
        <w:jc w:val="center"/>
        <w:rPr>
          <w:rFonts w:ascii="Times New Roman" w:hAnsi="Times New Roman"/>
          <w:b/>
          <w:bCs/>
          <w:sz w:val="24"/>
          <w:szCs w:val="24"/>
        </w:rPr>
      </w:pPr>
      <w:r>
        <w:rPr>
          <w:rFonts w:hint="eastAsia" w:ascii="Times New Roman" w:hAnsi="Times New Roman"/>
          <w:b/>
          <w:bCs/>
          <w:sz w:val="24"/>
          <w:szCs w:val="24"/>
        </w:rPr>
        <w:t>表</w:t>
      </w:r>
      <w:r>
        <w:rPr>
          <w:rFonts w:ascii="Times New Roman" w:hAnsi="Times New Roman"/>
          <w:b/>
          <w:bCs/>
          <w:sz w:val="24"/>
          <w:szCs w:val="24"/>
        </w:rPr>
        <w:t>2 岗位职业能力和典型工作任务分析</w:t>
      </w:r>
    </w:p>
    <w:tbl>
      <w:tblPr>
        <w:tblStyle w:val="24"/>
        <w:tblW w:w="531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9"/>
        <w:gridCol w:w="974"/>
        <w:gridCol w:w="1063"/>
        <w:gridCol w:w="4209"/>
        <w:gridCol w:w="18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969" w:type="dxa"/>
            <w:vAlign w:val="center"/>
          </w:tcPr>
          <w:p>
            <w:pPr>
              <w:spacing w:line="300" w:lineRule="exact"/>
              <w:jc w:val="center"/>
              <w:rPr>
                <w:rFonts w:ascii="宋体" w:hAnsi="宋体"/>
                <w:b/>
                <w:sz w:val="18"/>
                <w:szCs w:val="18"/>
              </w:rPr>
            </w:pPr>
            <w:r>
              <w:rPr>
                <w:rFonts w:ascii="宋体" w:hAnsi="宋体"/>
                <w:b/>
                <w:sz w:val="18"/>
                <w:szCs w:val="18"/>
              </w:rPr>
              <w:t>就业领域</w:t>
            </w:r>
          </w:p>
        </w:tc>
        <w:tc>
          <w:tcPr>
            <w:tcW w:w="974" w:type="dxa"/>
            <w:vAlign w:val="center"/>
          </w:tcPr>
          <w:p>
            <w:pPr>
              <w:spacing w:line="300" w:lineRule="exact"/>
              <w:jc w:val="center"/>
              <w:rPr>
                <w:rFonts w:ascii="宋体" w:hAnsi="宋体"/>
                <w:b/>
                <w:sz w:val="18"/>
                <w:szCs w:val="18"/>
              </w:rPr>
            </w:pPr>
            <w:r>
              <w:rPr>
                <w:rFonts w:ascii="宋体" w:hAnsi="宋体"/>
                <w:b/>
                <w:sz w:val="18"/>
                <w:szCs w:val="18"/>
              </w:rPr>
              <w:t>就业岗位</w:t>
            </w:r>
          </w:p>
        </w:tc>
        <w:tc>
          <w:tcPr>
            <w:tcW w:w="1063" w:type="dxa"/>
            <w:vAlign w:val="center"/>
          </w:tcPr>
          <w:p>
            <w:pPr>
              <w:spacing w:line="300" w:lineRule="exact"/>
              <w:jc w:val="center"/>
              <w:rPr>
                <w:rFonts w:ascii="宋体" w:hAnsi="宋体"/>
                <w:b/>
                <w:sz w:val="18"/>
                <w:szCs w:val="18"/>
              </w:rPr>
            </w:pPr>
            <w:r>
              <w:rPr>
                <w:rFonts w:ascii="宋体" w:hAnsi="宋体"/>
                <w:b/>
                <w:sz w:val="18"/>
                <w:szCs w:val="18"/>
              </w:rPr>
              <w:t>工作任务</w:t>
            </w:r>
          </w:p>
        </w:tc>
        <w:tc>
          <w:tcPr>
            <w:tcW w:w="4209" w:type="dxa"/>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1837" w:type="dxa"/>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restart"/>
            <w:vAlign w:val="center"/>
          </w:tcPr>
          <w:p>
            <w:pPr>
              <w:spacing w:line="300" w:lineRule="exact"/>
              <w:jc w:val="center"/>
              <w:rPr>
                <w:rFonts w:ascii="宋体" w:hAnsi="宋体"/>
                <w:sz w:val="18"/>
                <w:szCs w:val="18"/>
              </w:rPr>
            </w:pPr>
            <w:r>
              <w:rPr>
                <w:rFonts w:hint="eastAsia" w:ascii="宋体" w:hAnsi="宋体"/>
                <w:sz w:val="18"/>
                <w:szCs w:val="18"/>
              </w:rPr>
              <w:t>建筑施工企业</w:t>
            </w:r>
          </w:p>
        </w:tc>
        <w:tc>
          <w:tcPr>
            <w:tcW w:w="974" w:type="dxa"/>
            <w:vMerge w:val="restart"/>
            <w:vAlign w:val="center"/>
          </w:tcPr>
          <w:p>
            <w:pPr>
              <w:spacing w:line="300" w:lineRule="exact"/>
              <w:jc w:val="center"/>
              <w:rPr>
                <w:rFonts w:ascii="宋体" w:hAnsi="宋体"/>
                <w:sz w:val="18"/>
                <w:szCs w:val="18"/>
              </w:rPr>
            </w:pPr>
            <w:r>
              <w:rPr>
                <w:rFonts w:hint="eastAsia" w:ascii="宋体" w:hAnsi="宋体"/>
                <w:sz w:val="18"/>
                <w:szCs w:val="18"/>
              </w:rPr>
              <w:t>施工员</w:t>
            </w: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控制现场工程项目的施工质量、进度，安全</w:t>
            </w:r>
          </w:p>
        </w:tc>
        <w:tc>
          <w:tcPr>
            <w:tcW w:w="4209" w:type="dxa"/>
            <w:vAlign w:val="center"/>
          </w:tcPr>
          <w:p>
            <w:pPr>
              <w:spacing w:line="300" w:lineRule="exact"/>
              <w:rPr>
                <w:rFonts w:ascii="宋体" w:hAnsi="宋体"/>
                <w:sz w:val="18"/>
                <w:szCs w:val="18"/>
              </w:rPr>
            </w:pPr>
            <w:r>
              <w:rPr>
                <w:rFonts w:hint="eastAsia" w:ascii="宋体" w:hAnsi="宋体"/>
                <w:sz w:val="18"/>
                <w:szCs w:val="18"/>
              </w:rPr>
              <w:t>1.能在项目经理领导下对分部分项工程的施工质量、进度、安全负责，搞好成本控制</w:t>
            </w:r>
          </w:p>
          <w:p>
            <w:pPr>
              <w:spacing w:line="300" w:lineRule="exact"/>
              <w:rPr>
                <w:rFonts w:ascii="宋体" w:hAnsi="宋体"/>
                <w:sz w:val="18"/>
                <w:szCs w:val="18"/>
              </w:rPr>
            </w:pPr>
            <w:r>
              <w:rPr>
                <w:rFonts w:hint="eastAsia" w:ascii="宋体" w:hAnsi="宋体"/>
                <w:sz w:val="18"/>
                <w:szCs w:val="18"/>
              </w:rPr>
              <w:t>2.能做好施工准备工作，对班组作业实施协调管理和动态考核</w:t>
            </w:r>
          </w:p>
          <w:p>
            <w:pPr>
              <w:spacing w:line="300" w:lineRule="exact"/>
              <w:rPr>
                <w:rFonts w:ascii="宋体" w:hAnsi="宋体"/>
                <w:sz w:val="18"/>
                <w:szCs w:val="18"/>
              </w:rPr>
            </w:pPr>
            <w:r>
              <w:rPr>
                <w:rFonts w:hint="eastAsia" w:ascii="宋体" w:hAnsi="宋体"/>
                <w:sz w:val="18"/>
                <w:szCs w:val="18"/>
              </w:rPr>
              <w:t>3.会抓安全教育，落实安全措施</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建筑工程项目管理</w:t>
            </w:r>
          </w:p>
          <w:p>
            <w:pPr>
              <w:spacing w:line="300" w:lineRule="exact"/>
              <w:jc w:val="center"/>
              <w:rPr>
                <w:rFonts w:ascii="宋体" w:hAnsi="宋体"/>
                <w:sz w:val="18"/>
                <w:szCs w:val="18"/>
              </w:rPr>
            </w:pPr>
            <w:r>
              <w:rPr>
                <w:rFonts w:hint="eastAsia" w:ascii="宋体" w:hAnsi="宋体"/>
                <w:sz w:val="18"/>
                <w:szCs w:val="18"/>
              </w:rPr>
              <w:t>建筑施工组织与管理</w:t>
            </w:r>
          </w:p>
          <w:p>
            <w:pPr>
              <w:spacing w:line="300" w:lineRule="exact"/>
              <w:jc w:val="center"/>
              <w:rPr>
                <w:rFonts w:ascii="宋体" w:hAnsi="宋体"/>
                <w:sz w:val="18"/>
                <w:szCs w:val="18"/>
              </w:rPr>
            </w:pPr>
            <w:r>
              <w:rPr>
                <w:rFonts w:hint="eastAsia" w:ascii="宋体" w:hAnsi="宋体"/>
                <w:sz w:val="18"/>
                <w:szCs w:val="18"/>
              </w:rPr>
              <w:t>建筑施工安全与质量事故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continue"/>
            <w:vAlign w:val="center"/>
          </w:tcPr>
          <w:p>
            <w:pPr>
              <w:spacing w:line="300" w:lineRule="exact"/>
              <w:jc w:val="center"/>
              <w:rPr>
                <w:rFonts w:ascii="宋体" w:hAnsi="宋体"/>
                <w:sz w:val="18"/>
                <w:szCs w:val="18"/>
              </w:rPr>
            </w:pP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监督施工组织设计的编制</w:t>
            </w:r>
          </w:p>
        </w:tc>
        <w:tc>
          <w:tcPr>
            <w:tcW w:w="4209" w:type="dxa"/>
            <w:vAlign w:val="center"/>
          </w:tcPr>
          <w:p>
            <w:pPr>
              <w:spacing w:line="300" w:lineRule="exact"/>
              <w:rPr>
                <w:rFonts w:ascii="宋体" w:hAnsi="宋体"/>
                <w:sz w:val="18"/>
                <w:szCs w:val="18"/>
              </w:rPr>
            </w:pPr>
            <w:r>
              <w:rPr>
                <w:rFonts w:hint="eastAsia" w:ascii="宋体" w:hAnsi="宋体"/>
                <w:sz w:val="18"/>
                <w:szCs w:val="18"/>
              </w:rPr>
              <w:t>1.能参与施工组织设计和重大方案的编制和讨论，认真熟悉图纸、技术规范和标准</w:t>
            </w:r>
          </w:p>
          <w:p>
            <w:pPr>
              <w:spacing w:line="300" w:lineRule="exact"/>
              <w:rPr>
                <w:rFonts w:ascii="宋体" w:hAnsi="宋体"/>
                <w:sz w:val="18"/>
                <w:szCs w:val="18"/>
              </w:rPr>
            </w:pPr>
            <w:r>
              <w:rPr>
                <w:rFonts w:hint="eastAsia" w:ascii="宋体" w:hAnsi="宋体"/>
                <w:sz w:val="18"/>
                <w:szCs w:val="18"/>
              </w:rPr>
              <w:t>2.会协调好建设单位与施工单位的良好合作关系</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建筑施工组织与管理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continue"/>
            <w:vAlign w:val="center"/>
          </w:tcPr>
          <w:p>
            <w:pPr>
              <w:spacing w:line="300" w:lineRule="exact"/>
              <w:jc w:val="center"/>
              <w:rPr>
                <w:rFonts w:ascii="宋体" w:hAnsi="宋体"/>
                <w:sz w:val="18"/>
                <w:szCs w:val="18"/>
              </w:rPr>
            </w:pP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参与工程竣工验收</w:t>
            </w:r>
          </w:p>
        </w:tc>
        <w:tc>
          <w:tcPr>
            <w:tcW w:w="4209" w:type="dxa"/>
            <w:vAlign w:val="center"/>
          </w:tcPr>
          <w:p>
            <w:pPr>
              <w:spacing w:line="300" w:lineRule="exact"/>
              <w:rPr>
                <w:rFonts w:ascii="宋体" w:hAnsi="宋体"/>
                <w:sz w:val="18"/>
                <w:szCs w:val="18"/>
              </w:rPr>
            </w:pPr>
            <w:r>
              <w:rPr>
                <w:rFonts w:hint="eastAsia" w:ascii="宋体" w:hAnsi="宋体"/>
                <w:sz w:val="18"/>
                <w:szCs w:val="18"/>
              </w:rPr>
              <w:t>1.能做好施工记录、办理变更签证手续和内业资料</w:t>
            </w:r>
          </w:p>
          <w:p>
            <w:pPr>
              <w:spacing w:line="300" w:lineRule="exact"/>
              <w:rPr>
                <w:rFonts w:ascii="宋体" w:hAnsi="宋体"/>
                <w:sz w:val="18"/>
                <w:szCs w:val="18"/>
              </w:rPr>
            </w:pPr>
            <w:r>
              <w:rPr>
                <w:rFonts w:hint="eastAsia" w:ascii="宋体" w:hAnsi="宋体"/>
                <w:sz w:val="18"/>
                <w:szCs w:val="18"/>
              </w:rPr>
              <w:t>2.能参加工程竣工验收 , 形成竣工验收报告，协助完成竣工资料的整理</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工程招投标与合同管理</w:t>
            </w:r>
          </w:p>
          <w:p>
            <w:pPr>
              <w:spacing w:line="300" w:lineRule="exact"/>
              <w:jc w:val="center"/>
              <w:rPr>
                <w:rFonts w:ascii="宋体" w:hAnsi="宋体"/>
                <w:sz w:val="18"/>
                <w:szCs w:val="18"/>
              </w:rPr>
            </w:pPr>
            <w:r>
              <w:rPr>
                <w:rFonts w:hint="eastAsia" w:ascii="宋体" w:hAnsi="宋体"/>
                <w:sz w:val="18"/>
                <w:szCs w:val="18"/>
              </w:rPr>
              <w:t>建筑工程施工技术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restart"/>
            <w:vAlign w:val="center"/>
          </w:tcPr>
          <w:p>
            <w:pPr>
              <w:spacing w:line="300" w:lineRule="exact"/>
              <w:jc w:val="center"/>
              <w:rPr>
                <w:rFonts w:ascii="宋体" w:hAnsi="宋体"/>
                <w:sz w:val="18"/>
                <w:szCs w:val="18"/>
              </w:rPr>
            </w:pPr>
            <w:r>
              <w:rPr>
                <w:rFonts w:hint="eastAsia" w:ascii="宋体" w:hAnsi="宋体"/>
                <w:sz w:val="18"/>
                <w:szCs w:val="18"/>
              </w:rPr>
              <w:t>资料员</w:t>
            </w: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工程项目资料、图纸的收集、管理</w:t>
            </w:r>
          </w:p>
        </w:tc>
        <w:tc>
          <w:tcPr>
            <w:tcW w:w="4209" w:type="dxa"/>
            <w:vAlign w:val="center"/>
          </w:tcPr>
          <w:p>
            <w:pPr>
              <w:spacing w:line="300" w:lineRule="exact"/>
              <w:rPr>
                <w:rFonts w:ascii="宋体" w:hAnsi="宋体"/>
                <w:sz w:val="18"/>
                <w:szCs w:val="18"/>
              </w:rPr>
            </w:pPr>
            <w:r>
              <w:rPr>
                <w:rFonts w:hint="eastAsia" w:ascii="宋体" w:hAnsi="宋体"/>
                <w:sz w:val="18"/>
                <w:szCs w:val="18"/>
              </w:rPr>
              <w:t>1.能负责工程项目的所有图纸的接收、清点、登记、发放、归档、管理工作</w:t>
            </w:r>
          </w:p>
          <w:p>
            <w:pPr>
              <w:spacing w:line="300" w:lineRule="exact"/>
              <w:rPr>
                <w:rFonts w:ascii="宋体" w:hAnsi="宋体"/>
                <w:sz w:val="18"/>
                <w:szCs w:val="18"/>
              </w:rPr>
            </w:pPr>
            <w:r>
              <w:rPr>
                <w:rFonts w:hint="eastAsia" w:ascii="宋体" w:hAnsi="宋体"/>
                <w:sz w:val="18"/>
                <w:szCs w:val="18"/>
              </w:rPr>
              <w:t>2.会收集整理施工过程中所有技术变更、洽商记录、会议纪要等资料并归档</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建筑工程资料管理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continue"/>
            <w:vAlign w:val="center"/>
          </w:tcPr>
          <w:p>
            <w:pPr>
              <w:spacing w:line="300" w:lineRule="exact"/>
              <w:jc w:val="center"/>
              <w:rPr>
                <w:rFonts w:ascii="宋体" w:hAnsi="宋体"/>
                <w:sz w:val="18"/>
                <w:szCs w:val="18"/>
              </w:rPr>
            </w:pP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分部分项工程的验收统计和管理工作</w:t>
            </w:r>
          </w:p>
        </w:tc>
        <w:tc>
          <w:tcPr>
            <w:tcW w:w="4209" w:type="dxa"/>
            <w:vAlign w:val="center"/>
          </w:tcPr>
          <w:p>
            <w:pPr>
              <w:spacing w:line="300" w:lineRule="exact"/>
              <w:rPr>
                <w:rFonts w:ascii="宋体" w:hAnsi="宋体"/>
                <w:sz w:val="18"/>
                <w:szCs w:val="18"/>
              </w:rPr>
            </w:pPr>
            <w:r>
              <w:rPr>
                <w:rFonts w:hint="eastAsia" w:ascii="宋体" w:hAnsi="宋体"/>
                <w:sz w:val="18"/>
                <w:szCs w:val="18"/>
              </w:rPr>
              <w:t>1.能负责备案资料的填写、会签、整理、报送、归档</w:t>
            </w:r>
          </w:p>
          <w:p>
            <w:pPr>
              <w:spacing w:line="300" w:lineRule="exact"/>
              <w:rPr>
                <w:rFonts w:ascii="宋体" w:hAnsi="宋体"/>
                <w:sz w:val="18"/>
                <w:szCs w:val="18"/>
              </w:rPr>
            </w:pPr>
            <w:r>
              <w:rPr>
                <w:rFonts w:hint="eastAsia" w:ascii="宋体" w:hAnsi="宋体"/>
                <w:sz w:val="18"/>
                <w:szCs w:val="18"/>
              </w:rPr>
              <w:t>2.会监督检查施工单位施工资料的编制、管理，做到完整、及时，与工程进度同步</w:t>
            </w:r>
          </w:p>
          <w:p>
            <w:pPr>
              <w:spacing w:line="300" w:lineRule="exact"/>
              <w:rPr>
                <w:rFonts w:ascii="宋体" w:hAnsi="宋体"/>
                <w:sz w:val="18"/>
                <w:szCs w:val="18"/>
              </w:rPr>
            </w:pPr>
            <w:r>
              <w:rPr>
                <w:rFonts w:hint="eastAsia" w:ascii="宋体" w:hAnsi="宋体"/>
                <w:sz w:val="18"/>
                <w:szCs w:val="18"/>
              </w:rPr>
              <w:t>3.会负责向市城建档案馆的档案移交工作</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建筑工程资料管理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continue"/>
            <w:vAlign w:val="center"/>
          </w:tcPr>
          <w:p>
            <w:pPr>
              <w:spacing w:line="300" w:lineRule="exact"/>
              <w:jc w:val="center"/>
              <w:rPr>
                <w:rFonts w:ascii="宋体" w:hAnsi="宋体"/>
                <w:sz w:val="18"/>
                <w:szCs w:val="18"/>
              </w:rPr>
            </w:pP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工程项目的内业管理工作</w:t>
            </w:r>
          </w:p>
        </w:tc>
        <w:tc>
          <w:tcPr>
            <w:tcW w:w="4209" w:type="dxa"/>
            <w:vAlign w:val="center"/>
          </w:tcPr>
          <w:p>
            <w:pPr>
              <w:spacing w:line="300" w:lineRule="exact"/>
              <w:rPr>
                <w:rFonts w:ascii="宋体" w:hAnsi="宋体"/>
                <w:sz w:val="18"/>
                <w:szCs w:val="18"/>
              </w:rPr>
            </w:pPr>
            <w:r>
              <w:rPr>
                <w:rFonts w:hint="eastAsia" w:ascii="宋体" w:hAnsi="宋体"/>
                <w:sz w:val="18"/>
                <w:szCs w:val="18"/>
              </w:rPr>
              <w:t>1.能指导工程技术人员对施工技术资料（包括设备进场开箱资料）的保管</w:t>
            </w:r>
          </w:p>
          <w:p>
            <w:pPr>
              <w:spacing w:line="300" w:lineRule="exact"/>
              <w:rPr>
                <w:rFonts w:ascii="宋体" w:hAnsi="宋体"/>
                <w:szCs w:val="21"/>
              </w:rPr>
            </w:pPr>
            <w:r>
              <w:rPr>
                <w:rFonts w:hint="eastAsia" w:ascii="宋体" w:hAnsi="宋体"/>
                <w:sz w:val="18"/>
                <w:szCs w:val="18"/>
              </w:rPr>
              <w:t>2.会负责与项目有关的各类合同的档案管理</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建筑工程资料管理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restart"/>
            <w:vAlign w:val="center"/>
          </w:tcPr>
          <w:p>
            <w:pPr>
              <w:spacing w:line="300" w:lineRule="exact"/>
              <w:jc w:val="center"/>
              <w:rPr>
                <w:rFonts w:ascii="宋体" w:hAnsi="宋体"/>
                <w:sz w:val="18"/>
                <w:szCs w:val="18"/>
              </w:rPr>
            </w:pPr>
            <w:r>
              <w:rPr>
                <w:rFonts w:hint="eastAsia" w:ascii="宋体" w:hAnsi="宋体"/>
                <w:sz w:val="18"/>
                <w:szCs w:val="18"/>
              </w:rPr>
              <w:t>测量员</w:t>
            </w: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测量</w:t>
            </w:r>
          </w:p>
        </w:tc>
        <w:tc>
          <w:tcPr>
            <w:tcW w:w="4209" w:type="dxa"/>
            <w:vAlign w:val="center"/>
          </w:tcPr>
          <w:p>
            <w:pPr>
              <w:spacing w:line="300" w:lineRule="exact"/>
              <w:rPr>
                <w:rFonts w:ascii="宋体" w:hAnsi="宋体"/>
                <w:sz w:val="18"/>
                <w:szCs w:val="18"/>
              </w:rPr>
            </w:pPr>
            <w:r>
              <w:rPr>
                <w:rFonts w:hint="eastAsia" w:ascii="宋体" w:hAnsi="宋体"/>
                <w:sz w:val="18"/>
                <w:szCs w:val="18"/>
              </w:rPr>
              <w:t>1.能正确使用各种测量仪器</w:t>
            </w:r>
          </w:p>
          <w:p>
            <w:pPr>
              <w:spacing w:line="300" w:lineRule="exact"/>
              <w:rPr>
                <w:rFonts w:ascii="宋体" w:hAnsi="宋体"/>
                <w:sz w:val="18"/>
                <w:szCs w:val="18"/>
              </w:rPr>
            </w:pPr>
            <w:r>
              <w:rPr>
                <w:rFonts w:hint="eastAsia" w:ascii="宋体" w:hAnsi="宋体"/>
                <w:sz w:val="18"/>
                <w:szCs w:val="18"/>
              </w:rPr>
              <w:t>2.会单独进行测量数据的记录与计算，明确各测量术语的含义</w:t>
            </w:r>
          </w:p>
          <w:p>
            <w:pPr>
              <w:spacing w:line="300" w:lineRule="exact"/>
              <w:rPr>
                <w:rFonts w:ascii="宋体" w:hAnsi="宋体"/>
                <w:sz w:val="18"/>
                <w:szCs w:val="18"/>
              </w:rPr>
            </w:pPr>
            <w:r>
              <w:rPr>
                <w:rFonts w:hint="eastAsia" w:ascii="宋体" w:hAnsi="宋体"/>
                <w:sz w:val="18"/>
                <w:szCs w:val="18"/>
              </w:rPr>
              <w:t>3.能掌握建筑工程测量的基本原理</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建筑工程测量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9" w:type="dxa"/>
            <w:vMerge w:val="continue"/>
            <w:vAlign w:val="center"/>
          </w:tcPr>
          <w:p>
            <w:pPr>
              <w:spacing w:line="300" w:lineRule="exact"/>
              <w:jc w:val="center"/>
              <w:rPr>
                <w:rFonts w:ascii="宋体" w:hAnsi="宋体"/>
                <w:sz w:val="18"/>
                <w:szCs w:val="18"/>
              </w:rPr>
            </w:pPr>
          </w:p>
        </w:tc>
        <w:tc>
          <w:tcPr>
            <w:tcW w:w="974" w:type="dxa"/>
            <w:vMerge w:val="continue"/>
            <w:vAlign w:val="center"/>
          </w:tcPr>
          <w:p>
            <w:pPr>
              <w:spacing w:line="300" w:lineRule="exact"/>
              <w:jc w:val="center"/>
              <w:rPr>
                <w:rFonts w:ascii="宋体" w:hAnsi="宋体"/>
                <w:sz w:val="18"/>
                <w:szCs w:val="18"/>
              </w:rPr>
            </w:pP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放线</w:t>
            </w:r>
          </w:p>
        </w:tc>
        <w:tc>
          <w:tcPr>
            <w:tcW w:w="4209" w:type="dxa"/>
            <w:vAlign w:val="center"/>
          </w:tcPr>
          <w:p>
            <w:pPr>
              <w:spacing w:line="300" w:lineRule="exact"/>
              <w:rPr>
                <w:rFonts w:ascii="宋体" w:hAnsi="宋体"/>
                <w:sz w:val="18"/>
                <w:szCs w:val="18"/>
              </w:rPr>
            </w:pPr>
            <w:r>
              <w:rPr>
                <w:rFonts w:hint="eastAsia" w:ascii="宋体" w:hAnsi="宋体"/>
                <w:sz w:val="18"/>
                <w:szCs w:val="18"/>
              </w:rPr>
              <w:t xml:space="preserve">1.能正确利用测量设备完成一个测段的工作 </w:t>
            </w:r>
          </w:p>
          <w:p>
            <w:pPr>
              <w:spacing w:line="300" w:lineRule="exact"/>
              <w:rPr>
                <w:rFonts w:ascii="宋体" w:hAnsi="宋体" w:cs="宋体"/>
                <w:kern w:val="0"/>
                <w:szCs w:val="21"/>
              </w:rPr>
            </w:pPr>
            <w:r>
              <w:rPr>
                <w:rFonts w:hint="eastAsia" w:ascii="宋体" w:hAnsi="宋体"/>
                <w:sz w:val="18"/>
                <w:szCs w:val="18"/>
              </w:rPr>
              <w:t>2.能正确进行相关仪器操作</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建筑工程测量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969" w:type="dxa"/>
            <w:vAlign w:val="center"/>
          </w:tcPr>
          <w:p>
            <w:pPr>
              <w:spacing w:line="300" w:lineRule="exact"/>
              <w:jc w:val="center"/>
              <w:rPr>
                <w:rFonts w:ascii="宋体" w:hAnsi="宋体"/>
                <w:sz w:val="18"/>
                <w:szCs w:val="18"/>
              </w:rPr>
            </w:pPr>
            <w:r>
              <w:rPr>
                <w:rFonts w:hint="eastAsia" w:ascii="宋体" w:hAnsi="宋体"/>
                <w:sz w:val="18"/>
                <w:szCs w:val="18"/>
              </w:rPr>
              <w:t>工程造价咨询</w:t>
            </w:r>
          </w:p>
        </w:tc>
        <w:tc>
          <w:tcPr>
            <w:tcW w:w="974" w:type="dxa"/>
            <w:vAlign w:val="center"/>
          </w:tcPr>
          <w:p>
            <w:pPr>
              <w:spacing w:line="300" w:lineRule="exact"/>
              <w:jc w:val="center"/>
              <w:rPr>
                <w:rFonts w:ascii="宋体" w:hAnsi="宋体"/>
                <w:sz w:val="18"/>
                <w:szCs w:val="18"/>
              </w:rPr>
            </w:pPr>
            <w:r>
              <w:rPr>
                <w:rFonts w:hint="eastAsia" w:ascii="宋体" w:hAnsi="宋体"/>
                <w:sz w:val="18"/>
                <w:szCs w:val="18"/>
              </w:rPr>
              <w:t>造价员</w:t>
            </w: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工程量清单及报价的编制工作</w:t>
            </w:r>
          </w:p>
        </w:tc>
        <w:tc>
          <w:tcPr>
            <w:tcW w:w="4209" w:type="dxa"/>
            <w:vAlign w:val="center"/>
          </w:tcPr>
          <w:p>
            <w:pPr>
              <w:spacing w:line="300" w:lineRule="exact"/>
              <w:rPr>
                <w:rFonts w:ascii="宋体" w:hAnsi="宋体"/>
                <w:sz w:val="18"/>
                <w:szCs w:val="18"/>
              </w:rPr>
            </w:pPr>
            <w:r>
              <w:rPr>
                <w:rFonts w:ascii="宋体" w:hAnsi="宋体"/>
                <w:sz w:val="18"/>
                <w:szCs w:val="18"/>
              </w:rPr>
              <w:t>1.能</w:t>
            </w:r>
            <w:r>
              <w:rPr>
                <w:rFonts w:hint="eastAsia" w:ascii="宋体" w:hAnsi="宋体"/>
                <w:sz w:val="18"/>
                <w:szCs w:val="18"/>
              </w:rPr>
              <w:t>严格按照国家、省市现行定额、取费标准、材料预算价格和有关工程造价管理规定执行</w:t>
            </w:r>
          </w:p>
          <w:p>
            <w:pPr>
              <w:spacing w:line="300" w:lineRule="exact"/>
              <w:rPr>
                <w:rFonts w:ascii="宋体" w:hAnsi="宋体"/>
                <w:sz w:val="18"/>
                <w:szCs w:val="18"/>
              </w:rPr>
            </w:pPr>
            <w:r>
              <w:rPr>
                <w:rFonts w:ascii="宋体" w:hAnsi="宋体"/>
                <w:sz w:val="18"/>
                <w:szCs w:val="18"/>
              </w:rPr>
              <w:t>2.</w:t>
            </w:r>
            <w:r>
              <w:rPr>
                <w:rFonts w:hint="eastAsia" w:ascii="宋体" w:hAnsi="宋体"/>
                <w:sz w:val="18"/>
                <w:szCs w:val="18"/>
              </w:rPr>
              <w:t>能熟悉施工图纸、施工方案等施工文件及施工合同、相关法规法令</w:t>
            </w:r>
          </w:p>
          <w:p>
            <w:pPr>
              <w:spacing w:line="300" w:lineRule="exact"/>
              <w:rPr>
                <w:rFonts w:ascii="宋体" w:hAnsi="宋体"/>
                <w:sz w:val="18"/>
                <w:szCs w:val="18"/>
              </w:rPr>
            </w:pPr>
            <w:r>
              <w:rPr>
                <w:rFonts w:ascii="宋体" w:hAnsi="宋体"/>
                <w:sz w:val="18"/>
                <w:szCs w:val="18"/>
              </w:rPr>
              <w:t>3</w:t>
            </w:r>
            <w:r>
              <w:rPr>
                <w:rFonts w:hint="eastAsia" w:ascii="宋体" w:hAnsi="宋体"/>
                <w:sz w:val="18"/>
                <w:szCs w:val="18"/>
              </w:rPr>
              <w:t>.会识读施工图纸，及时发现相关问题</w:t>
            </w:r>
          </w:p>
          <w:p>
            <w:pPr>
              <w:spacing w:line="300" w:lineRule="exact"/>
              <w:rPr>
                <w:rFonts w:ascii="宋体" w:hAnsi="宋体"/>
                <w:sz w:val="18"/>
                <w:szCs w:val="18"/>
              </w:rPr>
            </w:pPr>
            <w:r>
              <w:rPr>
                <w:rFonts w:hint="eastAsia" w:ascii="宋体" w:hAnsi="宋体"/>
                <w:sz w:val="18"/>
                <w:szCs w:val="18"/>
              </w:rPr>
              <w:t>4.会编制工程量清单</w:t>
            </w: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工程量清单计价</w:t>
            </w:r>
          </w:p>
          <w:p>
            <w:pPr>
              <w:spacing w:line="300" w:lineRule="exact"/>
              <w:jc w:val="center"/>
              <w:rPr>
                <w:rFonts w:ascii="宋体" w:hAnsi="宋体"/>
                <w:sz w:val="18"/>
                <w:szCs w:val="18"/>
              </w:rPr>
            </w:pPr>
            <w:r>
              <w:rPr>
                <w:rFonts w:hint="eastAsia" w:ascii="宋体" w:hAnsi="宋体"/>
                <w:sz w:val="18"/>
                <w:szCs w:val="18"/>
              </w:rPr>
              <w:t>工程造价控制</w:t>
            </w:r>
          </w:p>
          <w:p>
            <w:pPr>
              <w:spacing w:line="300" w:lineRule="exact"/>
              <w:jc w:val="center"/>
              <w:rPr>
                <w:rFonts w:ascii="宋体" w:hAnsi="宋体"/>
                <w:sz w:val="18"/>
                <w:szCs w:val="18"/>
              </w:rPr>
            </w:pPr>
            <w:r>
              <w:rPr>
                <w:rFonts w:hint="eastAsia" w:ascii="宋体" w:hAnsi="宋体"/>
                <w:sz w:val="18"/>
                <w:szCs w:val="18"/>
              </w:rPr>
              <w:t>建筑工程计量与计价</w:t>
            </w:r>
          </w:p>
          <w:p>
            <w:pPr>
              <w:spacing w:line="300" w:lineRule="exact"/>
              <w:jc w:val="center"/>
              <w:rPr>
                <w:rFonts w:ascii="宋体" w:hAnsi="宋体"/>
                <w:sz w:val="18"/>
                <w:szCs w:val="18"/>
              </w:rPr>
            </w:pPr>
            <w:r>
              <w:rPr>
                <w:rFonts w:hint="eastAsia" w:ascii="宋体" w:hAnsi="宋体"/>
                <w:sz w:val="18"/>
                <w:szCs w:val="18"/>
              </w:rPr>
              <w:t>建筑构造与识图</w:t>
            </w:r>
          </w:p>
          <w:p>
            <w:pPr>
              <w:spacing w:line="300" w:lineRule="exact"/>
              <w:jc w:val="center"/>
              <w:rPr>
                <w:rFonts w:ascii="宋体" w:hAnsi="宋体"/>
                <w:sz w:val="18"/>
                <w:szCs w:val="18"/>
              </w:rPr>
            </w:pPr>
            <w:r>
              <w:rPr>
                <w:rFonts w:hint="eastAsia" w:ascii="宋体" w:hAnsi="宋体"/>
                <w:sz w:val="18"/>
                <w:szCs w:val="18"/>
              </w:rPr>
              <w:t>建筑法规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969" w:type="dxa"/>
            <w:vAlign w:val="center"/>
          </w:tcPr>
          <w:p>
            <w:pPr>
              <w:spacing w:line="300" w:lineRule="exact"/>
              <w:jc w:val="center"/>
              <w:rPr>
                <w:rFonts w:ascii="宋体" w:hAnsi="宋体"/>
                <w:sz w:val="18"/>
                <w:szCs w:val="18"/>
              </w:rPr>
            </w:pPr>
            <w:r>
              <w:rPr>
                <w:rFonts w:hint="eastAsia" w:ascii="宋体" w:hAnsi="宋体"/>
                <w:sz w:val="18"/>
                <w:szCs w:val="18"/>
              </w:rPr>
              <w:t>建筑工程监理</w:t>
            </w:r>
          </w:p>
        </w:tc>
        <w:tc>
          <w:tcPr>
            <w:tcW w:w="974" w:type="dxa"/>
            <w:vAlign w:val="center"/>
          </w:tcPr>
          <w:p>
            <w:pPr>
              <w:spacing w:line="300" w:lineRule="exact"/>
              <w:jc w:val="center"/>
              <w:rPr>
                <w:rFonts w:ascii="宋体" w:hAnsi="宋体"/>
                <w:sz w:val="18"/>
                <w:szCs w:val="18"/>
              </w:rPr>
            </w:pPr>
            <w:r>
              <w:rPr>
                <w:rFonts w:hint="eastAsia" w:ascii="宋体" w:hAnsi="宋体"/>
                <w:sz w:val="18"/>
                <w:szCs w:val="18"/>
              </w:rPr>
              <w:t>监理员</w:t>
            </w:r>
          </w:p>
        </w:tc>
        <w:tc>
          <w:tcPr>
            <w:tcW w:w="1063" w:type="dxa"/>
            <w:vAlign w:val="center"/>
          </w:tcPr>
          <w:p>
            <w:pPr>
              <w:spacing w:line="300" w:lineRule="exact"/>
              <w:jc w:val="center"/>
              <w:rPr>
                <w:rFonts w:ascii="宋体" w:hAnsi="宋体"/>
                <w:sz w:val="18"/>
                <w:szCs w:val="18"/>
              </w:rPr>
            </w:pPr>
            <w:r>
              <w:rPr>
                <w:rFonts w:hint="eastAsia" w:ascii="宋体" w:hAnsi="宋体"/>
                <w:sz w:val="18"/>
                <w:szCs w:val="18"/>
              </w:rPr>
              <w:t>工程监理</w:t>
            </w:r>
          </w:p>
        </w:tc>
        <w:tc>
          <w:tcPr>
            <w:tcW w:w="4209" w:type="dxa"/>
            <w:vAlign w:val="center"/>
          </w:tcPr>
          <w:p>
            <w:pPr>
              <w:spacing w:line="300" w:lineRule="exact"/>
              <w:rPr>
                <w:rFonts w:ascii="宋体" w:hAnsi="宋体"/>
                <w:sz w:val="18"/>
                <w:szCs w:val="18"/>
              </w:rPr>
            </w:pPr>
            <w:r>
              <w:rPr>
                <w:rFonts w:hint="eastAsia" w:ascii="宋体" w:hAnsi="宋体"/>
                <w:sz w:val="18"/>
                <w:szCs w:val="18"/>
              </w:rPr>
              <w:t>1.能核实进场原材料质量检验报告和施工测量成果报告等原始资料</w:t>
            </w:r>
          </w:p>
          <w:p>
            <w:pPr>
              <w:spacing w:line="300" w:lineRule="exact"/>
              <w:rPr>
                <w:rFonts w:ascii="宋体" w:hAnsi="宋体"/>
                <w:sz w:val="18"/>
                <w:szCs w:val="18"/>
              </w:rPr>
            </w:pPr>
            <w:r>
              <w:rPr>
                <w:rFonts w:hint="eastAsia" w:ascii="宋体" w:hAnsi="宋体"/>
                <w:sz w:val="18"/>
                <w:szCs w:val="18"/>
              </w:rPr>
              <w:t>2.检查承包人用于工程建设的材料、构配件、工程设备使用情况，并做好现场记录</w:t>
            </w:r>
          </w:p>
          <w:p>
            <w:pPr>
              <w:spacing w:line="300" w:lineRule="exact"/>
              <w:rPr>
                <w:rFonts w:ascii="宋体" w:hAnsi="宋体"/>
                <w:sz w:val="18"/>
                <w:szCs w:val="18"/>
              </w:rPr>
            </w:pPr>
            <w:r>
              <w:rPr>
                <w:rFonts w:hint="eastAsia" w:ascii="宋体" w:hAnsi="宋体"/>
                <w:sz w:val="18"/>
                <w:szCs w:val="18"/>
              </w:rPr>
              <w:t>3.检查并记录现场施工程序、施工工法等实施过程情况原始记录</w:t>
            </w:r>
          </w:p>
          <w:p>
            <w:pPr>
              <w:spacing w:line="300" w:lineRule="exact"/>
              <w:rPr>
                <w:rFonts w:ascii="宋体" w:hAnsi="宋体"/>
                <w:bCs/>
                <w:szCs w:val="21"/>
              </w:rPr>
            </w:pPr>
          </w:p>
        </w:tc>
        <w:tc>
          <w:tcPr>
            <w:tcW w:w="1837" w:type="dxa"/>
            <w:vAlign w:val="center"/>
          </w:tcPr>
          <w:p>
            <w:pPr>
              <w:spacing w:line="300" w:lineRule="exact"/>
              <w:jc w:val="center"/>
              <w:rPr>
                <w:rFonts w:ascii="宋体" w:hAnsi="宋体"/>
                <w:sz w:val="18"/>
                <w:szCs w:val="18"/>
              </w:rPr>
            </w:pPr>
            <w:r>
              <w:rPr>
                <w:rFonts w:hint="eastAsia" w:ascii="宋体" w:hAnsi="宋体"/>
                <w:sz w:val="18"/>
                <w:szCs w:val="18"/>
              </w:rPr>
              <w:t>建筑工程监理</w:t>
            </w:r>
          </w:p>
          <w:p>
            <w:pPr>
              <w:spacing w:line="300" w:lineRule="exact"/>
              <w:jc w:val="center"/>
              <w:rPr>
                <w:rFonts w:ascii="宋体" w:hAnsi="宋体"/>
                <w:sz w:val="18"/>
                <w:szCs w:val="18"/>
              </w:rPr>
            </w:pPr>
            <w:r>
              <w:rPr>
                <w:rFonts w:hint="eastAsia" w:ascii="宋体" w:hAnsi="宋体"/>
                <w:sz w:val="18"/>
                <w:szCs w:val="18"/>
              </w:rPr>
              <w:t>建筑材料与检测</w:t>
            </w:r>
          </w:p>
          <w:p>
            <w:pPr>
              <w:spacing w:line="300" w:lineRule="exact"/>
              <w:jc w:val="center"/>
              <w:rPr>
                <w:rFonts w:ascii="宋体" w:hAnsi="宋体"/>
                <w:sz w:val="18"/>
                <w:szCs w:val="18"/>
              </w:rPr>
            </w:pPr>
            <w:r>
              <w:rPr>
                <w:rFonts w:hint="eastAsia" w:ascii="宋体" w:hAnsi="宋体"/>
                <w:sz w:val="18"/>
                <w:szCs w:val="18"/>
              </w:rPr>
              <w:t>建筑施工技术</w:t>
            </w:r>
          </w:p>
        </w:tc>
      </w:tr>
    </w:tbl>
    <w:p>
      <w:pPr>
        <w:keepNext/>
        <w:keepLines/>
        <w:numPr>
          <w:ilvl w:val="0"/>
          <w:numId w:val="3"/>
        </w:numPr>
        <w:spacing w:line="500" w:lineRule="exact"/>
        <w:ind w:firstLine="551" w:firstLineChars="196"/>
        <w:outlineLvl w:val="1"/>
        <w:rPr>
          <w:rFonts w:ascii="Arial" w:hAnsi="Arial" w:eastAsia="黑体"/>
          <w:b/>
          <w:bCs/>
          <w:sz w:val="28"/>
          <w:szCs w:val="28"/>
        </w:rPr>
      </w:pPr>
      <w:bookmarkStart w:id="59" w:name="_Toc119633054"/>
      <w:r>
        <w:rPr>
          <w:rFonts w:hint="eastAsia" w:ascii="Arial" w:hAnsi="Arial" w:eastAsia="黑体"/>
          <w:b/>
          <w:bCs/>
          <w:sz w:val="28"/>
          <w:szCs w:val="28"/>
        </w:rPr>
        <w:t>课程体系架构</w:t>
      </w:r>
      <w:bookmarkEnd w:id="59"/>
    </w:p>
    <w:p>
      <w:pPr>
        <w:pStyle w:val="4"/>
        <w:ind w:firstLine="0" w:firstLineChars="0"/>
      </w:pPr>
      <w:bookmarkStart w:id="60" w:name="_Toc119633055"/>
      <w:bookmarkEnd w:id="60"/>
      <w:r>
        <w:rPr>
          <w:sz w:val="21"/>
        </w:rPr>
        <w:pict>
          <v:group id="_x0000_s2060" o:spid="_x0000_s2060" o:spt="203" style="height:222.6pt;width:467.3pt;" coordsize="59347,28270" editas="canvas">
            <o:lock v:ext="edit"/>
            <v:shape id="_x0000_s2061" o:spid="_x0000_s2061" o:spt="75" type="#_x0000_t75" style="position:absolute;left:0;top:0;height:28270;width:59347;" filled="f" o:preferrelative="t" stroked="t" coordsize="21600,21600">
              <v:fill on="f" focussize="0,0"/>
              <v:stroke joinstyle="miter"/>
              <v:imagedata o:title=""/>
              <o:lock v:ext="edit" rotation="t" aspectratio="f"/>
            </v:shape>
            <v:shape id="文本框 4" o:spid="_x0000_s2062" o:spt="202" type="#_x0000_t202" style="position:absolute;left:3372;top:1454;height:2953;width:12598;"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7sHi40gAAAAUBAAAPAAAAAAAAAAEAIAAAACIA&#10;AABkcnMvZG93bnJldi54bWxQSwECFAAUAAAACACHTuJAkOlnJkgCAABzBAAADgAAAAAAAAABACAA&#10;AAAhAQAAZHJzL2Uyb0RvYy54bWxQSwUGAAAAAAYABgBZAQAA2wUAAAAA&#10;">
              <v:path/>
              <v:fill focussize="0,0"/>
              <v:stroke weight="0.5pt" joinstyle="round"/>
              <v:imagedata o:title=""/>
              <o:lock v:ext="edit"/>
              <v:textbox>
                <w:txbxContent>
                  <w:p>
                    <w:pPr>
                      <w:jc w:val="center"/>
                      <w:rPr>
                        <w:szCs w:val="21"/>
                      </w:rPr>
                    </w:pPr>
                    <w:r>
                      <w:rPr>
                        <w:rFonts w:hint="eastAsia"/>
                        <w:szCs w:val="21"/>
                      </w:rPr>
                      <w:t>理论课程体系</w:t>
                    </w:r>
                  </w:p>
                </w:txbxContent>
              </v:textbox>
            </v:shape>
            <v:shape id="文本框 5" o:spid="_x0000_s2063" o:spt="202" type="#_x0000_t202" style="position:absolute;left:23704;top:1606;height:2953;width:15907;"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uweLjSAAAABQEAAA8AAAAAAAAAAQAgAAAAIgAA&#10;AGRycy9kb3ducmV2LnhtbFBLAQIUABQAAAAIAIdO4kBuyJVaRwIAAHQEAAAOAAAAAAAAAAEAIAAA&#10;ACEBAABkcnMvZTJvRG9jLnhtbFBLBQYAAAAABgAGAFkBAADaBQAAAAAA&#10;">
              <v:path/>
              <v:fill focussize="0,0"/>
              <v:stroke weight="0.5pt" joinstyle="round"/>
              <v:imagedata o:title=""/>
              <o:lock v:ext="edit"/>
              <v:textbox>
                <w:txbxContent>
                  <w:p>
                    <w:pPr>
                      <w:adjustRightInd w:val="0"/>
                      <w:snapToGrid w:val="0"/>
                      <w:spacing w:line="360" w:lineRule="auto"/>
                      <w:ind w:firstLine="149" w:firstLineChars="71"/>
                      <w:jc w:val="center"/>
                      <w:textAlignment w:val="baseline"/>
                      <w:rPr>
                        <w:bCs/>
                      </w:rPr>
                    </w:pPr>
                    <w:r>
                      <w:rPr>
                        <w:rFonts w:hint="eastAsia"/>
                        <w:szCs w:val="21"/>
                      </w:rPr>
                      <w:t>施工员岗位工作</w:t>
                    </w:r>
                    <w:r>
                      <w:rPr>
                        <w:rFonts w:hint="eastAsia" w:ascii="宋体" w:hAnsi="宋体"/>
                        <w:bCs/>
                        <w:szCs w:val="21"/>
                      </w:rPr>
                      <w:t>gangwganegangangwegagmweogagnwei gangwei</w:t>
                    </w:r>
                  </w:p>
                </w:txbxContent>
              </v:textbox>
            </v:shape>
            <v:shape id="文本框 6" o:spid="_x0000_s2064" o:spt="202" type="#_x0000_t202" style="position:absolute;left:45040;top:1225;height:2953;width:11525;"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7B4uNIAAAAFAQAADwAAAAAAAAABACAAAAAiAAAA&#10;ZHJzL2Rvd25yZXYueG1sUEsBAhQAFAAAAAgAh07iQOP+82dGAgAAdAQAAA4AAAAAAAAAAQAgAAAA&#10;IQEAAGRycy9lMm9Eb2MueG1sUEsFBgAAAAAGAAYAWQEAANkFAAAAAAAA&#10;">
              <v:path/>
              <v:fill focussize="0,0"/>
              <v:stroke weight="0.5pt" joinstyle="round"/>
              <v:imagedata o:title=""/>
              <o:lock v:ext="edit"/>
              <v:textbox>
                <w:txbxContent>
                  <w:p>
                    <w:pPr>
                      <w:adjustRightInd w:val="0"/>
                      <w:snapToGrid w:val="0"/>
                      <w:spacing w:line="360" w:lineRule="auto"/>
                      <w:ind w:firstLine="149" w:firstLineChars="71"/>
                      <w:jc w:val="left"/>
                      <w:textAlignment w:val="baseline"/>
                      <w:rPr>
                        <w:bCs/>
                      </w:rPr>
                    </w:pPr>
                    <w:r>
                      <w:rPr>
                        <w:rFonts w:hint="eastAsia"/>
                        <w:szCs w:val="21"/>
                      </w:rPr>
                      <w:t>实训课程体系</w:t>
                    </w:r>
                  </w:p>
                </w:txbxContent>
              </v:textbox>
            </v:shape>
            <v:rect id="矩形 571" o:spid="_x0000_s2065" o:spt="1" style="position:absolute;left:24447;top:8426;height:11214;width:15044;" coordsize="21600,21600">
              <v:path/>
              <v:fill focussize="0,0"/>
              <v:stroke/>
              <v:imagedata o:title=""/>
              <o:lock v:ext="edit"/>
              <v:textbox>
                <w:txbxContent>
                  <w:p>
                    <w:pPr>
                      <w:rPr>
                        <w:rFonts w:ascii="宋体" w:hAnsi="宋体"/>
                        <w:sz w:val="18"/>
                        <w:szCs w:val="18"/>
                      </w:rPr>
                    </w:pPr>
                    <w:r>
                      <w:rPr>
                        <w:rFonts w:hint="eastAsia" w:ascii="宋体" w:hAnsi="宋体"/>
                        <w:sz w:val="18"/>
                        <w:szCs w:val="18"/>
                      </w:rPr>
                      <w:t>1、控制现场工程项目的施工质量、进度，安全；</w:t>
                    </w:r>
                  </w:p>
                  <w:p>
                    <w:pPr>
                      <w:rPr>
                        <w:rFonts w:ascii="宋体" w:hAnsi="宋体"/>
                        <w:sz w:val="18"/>
                        <w:szCs w:val="18"/>
                      </w:rPr>
                    </w:pPr>
                    <w:r>
                      <w:rPr>
                        <w:rFonts w:hint="eastAsia" w:ascii="宋体" w:hAnsi="宋体"/>
                        <w:sz w:val="18"/>
                        <w:szCs w:val="18"/>
                      </w:rPr>
                      <w:t>2、监督施工组织设计的编制；</w:t>
                    </w:r>
                  </w:p>
                  <w:p>
                    <w:pPr>
                      <w:rPr>
                        <w:rFonts w:ascii="宋体" w:hAnsi="宋体"/>
                        <w:sz w:val="18"/>
                        <w:szCs w:val="18"/>
                      </w:rPr>
                    </w:pPr>
                    <w:r>
                      <w:rPr>
                        <w:rFonts w:hint="eastAsia" w:ascii="宋体" w:hAnsi="宋体"/>
                        <w:sz w:val="18"/>
                        <w:szCs w:val="18"/>
                      </w:rPr>
                      <w:t>3、参与工程竣工验收。</w:t>
                    </w:r>
                  </w:p>
                </w:txbxContent>
              </v:textbox>
            </v:rect>
            <v:shape id="文本框 572" o:spid="_x0000_s2066" o:spt="202" type="#_x0000_t202" style="position:absolute;left:3943;top:8083;height:2471;width:14383;" filled="f" coordsize="21600,21600">
              <v:path/>
              <v:fill on="f" focussize="0,0"/>
              <v:stroke joinstyle="miter"/>
              <v:imagedata o:title=""/>
              <o:lock v:ext="edit"/>
              <v:textbox>
                <w:txbxContent>
                  <w:p>
                    <w:pPr>
                      <w:jc w:val="center"/>
                      <w:rPr>
                        <w:szCs w:val="21"/>
                      </w:rPr>
                    </w:pPr>
                    <w:r>
                      <w:rPr>
                        <w:rFonts w:hint="eastAsia" w:ascii="宋体" w:hAnsi="宋体"/>
                        <w:sz w:val="18"/>
                        <w:szCs w:val="18"/>
                      </w:rPr>
                      <w:t>建筑制图与识图</w:t>
                    </w:r>
                  </w:p>
                </w:txbxContent>
              </v:textbox>
            </v:shape>
            <v:shape id="文本框 573" o:spid="_x0000_s2067" o:spt="202" type="#_x0000_t202" style="position:absolute;left:1892;top:11284;height:2667;width:18288;" filled="f" coordsize="21600,21600">
              <v:path/>
              <v:fill on="f" focussize="0,0"/>
              <v:stroke joinstyle="miter"/>
              <v:imagedata o:title=""/>
              <o:lock v:ext="edit"/>
              <v:textbox>
                <w:txbxContent>
                  <w:p>
                    <w:r>
                      <w:rPr>
                        <w:rFonts w:hint="eastAsia" w:ascii="宋体" w:hAnsi="宋体"/>
                        <w:sz w:val="18"/>
                        <w:szCs w:val="18"/>
                      </w:rPr>
                      <w:t>建筑材料、建筑力学、建筑构造</w:t>
                    </w:r>
                  </w:p>
                </w:txbxContent>
              </v:textbox>
            </v:shape>
            <v:shape id="文本框 574" o:spid="_x0000_s2068" o:spt="202" type="#_x0000_t202" style="position:absolute;left:1892;top:14745;height:2666;width:18288;" filled="f" coordsize="21600,21600">
              <v:path/>
              <v:fill on="f" focussize="0,0"/>
              <v:stroke joinstyle="miter"/>
              <v:imagedata o:title=""/>
              <o:lock v:ext="edit"/>
              <v:textbox>
                <w:txbxContent>
                  <w:p>
                    <w:r>
                      <w:rPr>
                        <w:rFonts w:hint="eastAsia" w:ascii="宋体" w:hAnsi="宋体"/>
                        <w:sz w:val="18"/>
                        <w:szCs w:val="18"/>
                      </w:rPr>
                      <w:t>建筑CAD、平法识图、工程测量</w:t>
                    </w:r>
                  </w:p>
                </w:txbxContent>
              </v:textbox>
            </v:shape>
            <v:shape id="文本框 575" o:spid="_x0000_s2069" o:spt="202" type="#_x0000_t202" style="position:absolute;left:1892;top:18237;height:3048;width:18288;" filled="f" coordsize="21600,21600">
              <v:path/>
              <v:fill on="f" focussize="0,0"/>
              <v:stroke joinstyle="miter"/>
              <v:imagedata o:title=""/>
              <o:lock v:ext="edit"/>
              <v:textbox>
                <w:txbxContent>
                  <w:p>
                    <w:r>
                      <w:rPr>
                        <w:rFonts w:hint="eastAsia" w:ascii="宋体" w:hAnsi="宋体"/>
                        <w:sz w:val="18"/>
                        <w:szCs w:val="18"/>
                      </w:rPr>
                      <w:t>建筑结构、建筑工程计量与计价</w:t>
                    </w:r>
                  </w:p>
                </w:txbxContent>
              </v:textbox>
            </v:shape>
            <v:shape id="文本框 576" o:spid="_x0000_s2070" o:spt="202" type="#_x0000_t202" style="position:absolute;left:972;top:22174;height:3048;width:21240;" filled="f" coordsize="21600,21600">
              <v:path/>
              <v:fill on="f" focussize="0,0"/>
              <v:stroke joinstyle="miter"/>
              <v:imagedata o:title=""/>
              <o:lock v:ext="edit"/>
              <v:textbox>
                <w:txbxContent>
                  <w:p>
                    <w:r>
                      <w:rPr>
                        <w:rFonts w:hint="eastAsia" w:ascii="宋体" w:hAnsi="宋体"/>
                        <w:sz w:val="18"/>
                        <w:szCs w:val="18"/>
                      </w:rPr>
                      <w:t>建筑工程施工技术、建筑工程施工组织</w:t>
                    </w:r>
                  </w:p>
                </w:txbxContent>
              </v:textbox>
            </v:shape>
            <v:shape id="文本框 578" o:spid="_x0000_s2071" o:spt="202" type="#_x0000_t202" style="position:absolute;left:42976;top:8369;height:3429;width:16002;" filled="f" coordsize="21600,21600">
              <v:path/>
              <v:fill on="f" focussize="0,0"/>
              <v:stroke joinstyle="miter"/>
              <v:imagedata o:title=""/>
              <o:lock v:ext="edit"/>
              <v:textbox>
                <w:txbxContent>
                  <w:p>
                    <w:r>
                      <w:rPr>
                        <w:rFonts w:hint="eastAsia" w:ascii="宋体" w:hAnsi="宋体"/>
                        <w:sz w:val="18"/>
                        <w:szCs w:val="18"/>
                      </w:rPr>
                      <w:t>建筑工程质量验收综合实训</w:t>
                    </w:r>
                  </w:p>
                </w:txbxContent>
              </v:textbox>
            </v:shape>
            <v:shape id="文本框 579" o:spid="_x0000_s2072" o:spt="202" type="#_x0000_t202" style="position:absolute;left:44088;top:12465;height:3048;width:9100;" filled="f" coordsize="21600,21600">
              <v:path/>
              <v:fill on="f" focussize="0,0"/>
              <v:stroke joinstyle="miter"/>
              <v:imagedata o:title=""/>
              <o:lock v:ext="edit"/>
              <v:textbox>
                <w:txbxContent>
                  <w:p>
                    <w:r>
                      <w:rPr>
                        <w:rFonts w:hint="eastAsia" w:ascii="宋体" w:hAnsi="宋体"/>
                        <w:sz w:val="18"/>
                        <w:szCs w:val="18"/>
                      </w:rPr>
                      <w:t>识图综合实训</w:t>
                    </w:r>
                  </w:p>
                </w:txbxContent>
              </v:textbox>
            </v:shape>
            <v:shape id="文本框 580" o:spid="_x0000_s2073" o:spt="202" type="#_x0000_t202" style="position:absolute;left:43675;top:16523;height:4762;width:15304;" filled="f" coordsize="21600,21600">
              <v:path/>
              <v:fill on="f" focussize="0,0"/>
              <v:stroke joinstyle="miter"/>
              <v:imagedata o:title=""/>
              <o:lock v:ext="edit"/>
              <v:textbox>
                <w:txbxContent>
                  <w:p>
                    <w:r>
                      <w:rPr>
                        <w:rFonts w:hint="eastAsia" w:ascii="宋体" w:hAnsi="宋体"/>
                        <w:sz w:val="18"/>
                        <w:szCs w:val="18"/>
                      </w:rPr>
                      <w:t>工程测量综合实训（一）、工程测量综合实训（二）</w:t>
                    </w:r>
                  </w:p>
                  <w:p/>
                </w:txbxContent>
              </v:textbox>
            </v:shape>
            <v:shape id="文本框 581" o:spid="_x0000_s2074" o:spt="202" type="#_x0000_t202" style="position:absolute;left:44088;top:22174;height:3048;width:9639;" filled="f" coordsize="21600,21600">
              <v:path/>
              <v:fill on="f" focussize="0,0"/>
              <v:stroke joinstyle="miter"/>
              <v:imagedata o:title=""/>
              <o:lock v:ext="edit"/>
              <v:textbox>
                <w:txbxContent>
                  <w:p>
                    <w:r>
                      <w:rPr>
                        <w:rFonts w:ascii="宋体" w:hAnsi="宋体"/>
                        <w:sz w:val="18"/>
                        <w:szCs w:val="18"/>
                      </w:rPr>
                      <w:t>R</w:t>
                    </w:r>
                    <w:r>
                      <w:rPr>
                        <w:rFonts w:hint="eastAsia" w:ascii="宋体" w:hAnsi="宋体"/>
                        <w:sz w:val="18"/>
                        <w:szCs w:val="18"/>
                      </w:rPr>
                      <w:t>evit建模</w:t>
                    </w:r>
                  </w:p>
                </w:txbxContent>
              </v:textbox>
            </v:shape>
            <v:shape id="自选图形 582" o:spid="_x0000_s2075" o:spt="13" type="#_x0000_t13" style="position:absolute;left:20942;top:15513;height:2641;width:3397;" filled="f" coordsize="21600,21600">
              <v:path/>
              <v:fill on="f" focussize="0,0"/>
              <v:stroke joinstyle="miter"/>
              <v:imagedata o:title=""/>
              <o:lock v:ext="edit"/>
            </v:shape>
            <v:shape id="自选图形 583" o:spid="_x0000_s2076" o:spt="13" type="#_x0000_t13" style="position:absolute;left:39611;top:13068;height:2166;width:2413;rotation:11796480f;" filled="f" coordsize="21600,21600">
              <v:path/>
              <v:fill on="f" focussize="0,0"/>
              <v:stroke joinstyle="miter"/>
              <v:imagedata o:title=""/>
              <o:lock v:ext="edit"/>
            </v:shape>
            <v:shape id="自选图形 584" o:spid="_x0000_s2077" o:spt="13" type="#_x0000_t13" style="position:absolute;left:9762;top:5444;height:1651;width:2286;rotation:5898240f;" filled="f" coordsize="21600,21600">
              <v:path/>
              <v:fill on="f" focussize="0,0"/>
              <v:stroke joinstyle="miter"/>
              <v:imagedata o:title=""/>
              <o:lock v:ext="edit"/>
            </v:shape>
            <v:shape id="自选图形 585" o:spid="_x0000_s2078" o:spt="13" type="#_x0000_t13" style="position:absolute;left:30463;top:5317;height:1651;width:2286;rotation:5898240f;" filled="f" coordsize="21600,21600">
              <v:path/>
              <v:fill on="f" focussize="0,0"/>
              <v:stroke joinstyle="miter"/>
              <v:imagedata o:title=""/>
              <o:lock v:ext="edit"/>
            </v:shape>
            <v:shape id="自选图形 586" o:spid="_x0000_s2079" o:spt="13" type="#_x0000_t13" style="position:absolute;left:49640;top:5063;height:1651;width:2286;rotation:5898240f;" filled="f" coordsize="21600,21600">
              <v:path/>
              <v:fill on="f" focussize="0,0"/>
              <v:stroke joinstyle="miter"/>
              <v:imagedata o:title=""/>
              <o:lock v:ext="edit"/>
            </v:shape>
            <w10:wrap type="none"/>
            <w10:anchorlock/>
          </v:group>
        </w:pict>
      </w:r>
    </w:p>
    <w:p>
      <w:pPr>
        <w:pStyle w:val="4"/>
        <w:ind w:firstLine="562"/>
      </w:pPr>
    </w:p>
    <w:p>
      <w:pPr>
        <w:pStyle w:val="4"/>
        <w:ind w:firstLine="0" w:firstLineChars="0"/>
        <w:rPr>
          <w:sz w:val="21"/>
        </w:rPr>
      </w:pPr>
      <w:bookmarkStart w:id="61" w:name="_Toc119633056"/>
      <w:bookmarkEnd w:id="61"/>
      <w:r>
        <w:rPr>
          <w:sz w:val="21"/>
        </w:rPr>
        <w:pict>
          <v:group id="_x0000_s2080" o:spid="_x0000_s2080" o:spt="203" style="height:222.6pt;width:467.3pt;" coordsize="59347,28270" editas="canvas">
            <o:lock v:ext="edit"/>
            <v:shape id="_x0000_s2081" o:spid="_x0000_s2081" o:spt="75" type="#_x0000_t75" style="position:absolute;left:0;top:0;height:28270;width:59347;" filled="f" o:preferrelative="t" stroked="t" coordsize="21600,21600">
              <v:fill on="f" focussize="0,0"/>
              <v:stroke joinstyle="miter"/>
              <v:imagedata o:title=""/>
              <o:lock v:ext="edit" rotation="t" aspectratio="f"/>
            </v:shape>
            <v:shape id="文本框 4" o:spid="_x0000_s2082" o:spt="202" type="#_x0000_t202" style="position:absolute;left:3372;top:1454;height:2953;width:12598;"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7sHi40gAAAAUBAAAPAAAAAAAAAAEAIAAAACIA&#10;AABkcnMvZG93bnJldi54bWxQSwECFAAUAAAACACHTuJAkOlnJkgCAABzBAAADgAAAAAAAAABACAA&#10;AAAhAQAAZHJzL2Uyb0RvYy54bWxQSwUGAAAAAAYABgBZAQAA2wUAAAAA&#10;">
              <v:path/>
              <v:fill focussize="0,0"/>
              <v:stroke weight="0.5pt" joinstyle="round"/>
              <v:imagedata o:title=""/>
              <o:lock v:ext="edit"/>
              <v:textbox>
                <w:txbxContent>
                  <w:p>
                    <w:pPr>
                      <w:jc w:val="center"/>
                      <w:rPr>
                        <w:szCs w:val="21"/>
                      </w:rPr>
                    </w:pPr>
                    <w:r>
                      <w:rPr>
                        <w:rFonts w:hint="eastAsia"/>
                        <w:szCs w:val="21"/>
                      </w:rPr>
                      <w:t>理论课程体系</w:t>
                    </w:r>
                  </w:p>
                </w:txbxContent>
              </v:textbox>
            </v:shape>
            <v:shape id="文本框 5" o:spid="_x0000_s2083" o:spt="202" type="#_x0000_t202" style="position:absolute;left:23704;top:1606;height:2953;width:15907;"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uweLjSAAAABQEAAA8AAAAAAAAAAQAgAAAAIgAA&#10;AGRycy9kb3ducmV2LnhtbFBLAQIUABQAAAAIAIdO4kBuyJVaRwIAAHQEAAAOAAAAAAAAAAEAIAAA&#10;ACEBAABkcnMvZTJvRG9jLnhtbFBLBQYAAAAABgAGAFkBAADaBQAAAAAA&#10;">
              <v:path/>
              <v:fill focussize="0,0"/>
              <v:stroke weight="0.5pt" joinstyle="round"/>
              <v:imagedata o:title=""/>
              <o:lock v:ext="edit"/>
              <v:textbox>
                <w:txbxContent>
                  <w:p>
                    <w:pPr>
                      <w:adjustRightInd w:val="0"/>
                      <w:snapToGrid w:val="0"/>
                      <w:spacing w:line="360" w:lineRule="auto"/>
                      <w:ind w:firstLine="149" w:firstLineChars="71"/>
                      <w:jc w:val="center"/>
                      <w:textAlignment w:val="baseline"/>
                      <w:rPr>
                        <w:bCs/>
                      </w:rPr>
                    </w:pPr>
                    <w:r>
                      <w:rPr>
                        <w:rFonts w:hint="eastAsia"/>
                        <w:szCs w:val="21"/>
                      </w:rPr>
                      <w:t>造价员岗位工作</w:t>
                    </w:r>
                    <w:r>
                      <w:rPr>
                        <w:rFonts w:hint="eastAsia" w:ascii="宋体" w:hAnsi="宋体"/>
                        <w:bCs/>
                        <w:szCs w:val="21"/>
                      </w:rPr>
                      <w:t>gangwganegangangwegagmweogagnwei gangwei</w:t>
                    </w:r>
                  </w:p>
                </w:txbxContent>
              </v:textbox>
            </v:shape>
            <v:shape id="文本框 6" o:spid="_x0000_s2084" o:spt="202" type="#_x0000_t202" style="position:absolute;left:45040;top:1225;height:2953;width:11525;"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7B4uNIAAAAFAQAADwAAAAAAAAABACAAAAAiAAAA&#10;ZHJzL2Rvd25yZXYueG1sUEsBAhQAFAAAAAgAh07iQOP+82dGAgAAdAQAAA4AAAAAAAAAAQAgAAAA&#10;IQEAAGRycy9lMm9Eb2MueG1sUEsFBgAAAAAGAAYAWQEAANkFAAAAAAAA&#10;">
              <v:path/>
              <v:fill focussize="0,0"/>
              <v:stroke weight="0.5pt" joinstyle="round"/>
              <v:imagedata o:title=""/>
              <o:lock v:ext="edit"/>
              <v:textbox>
                <w:txbxContent>
                  <w:p>
                    <w:pPr>
                      <w:adjustRightInd w:val="0"/>
                      <w:snapToGrid w:val="0"/>
                      <w:spacing w:line="360" w:lineRule="auto"/>
                      <w:ind w:firstLine="149" w:firstLineChars="71"/>
                      <w:jc w:val="left"/>
                      <w:textAlignment w:val="baseline"/>
                      <w:rPr>
                        <w:bCs/>
                      </w:rPr>
                    </w:pPr>
                    <w:r>
                      <w:rPr>
                        <w:rFonts w:hint="eastAsia"/>
                        <w:szCs w:val="21"/>
                      </w:rPr>
                      <w:t>实训课程体系</w:t>
                    </w:r>
                  </w:p>
                </w:txbxContent>
              </v:textbox>
            </v:shape>
            <v:rect id="矩形 571" o:spid="_x0000_s2085" o:spt="1" style="position:absolute;left:24447;top:8426;height:13748;width:15044;" coordsize="21600,21600">
              <v:path/>
              <v:fill focussize="0,0"/>
              <v:stroke/>
              <v:imagedata o:title=""/>
              <o:lock v:ext="edit"/>
              <v:textbox>
                <w:txbxContent>
                  <w:p>
                    <w:pPr>
                      <w:adjustRightInd w:val="0"/>
                      <w:snapToGrid w:val="0"/>
                      <w:spacing w:line="360" w:lineRule="auto"/>
                      <w:textAlignment w:val="baseline"/>
                      <w:rPr>
                        <w:rFonts w:ascii="宋体" w:hAnsi="宋体"/>
                        <w:color w:val="000000"/>
                        <w:sz w:val="18"/>
                        <w:szCs w:val="18"/>
                      </w:rPr>
                    </w:pPr>
                    <w:r>
                      <w:rPr>
                        <w:rFonts w:hint="eastAsia" w:ascii="宋体" w:hAnsi="宋体"/>
                        <w:color w:val="000000"/>
                        <w:sz w:val="18"/>
                        <w:szCs w:val="18"/>
                      </w:rPr>
                      <w:t>1.进行工程量清单及报价的编制工作；</w:t>
                    </w:r>
                  </w:p>
                  <w:p>
                    <w:pPr>
                      <w:adjustRightInd w:val="0"/>
                      <w:snapToGrid w:val="0"/>
                      <w:spacing w:line="360" w:lineRule="auto"/>
                      <w:textAlignment w:val="baseline"/>
                      <w:rPr>
                        <w:rFonts w:ascii="宋体" w:hAnsi="宋体"/>
                        <w:color w:val="000000"/>
                        <w:sz w:val="18"/>
                        <w:szCs w:val="18"/>
                      </w:rPr>
                    </w:pPr>
                    <w:r>
                      <w:rPr>
                        <w:rFonts w:hint="eastAsia" w:ascii="宋体" w:hAnsi="宋体"/>
                        <w:color w:val="000000"/>
                        <w:sz w:val="18"/>
                        <w:szCs w:val="18"/>
                      </w:rPr>
                      <w:t>2.编制工程预算；</w:t>
                    </w:r>
                  </w:p>
                  <w:p>
                    <w:pPr>
                      <w:adjustRightInd w:val="0"/>
                      <w:snapToGrid w:val="0"/>
                      <w:spacing w:line="360" w:lineRule="auto"/>
                      <w:textAlignment w:val="baseline"/>
                      <w:rPr>
                        <w:rFonts w:ascii="宋体" w:hAnsi="宋体"/>
                        <w:color w:val="000000"/>
                        <w:sz w:val="18"/>
                        <w:szCs w:val="18"/>
                      </w:rPr>
                    </w:pPr>
                    <w:r>
                      <w:rPr>
                        <w:rFonts w:hint="eastAsia" w:ascii="宋体" w:hAnsi="宋体"/>
                        <w:color w:val="000000"/>
                        <w:sz w:val="18"/>
                        <w:szCs w:val="18"/>
                      </w:rPr>
                      <w:t>3.编制工程结算；</w:t>
                    </w:r>
                  </w:p>
                  <w:p>
                    <w:pPr>
                      <w:rPr>
                        <w:rFonts w:ascii="宋体" w:hAnsi="宋体"/>
                        <w:sz w:val="18"/>
                        <w:szCs w:val="18"/>
                      </w:rPr>
                    </w:pPr>
                    <w:r>
                      <w:rPr>
                        <w:rFonts w:hint="eastAsia" w:ascii="宋体" w:hAnsi="宋体"/>
                        <w:color w:val="000000"/>
                        <w:sz w:val="18"/>
                        <w:szCs w:val="18"/>
                      </w:rPr>
                      <w:t>4.进行工程结算索赔谈判。</w:t>
                    </w:r>
                  </w:p>
                </w:txbxContent>
              </v:textbox>
            </v:rect>
            <v:shape id="文本框 572" o:spid="_x0000_s2086" o:spt="202" type="#_x0000_t202" style="position:absolute;left:3943;top:8083;height:2471;width:14383;" filled="f" coordsize="21600,21600">
              <v:path/>
              <v:fill on="f" focussize="0,0"/>
              <v:stroke joinstyle="miter"/>
              <v:imagedata o:title=""/>
              <o:lock v:ext="edit"/>
              <v:textbox>
                <w:txbxContent>
                  <w:p>
                    <w:pPr>
                      <w:jc w:val="center"/>
                      <w:rPr>
                        <w:szCs w:val="21"/>
                      </w:rPr>
                    </w:pPr>
                    <w:r>
                      <w:rPr>
                        <w:rFonts w:hint="eastAsia" w:ascii="宋体" w:hAnsi="宋体"/>
                        <w:sz w:val="18"/>
                        <w:szCs w:val="18"/>
                      </w:rPr>
                      <w:t>建筑制图与识图</w:t>
                    </w:r>
                  </w:p>
                </w:txbxContent>
              </v:textbox>
            </v:shape>
            <v:shape id="文本框 573" o:spid="_x0000_s2087" o:spt="202" type="#_x0000_t202" style="position:absolute;left:1892;top:11284;height:2667;width:18288;" filled="f" coordsize="21600,21600">
              <v:path/>
              <v:fill on="f" focussize="0,0"/>
              <v:stroke joinstyle="miter"/>
              <v:imagedata o:title=""/>
              <o:lock v:ext="edit"/>
              <v:textbox>
                <w:txbxContent>
                  <w:p>
                    <w:r>
                      <w:rPr>
                        <w:rFonts w:hint="eastAsia" w:ascii="宋体" w:hAnsi="宋体"/>
                        <w:sz w:val="18"/>
                        <w:szCs w:val="18"/>
                      </w:rPr>
                      <w:t>建筑材料、建筑力学、建筑构造</w:t>
                    </w:r>
                  </w:p>
                </w:txbxContent>
              </v:textbox>
            </v:shape>
            <v:shape id="文本框 574" o:spid="_x0000_s2088" o:spt="202" type="#_x0000_t202" style="position:absolute;left:1892;top:14745;height:2666;width:18288;" filled="f" coordsize="21600,21600">
              <v:path/>
              <v:fill on="f" focussize="0,0"/>
              <v:stroke joinstyle="miter"/>
              <v:imagedata o:title=""/>
              <o:lock v:ext="edit"/>
              <v:textbox>
                <w:txbxContent>
                  <w:p>
                    <w:r>
                      <w:rPr>
                        <w:rFonts w:hint="eastAsia" w:ascii="宋体" w:hAnsi="宋体"/>
                        <w:sz w:val="18"/>
                        <w:szCs w:val="18"/>
                      </w:rPr>
                      <w:t>建筑CAD、平法识图、工程测量</w:t>
                    </w:r>
                  </w:p>
                </w:txbxContent>
              </v:textbox>
            </v:shape>
            <v:shape id="文本框 575" o:spid="_x0000_s2089" o:spt="202" type="#_x0000_t202" style="position:absolute;left:1892;top:18237;height:3048;width:18288;" filled="f" coordsize="21600,21600">
              <v:path/>
              <v:fill on="f" focussize="0,0"/>
              <v:stroke joinstyle="miter"/>
              <v:imagedata o:title=""/>
              <o:lock v:ext="edit"/>
              <v:textbox>
                <w:txbxContent>
                  <w:p>
                    <w:r>
                      <w:rPr>
                        <w:rFonts w:hint="eastAsia" w:ascii="宋体" w:hAnsi="宋体"/>
                        <w:sz w:val="18"/>
                        <w:szCs w:val="18"/>
                      </w:rPr>
                      <w:t>建筑结构、建筑工程计量与计价</w:t>
                    </w:r>
                  </w:p>
                </w:txbxContent>
              </v:textbox>
            </v:shape>
            <v:shape id="文本框 576" o:spid="_x0000_s2090" o:spt="202" type="#_x0000_t202" style="position:absolute;left:972;top:22174;height:3048;width:21240;" filled="f" coordsize="21600,21600">
              <v:path/>
              <v:fill on="f" focussize="0,0"/>
              <v:stroke joinstyle="miter"/>
              <v:imagedata o:title=""/>
              <o:lock v:ext="edit"/>
              <v:textbox>
                <w:txbxContent>
                  <w:p>
                    <w:r>
                      <w:rPr>
                        <w:rFonts w:hint="eastAsia" w:ascii="宋体" w:hAnsi="宋体"/>
                        <w:sz w:val="18"/>
                        <w:szCs w:val="18"/>
                      </w:rPr>
                      <w:t>建筑工程施工技术、建筑工程施工组织</w:t>
                    </w:r>
                  </w:p>
                </w:txbxContent>
              </v:textbox>
            </v:shape>
            <v:shape id="文本框 578" o:spid="_x0000_s2091" o:spt="202" type="#_x0000_t202" style="position:absolute;left:42976;top:8369;height:3429;width:16002;" filled="f" coordsize="21600,21600">
              <v:path/>
              <v:fill on="f" focussize="0,0"/>
              <v:stroke joinstyle="miter"/>
              <v:imagedata o:title=""/>
              <o:lock v:ext="edit"/>
              <v:textbox>
                <w:txbxContent>
                  <w:p>
                    <w:r>
                      <w:rPr>
                        <w:rFonts w:hint="eastAsia" w:ascii="宋体" w:hAnsi="宋体"/>
                        <w:sz w:val="18"/>
                        <w:szCs w:val="18"/>
                      </w:rPr>
                      <w:t>建筑工程质量验收综合实训</w:t>
                    </w:r>
                  </w:p>
                </w:txbxContent>
              </v:textbox>
            </v:shape>
            <v:shape id="文本框 579" o:spid="_x0000_s2092" o:spt="202" type="#_x0000_t202" style="position:absolute;left:46405;top:13068;height:3048;width:9100;" filled="f" coordsize="21600,21600">
              <v:path/>
              <v:fill on="f" focussize="0,0"/>
              <v:stroke joinstyle="miter"/>
              <v:imagedata o:title=""/>
              <o:lock v:ext="edit"/>
              <v:textbox>
                <w:txbxContent>
                  <w:p>
                    <w:r>
                      <w:rPr>
                        <w:rFonts w:hint="eastAsia" w:ascii="宋体" w:hAnsi="宋体"/>
                        <w:sz w:val="18"/>
                        <w:szCs w:val="18"/>
                      </w:rPr>
                      <w:t>识图综合实训</w:t>
                    </w:r>
                  </w:p>
                </w:txbxContent>
              </v:textbox>
            </v:shape>
            <v:shape id="文本框 580" o:spid="_x0000_s2093" o:spt="202" type="#_x0000_t202" style="position:absolute;left:43726;top:16853;height:5321;width:15253;" filled="f" coordsize="21600,21600">
              <v:path/>
              <v:fill on="f" focussize="0,0"/>
              <v:stroke joinstyle="miter"/>
              <v:imagedata o:title=""/>
              <o:lock v:ext="edit"/>
              <v:textbox>
                <w:txbxContent>
                  <w:p>
                    <w:r>
                      <w:rPr>
                        <w:rFonts w:hint="eastAsia" w:ascii="宋体" w:hAnsi="宋体"/>
                        <w:sz w:val="18"/>
                        <w:szCs w:val="18"/>
                      </w:rPr>
                      <w:t>工程测量综合实训（一）、工程测量综合实训（二）</w:t>
                    </w:r>
                  </w:p>
                  <w:p/>
                </w:txbxContent>
              </v:textbox>
            </v:shape>
            <v:shape id="文本框 581" o:spid="_x0000_s2094" o:spt="202" type="#_x0000_t202" style="position:absolute;left:44221;top:23406;height:3048;width:14193;" filled="f" coordsize="21600,21600">
              <v:path/>
              <v:fill on="f" focussize="0,0"/>
              <v:stroke joinstyle="miter"/>
              <v:imagedata o:title=""/>
              <o:lock v:ext="edit"/>
              <v:textbox>
                <w:txbxContent>
                  <w:p>
                    <w:r>
                      <w:rPr>
                        <w:rFonts w:ascii="宋体" w:hAnsi="宋体"/>
                        <w:sz w:val="18"/>
                        <w:szCs w:val="18"/>
                      </w:rPr>
                      <w:t>R</w:t>
                    </w:r>
                    <w:r>
                      <w:rPr>
                        <w:rFonts w:hint="eastAsia" w:ascii="宋体" w:hAnsi="宋体"/>
                        <w:sz w:val="18"/>
                        <w:szCs w:val="18"/>
                      </w:rPr>
                      <w:t>evit建模</w:t>
                    </w:r>
                  </w:p>
                </w:txbxContent>
              </v:textbox>
            </v:shape>
            <v:shape id="自选图形 582" o:spid="_x0000_s2095" o:spt="13" type="#_x0000_t13" style="position:absolute;left:20942;top:15513;height:2641;width:3397;" filled="f" coordsize="21600,21600">
              <v:path/>
              <v:fill on="f" focussize="0,0"/>
              <v:stroke joinstyle="miter"/>
              <v:imagedata o:title=""/>
              <o:lock v:ext="edit"/>
            </v:shape>
            <v:shape id="自选图形 583" o:spid="_x0000_s2096" o:spt="13" type="#_x0000_t13" style="position:absolute;left:40564;top:13951;height:2165;width:3683;rotation:11796480f;" filled="f" coordsize="21600,21600">
              <v:path/>
              <v:fill on="f" focussize="0,0"/>
              <v:stroke joinstyle="miter"/>
              <v:imagedata o:title=""/>
              <o:lock v:ext="edit"/>
            </v:shape>
            <v:shape id="自选图形 584" o:spid="_x0000_s2097" o:spt="13" type="#_x0000_t13" style="position:absolute;left:9762;top:5444;height:1651;width:2286;rotation:5898240f;" filled="f" coordsize="21600,21600">
              <v:path/>
              <v:fill on="f" focussize="0,0"/>
              <v:stroke joinstyle="miter"/>
              <v:imagedata o:title=""/>
              <o:lock v:ext="edit"/>
            </v:shape>
            <v:shape id="自选图形 585" o:spid="_x0000_s2098" o:spt="13" type="#_x0000_t13" style="position:absolute;left:30463;top:5317;height:1651;width:2286;rotation:5898240f;" filled="f" coordsize="21600,21600">
              <v:path/>
              <v:fill on="f" focussize="0,0"/>
              <v:stroke joinstyle="miter"/>
              <v:imagedata o:title=""/>
              <o:lock v:ext="edit"/>
            </v:shape>
            <v:shape id="自选图形 586" o:spid="_x0000_s2099" o:spt="13" type="#_x0000_t13" style="position:absolute;left:49640;top:5063;height:1651;width:2286;rotation:5898240f;" filled="f" coordsize="21600,21600">
              <v:path/>
              <v:fill on="f" focussize="0,0"/>
              <v:stroke joinstyle="miter"/>
              <v:imagedata o:title=""/>
              <o:lock v:ext="edit"/>
            </v:shape>
            <w10:wrap type="none"/>
            <w10:anchorlock/>
          </v:group>
        </w:pict>
      </w:r>
    </w:p>
    <w:p>
      <w:r>
        <w:pict>
          <v:group id="画布 3" o:spid="_x0000_s2100" o:spt="203" style="height:215.5pt;width:465pt;" coordsize="59054,27368" editas="canvas">
            <o:lock v:ext="edit"/>
            <v:shape id="画布 3" o:spid="_x0000_s2101" o:spt="75" type="#_x0000_t75" style="position:absolute;left:0;top:0;height:27368;width:59054;" filled="f" o:preferrelative="t" stroked="t" coordsize="21600,21600">
              <v:fill on="f" focussize="0,0"/>
              <v:stroke joinstyle="miter"/>
              <v:imagedata o:title=""/>
              <o:lock v:ext="edit" rotation="t" aspectratio="f"/>
            </v:shape>
            <v:shape id="文本框 4" o:spid="_x0000_s2102" o:spt="202" type="#_x0000_t202" style="position:absolute;left:4274;top:1226;height:2952;width:13055;" filled="f" coordsize="21600,21600">
              <v:path/>
              <v:fill on="f" focussize="0,0"/>
              <v:stroke joinstyle="round"/>
              <v:imagedata o:title=""/>
              <o:lock v:ext="edit"/>
              <v:textbox>
                <w:txbxContent>
                  <w:p>
                    <w:pPr>
                      <w:jc w:val="center"/>
                      <w:rPr>
                        <w:szCs w:val="21"/>
                      </w:rPr>
                    </w:pPr>
                    <w:r>
                      <w:rPr>
                        <w:rFonts w:hint="eastAsia"/>
                        <w:szCs w:val="21"/>
                      </w:rPr>
                      <w:t>理论课程体系</w:t>
                    </w:r>
                  </w:p>
                </w:txbxContent>
              </v:textbox>
            </v:shape>
            <v:shape id="文本框 5" o:spid="_x0000_s2103" o:spt="202" type="#_x0000_t202" style="position:absolute;left:23704;top:1606;height:2953;width:15907;"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uweLjSAAAABQEAAA8AAAAAAAAAAQAgAAAAIgAA&#10;AGRycy9kb3ducmV2LnhtbFBLAQIUABQAAAAIAIdO4kBuyJVaRwIAAHQEAAAOAAAAAAAAAAEAIAAA&#10;ACEBAABkcnMvZTJvRG9jLnhtbFBLBQYAAAAABgAGAFkBAADaBQAAAAAA&#10;">
              <v:path/>
              <v:fill focussize="0,0"/>
              <v:stroke weight="0.5pt" joinstyle="round"/>
              <v:imagedata o:title=""/>
              <o:lock v:ext="edit"/>
              <v:textbox>
                <w:txbxContent>
                  <w:p>
                    <w:pPr>
                      <w:adjustRightInd w:val="0"/>
                      <w:snapToGrid w:val="0"/>
                      <w:spacing w:line="360" w:lineRule="auto"/>
                      <w:ind w:firstLine="149" w:firstLineChars="71"/>
                      <w:jc w:val="center"/>
                      <w:textAlignment w:val="baseline"/>
                      <w:rPr>
                        <w:bCs/>
                      </w:rPr>
                    </w:pPr>
                    <w:r>
                      <w:rPr>
                        <w:rFonts w:hint="eastAsia"/>
                        <w:szCs w:val="21"/>
                      </w:rPr>
                      <w:t>资料员岗位工作</w:t>
                    </w:r>
                    <w:r>
                      <w:rPr>
                        <w:rFonts w:hint="eastAsia" w:ascii="宋体" w:hAnsi="宋体"/>
                        <w:bCs/>
                        <w:szCs w:val="21"/>
                      </w:rPr>
                      <w:t>gangwganegangangwegagmweogagnwei gangwei</w:t>
                    </w:r>
                  </w:p>
                </w:txbxContent>
              </v:textbox>
            </v:shape>
            <v:shape id="文本框 6" o:spid="_x0000_s2104" o:spt="202" type="#_x0000_t202" style="position:absolute;left:45040;top:1225;height:2953;width:11525;" coordsize="21600,21600" o:gfxdata="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7B4uNIAAAAFAQAADwAAAAAAAAABACAAAAAiAAAA&#10;ZHJzL2Rvd25yZXYueG1sUEsBAhQAFAAAAAgAh07iQOP+82dGAgAAdAQAAA4AAAAAAAAAAQAgAAAA&#10;IQEAAGRycy9lMm9Eb2MueG1sUEsFBgAAAAAGAAYAWQEAANkFAAAAAAAA&#10;">
              <v:path/>
              <v:fill focussize="0,0"/>
              <v:stroke weight="0.5pt" joinstyle="round"/>
              <v:imagedata o:title=""/>
              <o:lock v:ext="edit"/>
              <v:textbox>
                <w:txbxContent>
                  <w:p>
                    <w:pPr>
                      <w:adjustRightInd w:val="0"/>
                      <w:snapToGrid w:val="0"/>
                      <w:spacing w:line="360" w:lineRule="auto"/>
                      <w:ind w:firstLine="149" w:firstLineChars="71"/>
                      <w:jc w:val="left"/>
                      <w:textAlignment w:val="baseline"/>
                      <w:rPr>
                        <w:bCs/>
                      </w:rPr>
                    </w:pPr>
                    <w:r>
                      <w:rPr>
                        <w:rFonts w:hint="eastAsia"/>
                        <w:szCs w:val="21"/>
                      </w:rPr>
                      <w:t>实训课程体系</w:t>
                    </w:r>
                  </w:p>
                </w:txbxContent>
              </v:textbox>
            </v:shape>
            <v:rect id="矩形 85" o:spid="_x0000_s2105" o:spt="1" style="position:absolute;left:23876;top:8426;height:12751;width:15043;" coordsize="21600,21600">
              <v:path/>
              <v:fill focussize="0,0"/>
              <v:stroke/>
              <v:imagedata o:title=""/>
              <o:lock v:ext="edit"/>
              <v:textbox>
                <w:txbxContent>
                  <w:p>
                    <w:pPr>
                      <w:ind w:firstLine="360"/>
                      <w:rPr>
                        <w:rFonts w:ascii="宋体" w:hAnsi="宋体"/>
                        <w:sz w:val="18"/>
                        <w:szCs w:val="18"/>
                      </w:rPr>
                    </w:pPr>
                    <w:r>
                      <w:rPr>
                        <w:rFonts w:hint="eastAsia" w:ascii="宋体" w:hAnsi="宋体"/>
                        <w:sz w:val="18"/>
                        <w:szCs w:val="18"/>
                      </w:rPr>
                      <w:t>1.进行工程项目资料、图纸的收集、管理；</w:t>
                    </w:r>
                  </w:p>
                  <w:p>
                    <w:pPr>
                      <w:ind w:firstLine="360"/>
                      <w:rPr>
                        <w:rFonts w:ascii="宋体" w:hAnsi="宋体"/>
                        <w:sz w:val="18"/>
                        <w:szCs w:val="18"/>
                      </w:rPr>
                    </w:pPr>
                    <w:r>
                      <w:rPr>
                        <w:rFonts w:hint="eastAsia" w:ascii="宋体" w:hAnsi="宋体"/>
                        <w:sz w:val="18"/>
                        <w:szCs w:val="18"/>
                      </w:rPr>
                      <w:t>2.进行分部分项工程的验收统计和管理工作；</w:t>
                    </w:r>
                  </w:p>
                  <w:p>
                    <w:pPr>
                      <w:ind w:firstLine="360"/>
                    </w:pPr>
                    <w:r>
                      <w:rPr>
                        <w:rFonts w:hint="eastAsia" w:ascii="宋体" w:hAnsi="宋体"/>
                        <w:sz w:val="18"/>
                        <w:szCs w:val="18"/>
                      </w:rPr>
                      <w:t>3.负责工程项目的内业管理工作。</w:t>
                    </w:r>
                  </w:p>
                </w:txbxContent>
              </v:textbox>
            </v:rect>
            <v:shape id="自选图形 86" o:spid="_x0000_s2106" o:spt="13" type="#_x0000_t13" style="position:absolute;left:9550;top:4514;height:1702;width:2381;rotation:5898240f;" filled="f" coordsize="21600,21600">
              <v:path/>
              <v:fill on="f" focussize="0,0"/>
              <v:stroke joinstyle="miter"/>
              <v:imagedata o:title=""/>
              <o:lock v:ext="edit"/>
            </v:shape>
            <v:shape id="文本框 87" o:spid="_x0000_s2107" o:spt="202" type="#_x0000_t202" style="position:absolute;left:1226;top:23177;height:3048;width:21589;" filled="f" coordsize="21600,21600">
              <v:path/>
              <v:fill on="f" focussize="0,0"/>
              <v:stroke joinstyle="miter"/>
              <v:imagedata o:title=""/>
              <o:lock v:ext="edit"/>
              <v:textbox>
                <w:txbxContent>
                  <w:p>
                    <w:pPr>
                      <w:rPr>
                        <w:szCs w:val="21"/>
                      </w:rPr>
                    </w:pPr>
                    <w:r>
                      <w:rPr>
                        <w:rFonts w:hint="eastAsia" w:ascii="宋体" w:hAnsi="宋体"/>
                        <w:sz w:val="18"/>
                        <w:szCs w:val="18"/>
                      </w:rPr>
                      <w:t>建筑工程施工技术、建筑工程施工组织</w:t>
                    </w:r>
                  </w:p>
                </w:txbxContent>
              </v:textbox>
            </v:shape>
            <v:shape id="文本框 89" o:spid="_x0000_s2108" o:spt="202" type="#_x0000_t202" style="position:absolute;left:3124;top:6559;height:2667;width:15240;" filled="f" coordsize="21600,21600">
              <v:path/>
              <v:fill on="f" focussize="0,0"/>
              <v:stroke joinstyle="miter"/>
              <v:imagedata o:title=""/>
              <o:lock v:ext="edit"/>
              <v:textbox>
                <w:txbxContent>
                  <w:p>
                    <w:r>
                      <w:rPr>
                        <w:rFonts w:hint="eastAsia" w:ascii="宋体" w:hAnsi="宋体"/>
                        <w:sz w:val="18"/>
                        <w:szCs w:val="18"/>
                      </w:rPr>
                      <w:t>建筑工程资料管理实务</w:t>
                    </w:r>
                  </w:p>
                </w:txbxContent>
              </v:textbox>
            </v:shape>
            <v:shape id="自选图形 92" o:spid="_x0000_s2109" o:spt="13" type="#_x0000_t13" style="position:absolute;left:30308;top:5676;height:1874;width:2578;rotation:5898240f;" filled="f" coordsize="21600,21600">
              <v:path/>
              <v:fill on="f" focussize="0,0"/>
              <v:stroke joinstyle="miter"/>
              <v:imagedata o:title=""/>
              <o:lock v:ext="edit"/>
            </v:shape>
            <v:shape id="自选图形 93" o:spid="_x0000_s2110" o:spt="13" type="#_x0000_t13" style="position:absolute;left:49596;top:5336;height:1873;width:2286;rotation:5898240f;" filled="f" coordsize="21600,21600">
              <v:path/>
              <v:fill on="f" focussize="0,0"/>
              <v:stroke joinstyle="miter"/>
              <v:imagedata o:title=""/>
              <o:lock v:ext="edit"/>
            </v:shape>
            <v:shape id="文本框 94" o:spid="_x0000_s2111" o:spt="202" type="#_x0000_t202" style="position:absolute;left:44888;top:8178;height:2763;width:13525;" filled="f" coordsize="21600,21600">
              <v:path/>
              <v:fill on="f" focussize="0,0"/>
              <v:stroke joinstyle="miter"/>
              <v:imagedata o:title=""/>
              <o:lock v:ext="edit"/>
              <v:textbox>
                <w:txbxContent>
                  <w:p>
                    <w:r>
                      <w:rPr>
                        <w:rFonts w:hint="eastAsia" w:ascii="宋体" w:hAnsi="宋体"/>
                        <w:sz w:val="18"/>
                        <w:szCs w:val="18"/>
                      </w:rPr>
                      <w:t>建筑工程质量验收综合实训</w:t>
                    </w:r>
                  </w:p>
                </w:txbxContent>
              </v:textbox>
            </v:shape>
            <v:shape id="文本框 97" o:spid="_x0000_s2112" o:spt="202" type="#_x0000_t202" style="position:absolute;left:44221;top:15227;height:5950;width:14192;" filled="f" coordsize="21600,21600">
              <v:path/>
              <v:fill on="f" focussize="0,0"/>
              <v:stroke joinstyle="miter"/>
              <v:imagedata o:title=""/>
              <o:lock v:ext="edit"/>
              <v:textbox inset="0mm,1.27mm,0mm,1.27mm">
                <w:txbxContent>
                  <w:p>
                    <w:pPr>
                      <w:jc w:val="center"/>
                    </w:pPr>
                    <w:r>
                      <w:rPr>
                        <w:rFonts w:hint="eastAsia" w:ascii="宋体" w:hAnsi="宋体"/>
                        <w:sz w:val="18"/>
                        <w:szCs w:val="18"/>
                      </w:rPr>
                      <w:t>工程测量综合实训（一）、工程测量综合实训（二）</w:t>
                    </w:r>
                  </w:p>
                  <w:p/>
                </w:txbxContent>
              </v:textbox>
            </v:shape>
            <v:shape id="自选图形 98" o:spid="_x0000_s2113" o:spt="13" type="#_x0000_t13" style="position:absolute;left:20402;top:14306;height:2540;width:3302;" filled="f" coordsize="21600,21600">
              <v:path/>
              <v:fill on="f" focussize="0,0"/>
              <v:stroke joinstyle="miter"/>
              <v:imagedata o:title=""/>
              <o:lock v:ext="edit"/>
            </v:shape>
            <v:shape id="自选图形 99" o:spid="_x0000_s2114" o:spt="13" type="#_x0000_t13" style="position:absolute;left:39611;top:14687;height:2159;width:3683;rotation:11796480f;" filled="f" coordsize="21600,21600">
              <v:path/>
              <v:fill on="f" focussize="0,0"/>
              <v:stroke joinstyle="miter"/>
              <v:imagedata o:title=""/>
              <o:lock v:ext="edit"/>
            </v:shape>
            <v:shape id="文本框 101" o:spid="_x0000_s2115" o:spt="202" type="#_x0000_t202" style="position:absolute;left:44888;top:11639;height:3048;width:11525;" filled="f" coordsize="21600,21600">
              <v:path/>
              <v:fill on="f" focussize="0,0"/>
              <v:stroke joinstyle="miter"/>
              <v:imagedata o:title=""/>
              <o:lock v:ext="edit"/>
              <v:textbox>
                <w:txbxContent>
                  <w:p>
                    <w:pPr>
                      <w:ind w:firstLine="199" w:firstLineChars="111"/>
                    </w:pPr>
                    <w:r>
                      <w:rPr>
                        <w:rFonts w:hint="eastAsia" w:ascii="宋体" w:hAnsi="宋体"/>
                        <w:sz w:val="18"/>
                        <w:szCs w:val="18"/>
                      </w:rPr>
                      <w:t>识图综合实训</w:t>
                    </w:r>
                  </w:p>
                </w:txbxContent>
              </v:textbox>
            </v:shape>
            <v:shape id="文本框 607" o:spid="_x0000_s2116" o:spt="202" type="#_x0000_t202" style="position:absolute;left:45040;top:21799;height:3048;width:12700;" filled="f" coordsize="21600,21600">
              <v:path/>
              <v:fill on="f" focussize="0,0"/>
              <v:stroke joinstyle="miter"/>
              <v:imagedata o:title=""/>
              <o:lock v:ext="edit"/>
              <v:textbox inset="0mm,1.27mm,0mm,1.27mm">
                <w:txbxContent>
                  <w:p>
                    <w:pPr>
                      <w:rPr>
                        <w:sz w:val="18"/>
                        <w:szCs w:val="18"/>
                      </w:rPr>
                    </w:pPr>
                    <w:r>
                      <w:rPr>
                        <w:sz w:val="18"/>
                        <w:szCs w:val="18"/>
                      </w:rPr>
                      <w:t>R</w:t>
                    </w:r>
                    <w:r>
                      <w:rPr>
                        <w:rFonts w:hint="eastAsia"/>
                        <w:sz w:val="18"/>
                        <w:szCs w:val="18"/>
                      </w:rPr>
                      <w:t>evit建模</w:t>
                    </w:r>
                  </w:p>
                </w:txbxContent>
              </v:textbox>
            </v:shape>
            <v:shape id="文本框 572" o:spid="_x0000_s2117" o:spt="202" type="#_x0000_t202" style="position:absolute;left:3981;top:9734;height:2966;width:14383;" filled="f" coordsize="21600,21600">
              <v:path/>
              <v:fill on="f" focussize="0,0"/>
              <v:stroke joinstyle="miter"/>
              <v:imagedata o:title=""/>
              <o:lock v:ext="edit"/>
              <v:textbox>
                <w:txbxContent>
                  <w:p>
                    <w:pPr>
                      <w:jc w:val="center"/>
                      <w:rPr>
                        <w:szCs w:val="21"/>
                      </w:rPr>
                    </w:pPr>
                    <w:r>
                      <w:rPr>
                        <w:rFonts w:hint="eastAsia" w:ascii="宋体" w:hAnsi="宋体"/>
                        <w:sz w:val="18"/>
                        <w:szCs w:val="18"/>
                      </w:rPr>
                      <w:t>建筑制图与识图</w:t>
                    </w:r>
                  </w:p>
                </w:txbxContent>
              </v:textbox>
            </v:shape>
            <v:shape id="文本框 573" o:spid="_x0000_s2118" o:spt="202" type="#_x0000_t202" style="position:absolute;left:1226;top:13081;height:2667;width:18287;" filled="f" coordsize="21600,21600">
              <v:path/>
              <v:fill on="f" focussize="0,0"/>
              <v:stroke joinstyle="miter"/>
              <v:imagedata o:title=""/>
              <o:lock v:ext="edit"/>
              <v:textbox>
                <w:txbxContent>
                  <w:p>
                    <w:r>
                      <w:rPr>
                        <w:rFonts w:hint="eastAsia" w:ascii="宋体" w:hAnsi="宋体"/>
                        <w:sz w:val="18"/>
                        <w:szCs w:val="18"/>
                      </w:rPr>
                      <w:t>建筑材料、建筑力学、建筑构造</w:t>
                    </w:r>
                  </w:p>
                </w:txbxContent>
              </v:textbox>
            </v:shape>
            <v:shape id="文本框 574" o:spid="_x0000_s2119" o:spt="202" type="#_x0000_t202" style="position:absolute;left:1226;top:16338;height:2667;width:18287;" filled="f" coordsize="21600,21600">
              <v:path/>
              <v:fill on="f" focussize="0,0"/>
              <v:stroke joinstyle="miter"/>
              <v:imagedata o:title=""/>
              <o:lock v:ext="edit"/>
              <v:textbox>
                <w:txbxContent>
                  <w:p>
                    <w:r>
                      <w:rPr>
                        <w:rFonts w:hint="eastAsia" w:ascii="宋体" w:hAnsi="宋体"/>
                        <w:sz w:val="18"/>
                        <w:szCs w:val="18"/>
                      </w:rPr>
                      <w:t>建筑CAD、平法识图、工程测量</w:t>
                    </w:r>
                  </w:p>
                </w:txbxContent>
              </v:textbox>
            </v:shape>
            <v:shape id="文本框 575" o:spid="_x0000_s2120" o:spt="202" type="#_x0000_t202" style="position:absolute;left:1226;top:19761;height:3048;width:18287;" filled="f" coordsize="21600,21600">
              <v:path/>
              <v:fill on="f" focussize="0,0"/>
              <v:stroke joinstyle="miter"/>
              <v:imagedata o:title=""/>
              <o:lock v:ext="edit"/>
              <v:textbox>
                <w:txbxContent>
                  <w:p>
                    <w:r>
                      <w:rPr>
                        <w:rFonts w:hint="eastAsia" w:ascii="宋体" w:hAnsi="宋体"/>
                        <w:sz w:val="18"/>
                        <w:szCs w:val="18"/>
                      </w:rPr>
                      <w:t>建筑结构、建筑工程计量与计价</w:t>
                    </w:r>
                  </w:p>
                </w:txbxContent>
              </v:textbox>
            </v:shape>
            <w10:wrap type="none"/>
            <w10:anchorlock/>
          </v:group>
        </w:pict>
      </w:r>
    </w:p>
    <w:p>
      <w:pPr>
        <w:pStyle w:val="4"/>
        <w:ind w:firstLine="562"/>
        <w:rPr>
          <w:rFonts w:ascii="宋体" w:hAnsi="宋体" w:cs="宋体"/>
          <w:kern w:val="0"/>
          <w:szCs w:val="21"/>
        </w:rPr>
      </w:pPr>
      <w:bookmarkStart w:id="62" w:name="_Toc119633057"/>
      <w:r>
        <w:rPr>
          <w:rFonts w:hint="eastAsia"/>
        </w:rPr>
        <w:t>（二）课程设置及描述</w:t>
      </w:r>
      <w:bookmarkEnd w:id="62"/>
    </w:p>
    <w:p>
      <w:pPr>
        <w:jc w:val="center"/>
        <w:rPr>
          <w:rFonts w:ascii="宋体" w:hAnsi="宋体" w:cs="宋体"/>
          <w:bCs/>
          <w:kern w:val="0"/>
          <w:szCs w:val="21"/>
        </w:rPr>
      </w:pPr>
      <w:r>
        <w:rPr>
          <w:rFonts w:hint="eastAsia" w:ascii="Times New Roman" w:hAnsi="Times New Roman"/>
          <w:b/>
          <w:bCs/>
          <w:sz w:val="24"/>
          <w:szCs w:val="24"/>
        </w:rPr>
        <w:t>表3 公共必修课程体系</w:t>
      </w:r>
    </w:p>
    <w:tbl>
      <w:tblPr>
        <w:tblStyle w:val="2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155"/>
        <w:gridCol w:w="2491"/>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1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49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公共必修课程</w:t>
            </w: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w w:val="66"/>
                <w:sz w:val="18"/>
                <w:szCs w:val="18"/>
              </w:rPr>
            </w:pPr>
            <w:r>
              <w:rPr>
                <w:rFonts w:hint="eastAsia" w:ascii="宋体" w:hAnsi="宋体"/>
                <w:sz w:val="18"/>
                <w:szCs w:val="18"/>
              </w:rPr>
              <w:t>思想道德与法治</w:t>
            </w:r>
          </w:p>
        </w:tc>
        <w:tc>
          <w:tcPr>
            <w:tcW w:w="24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pacing w:val="-20"/>
                <w:sz w:val="18"/>
                <w:szCs w:val="18"/>
              </w:rPr>
            </w:pPr>
            <w:r>
              <w:rPr>
                <w:rFonts w:hint="eastAsia" w:ascii="宋体" w:hAnsi="宋体"/>
                <w:sz w:val="18"/>
                <w:szCs w:val="18"/>
              </w:rPr>
              <w:t>毛泽东思想和中国特色社会主义理论体系概论</w:t>
            </w:r>
          </w:p>
        </w:tc>
        <w:tc>
          <w:tcPr>
            <w:tcW w:w="24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 xml:space="preserve"> 习近平新时代中国特色社会主义思想概论</w:t>
            </w:r>
          </w:p>
        </w:tc>
        <w:tc>
          <w:tcPr>
            <w:tcW w:w="2491"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帮助大学生深入学习领会工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主题一:习近平新时代中国特色社会主义思想及其历史地位+主题二:坚持和发展中国特色社会主义的总任务</w:t>
            </w:r>
          </w:p>
          <w:p>
            <w:pPr>
              <w:adjustRightInd w:val="0"/>
              <w:snapToGrid w:val="0"/>
              <w:jc w:val="left"/>
              <w:rPr>
                <w:rFonts w:ascii="宋体" w:hAnsi="宋体"/>
                <w:sz w:val="18"/>
                <w:szCs w:val="18"/>
              </w:rPr>
            </w:pPr>
            <w:r>
              <w:rPr>
                <w:rFonts w:hint="eastAsia" w:ascii="宋体" w:hAnsi="宋体"/>
                <w:sz w:val="18"/>
                <w:szCs w:val="18"/>
              </w:rPr>
              <w:t>主题三:“五位一体”总体布局主题四:“四个全面”战略布局主题五:实现中华民族伟大复兴的重要保障</w:t>
            </w:r>
          </w:p>
          <w:p>
            <w:pPr>
              <w:adjustRightInd w:val="0"/>
              <w:snapToGrid w:val="0"/>
              <w:jc w:val="left"/>
              <w:rPr>
                <w:rFonts w:ascii="宋体" w:hAnsi="宋体"/>
                <w:sz w:val="18"/>
                <w:szCs w:val="18"/>
              </w:rPr>
            </w:pPr>
            <w:r>
              <w:rPr>
                <w:rFonts w:hint="eastAsia" w:ascii="宋体" w:hAnsi="宋体"/>
                <w:sz w:val="18"/>
                <w:szCs w:val="18"/>
              </w:rPr>
              <w:t>主题六:中国特色大国外交</w:t>
            </w:r>
          </w:p>
          <w:p>
            <w:pPr>
              <w:adjustRightInd w:val="0"/>
              <w:snapToGrid w:val="0"/>
              <w:jc w:val="left"/>
              <w:rPr>
                <w:rFonts w:eastAsiaTheme="minorEastAsia"/>
              </w:rPr>
            </w:pPr>
            <w:r>
              <w:rPr>
                <w:rFonts w:hint="eastAsia" w:ascii="宋体" w:hAnsi="宋体"/>
                <w:sz w:val="18"/>
                <w:szCs w:val="18"/>
              </w:rPr>
              <w:t>主题七：坚持和加强党的领导</w:t>
            </w:r>
          </w:p>
        </w:tc>
        <w:tc>
          <w:tcPr>
            <w:tcW w:w="2308"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遵循学生认知发展规律，体现循序渐进、螺旋上升。生持学段全覆盖，强化纵向体化设计;结合学科专业物点，有机融入相关内容，强化育人立意和价值导向。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ind w:firstLine="180" w:firstLineChars="100"/>
              <w:rPr>
                <w:rFonts w:ascii="宋体" w:hAnsi="宋体"/>
                <w:sz w:val="18"/>
                <w:szCs w:val="18"/>
              </w:rPr>
            </w:pPr>
            <w:r>
              <w:rPr>
                <w:rFonts w:hint="eastAsia"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军事理论</w:t>
            </w:r>
          </w:p>
        </w:tc>
        <w:tc>
          <w:tcPr>
            <w:tcW w:w="2491"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（1）中国国防</w:t>
            </w:r>
          </w:p>
          <w:p>
            <w:pPr>
              <w:adjustRightInd w:val="0"/>
              <w:snapToGrid w:val="0"/>
              <w:jc w:val="left"/>
              <w:rPr>
                <w:rFonts w:ascii="宋体" w:hAnsi="宋体"/>
                <w:sz w:val="18"/>
                <w:szCs w:val="18"/>
              </w:rPr>
            </w:pPr>
            <w:r>
              <w:rPr>
                <w:rFonts w:hint="eastAsia" w:ascii="宋体" w:hAnsi="宋体"/>
                <w:sz w:val="18"/>
                <w:szCs w:val="18"/>
              </w:rPr>
              <w:t>（2）国家安全</w:t>
            </w:r>
          </w:p>
          <w:p>
            <w:pPr>
              <w:adjustRightInd w:val="0"/>
              <w:snapToGrid w:val="0"/>
              <w:jc w:val="left"/>
              <w:rPr>
                <w:rFonts w:ascii="宋体" w:hAnsi="宋体"/>
                <w:sz w:val="18"/>
                <w:szCs w:val="18"/>
              </w:rPr>
            </w:pPr>
            <w:r>
              <w:rPr>
                <w:rFonts w:hint="eastAsia" w:ascii="宋体" w:hAnsi="宋体"/>
                <w:sz w:val="18"/>
                <w:szCs w:val="18"/>
              </w:rPr>
              <w:t>（3）军事思想</w:t>
            </w:r>
          </w:p>
          <w:p>
            <w:pPr>
              <w:adjustRightInd w:val="0"/>
              <w:snapToGrid w:val="0"/>
              <w:jc w:val="left"/>
              <w:rPr>
                <w:rFonts w:ascii="宋体" w:hAnsi="宋体"/>
                <w:sz w:val="18"/>
                <w:szCs w:val="18"/>
              </w:rPr>
            </w:pPr>
            <w:r>
              <w:rPr>
                <w:rFonts w:hint="eastAsia" w:ascii="宋体" w:hAnsi="宋体"/>
                <w:sz w:val="18"/>
                <w:szCs w:val="18"/>
              </w:rPr>
              <w:t>（4）现代战争</w:t>
            </w:r>
          </w:p>
          <w:p>
            <w:pPr>
              <w:adjustRightInd w:val="0"/>
              <w:snapToGrid w:val="0"/>
              <w:jc w:val="left"/>
              <w:rPr>
                <w:rFonts w:ascii="宋体" w:hAnsi="宋体"/>
                <w:sz w:val="18"/>
                <w:szCs w:val="18"/>
              </w:rPr>
            </w:pPr>
            <w:r>
              <w:rPr>
                <w:rFonts w:hint="eastAsia" w:ascii="宋体" w:hAnsi="宋体"/>
                <w:sz w:val="18"/>
                <w:szCs w:val="18"/>
              </w:rPr>
              <w:t>（5）信息化装备</w:t>
            </w:r>
          </w:p>
          <w:p>
            <w:pPr>
              <w:adjustRightInd w:val="0"/>
              <w:snapToGrid w:val="0"/>
              <w:jc w:val="left"/>
              <w:rPr>
                <w:rFonts w:ascii="宋体" w:hAnsi="宋体"/>
                <w:sz w:val="18"/>
                <w:szCs w:val="18"/>
              </w:rPr>
            </w:pPr>
          </w:p>
        </w:tc>
        <w:tc>
          <w:tcPr>
            <w:tcW w:w="2308"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形势与政策</w:t>
            </w:r>
          </w:p>
        </w:tc>
        <w:tc>
          <w:tcPr>
            <w:tcW w:w="24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计算机应用基础</w:t>
            </w:r>
          </w:p>
        </w:tc>
        <w:tc>
          <w:tcPr>
            <w:tcW w:w="2491"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（1）掌握计算机的基础知识和基本概念；了解微机硬件系统的基本组成；了解操作系统的功能，掌握Windows7的基本操作方法</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（2）熟练使用微软Office2010软件如：Word2010、Excel2010、</w:t>
            </w:r>
            <w:r>
              <w:rPr>
                <w:rFonts w:hint="eastAsia" w:ascii="宋体" w:hAnsi="宋体"/>
                <w:bCs/>
                <w:sz w:val="18"/>
                <w:szCs w:val="18"/>
              </w:rPr>
              <w:t>Power point2010</w:t>
            </w:r>
            <w:r>
              <w:rPr>
                <w:rFonts w:hint="eastAsia" w:ascii="宋体" w:hAnsi="宋体" w:cs="宋体"/>
                <w:kern w:val="0"/>
                <w:sz w:val="18"/>
                <w:szCs w:val="18"/>
              </w:rPr>
              <w:t>等</w:t>
            </w:r>
          </w:p>
          <w:p>
            <w:pPr>
              <w:wordWrap w:val="0"/>
              <w:autoSpaceDN w:val="0"/>
              <w:adjustRightInd w:val="0"/>
              <w:snapToGrid w:val="0"/>
              <w:rPr>
                <w:rFonts w:ascii="宋体" w:hAnsi="宋体" w:cs="宋体"/>
                <w:kern w:val="0"/>
                <w:sz w:val="18"/>
                <w:szCs w:val="18"/>
              </w:rPr>
            </w:pPr>
            <w:r>
              <w:rPr>
                <w:rFonts w:hint="eastAsia" w:ascii="宋体" w:hAnsi="宋体" w:cs="宋体"/>
                <w:kern w:val="0"/>
                <w:sz w:val="18"/>
                <w:szCs w:val="18"/>
              </w:rPr>
              <w:t>（3）掌握计算机信息技术安全知识和病毒的防治知识</w:t>
            </w:r>
          </w:p>
          <w:p>
            <w:pPr>
              <w:wordWrap w:val="0"/>
              <w:autoSpaceDN w:val="0"/>
              <w:adjustRightInd w:val="0"/>
              <w:snapToGrid w:val="0"/>
              <w:rPr>
                <w:rFonts w:ascii="宋体" w:hAnsi="宋体"/>
                <w:sz w:val="18"/>
                <w:szCs w:val="18"/>
              </w:rPr>
            </w:pPr>
            <w:r>
              <w:rPr>
                <w:rFonts w:hint="eastAsia" w:ascii="宋体" w:hAnsi="宋体" w:cs="宋体"/>
                <w:kern w:val="0"/>
                <w:sz w:val="18"/>
                <w:szCs w:val="18"/>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bCs/>
                <w:sz w:val="18"/>
                <w:szCs w:val="18"/>
              </w:rPr>
            </w:pPr>
            <w:r>
              <w:rPr>
                <w:rFonts w:hint="eastAsia" w:ascii="宋体" w:hAnsi="宋体"/>
                <w:bCs/>
                <w:sz w:val="18"/>
                <w:szCs w:val="18"/>
              </w:rPr>
              <w:t>（1）计算机的基础知识</w:t>
            </w:r>
          </w:p>
          <w:p>
            <w:pPr>
              <w:adjustRightInd w:val="0"/>
              <w:snapToGrid w:val="0"/>
              <w:rPr>
                <w:rFonts w:ascii="宋体" w:hAnsi="宋体"/>
                <w:bCs/>
                <w:sz w:val="18"/>
                <w:szCs w:val="18"/>
              </w:rPr>
            </w:pPr>
            <w:r>
              <w:rPr>
                <w:rFonts w:hint="eastAsia" w:ascii="宋体" w:hAnsi="宋体"/>
                <w:bCs/>
                <w:sz w:val="18"/>
                <w:szCs w:val="18"/>
              </w:rPr>
              <w:t>（2）Windows基本操作</w:t>
            </w:r>
          </w:p>
          <w:p>
            <w:pPr>
              <w:adjustRightInd w:val="0"/>
              <w:snapToGrid w:val="0"/>
              <w:rPr>
                <w:rFonts w:ascii="宋体" w:hAnsi="宋体"/>
                <w:bCs/>
                <w:sz w:val="18"/>
                <w:szCs w:val="18"/>
              </w:rPr>
            </w:pPr>
            <w:r>
              <w:rPr>
                <w:rFonts w:hint="eastAsia" w:ascii="宋体" w:hAnsi="宋体"/>
                <w:bCs/>
                <w:sz w:val="18"/>
                <w:szCs w:val="18"/>
              </w:rPr>
              <w:t>（3）文字处理软件</w:t>
            </w:r>
            <w:r>
              <w:rPr>
                <w:rFonts w:ascii="宋体" w:hAnsi="宋体"/>
                <w:bCs/>
                <w:sz w:val="18"/>
                <w:szCs w:val="18"/>
              </w:rPr>
              <w:t>W</w:t>
            </w:r>
            <w:r>
              <w:rPr>
                <w:rFonts w:hint="eastAsia" w:ascii="宋体" w:hAnsi="宋体"/>
                <w:bCs/>
                <w:sz w:val="18"/>
                <w:szCs w:val="18"/>
              </w:rPr>
              <w:t>ord2010使用</w:t>
            </w:r>
          </w:p>
          <w:p>
            <w:pPr>
              <w:adjustRightInd w:val="0"/>
              <w:snapToGrid w:val="0"/>
              <w:rPr>
                <w:rFonts w:ascii="宋体" w:hAnsi="宋体"/>
                <w:bCs/>
                <w:sz w:val="18"/>
                <w:szCs w:val="18"/>
              </w:rPr>
            </w:pPr>
            <w:r>
              <w:rPr>
                <w:rFonts w:hint="eastAsia" w:ascii="宋体" w:hAnsi="宋体"/>
                <w:bCs/>
                <w:sz w:val="18"/>
                <w:szCs w:val="18"/>
              </w:rPr>
              <w:t>（4）电子表格软件Excel2010的使用</w:t>
            </w:r>
          </w:p>
          <w:p>
            <w:pPr>
              <w:adjustRightInd w:val="0"/>
              <w:snapToGrid w:val="0"/>
              <w:rPr>
                <w:rFonts w:ascii="宋体" w:hAnsi="宋体"/>
                <w:bCs/>
                <w:sz w:val="18"/>
                <w:szCs w:val="18"/>
              </w:rPr>
            </w:pPr>
            <w:r>
              <w:rPr>
                <w:rFonts w:hint="eastAsia" w:ascii="宋体" w:hAnsi="宋体"/>
                <w:bCs/>
                <w:sz w:val="18"/>
                <w:szCs w:val="18"/>
              </w:rPr>
              <w:t>（5）幻灯片制作软件Power point2010的操作</w:t>
            </w:r>
          </w:p>
          <w:p>
            <w:pPr>
              <w:adjustRightInd w:val="0"/>
              <w:snapToGrid w:val="0"/>
              <w:rPr>
                <w:rFonts w:ascii="宋体" w:hAnsi="宋体"/>
                <w:bCs/>
                <w:sz w:val="18"/>
                <w:szCs w:val="18"/>
              </w:rPr>
            </w:pPr>
            <w:r>
              <w:rPr>
                <w:rFonts w:hint="eastAsia" w:ascii="宋体" w:hAnsi="宋体"/>
                <w:bCs/>
                <w:sz w:val="18"/>
                <w:szCs w:val="18"/>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r>
              <w:rPr>
                <w:rFonts w:hint="eastAsia" w:ascii="宋体" w:hAnsi="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大学英语</w:t>
            </w:r>
          </w:p>
        </w:tc>
        <w:tc>
          <w:tcPr>
            <w:tcW w:w="2491"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（1）用于日常交际及一般涉外业务的基本词汇；</w:t>
            </w:r>
          </w:p>
          <w:p>
            <w:pPr>
              <w:rPr>
                <w:rFonts w:ascii="宋体" w:hAnsi="宋体"/>
                <w:sz w:val="18"/>
                <w:szCs w:val="18"/>
              </w:rPr>
            </w:pPr>
            <w:r>
              <w:rPr>
                <w:rFonts w:hint="eastAsia" w:ascii="宋体" w:hAnsi="宋体"/>
                <w:sz w:val="18"/>
                <w:szCs w:val="18"/>
              </w:rPr>
              <w:t>（2）语法基础知识；</w:t>
            </w:r>
          </w:p>
          <w:p>
            <w:pPr>
              <w:rPr>
                <w:rFonts w:ascii="宋体" w:hAnsi="宋体"/>
                <w:sz w:val="18"/>
                <w:szCs w:val="18"/>
              </w:rPr>
            </w:pPr>
            <w:r>
              <w:rPr>
                <w:rFonts w:hint="eastAsia" w:ascii="宋体" w:hAnsi="宋体"/>
                <w:sz w:val="18"/>
                <w:szCs w:val="18"/>
              </w:rPr>
              <w:t>（3）语用知识；</w:t>
            </w:r>
          </w:p>
          <w:p>
            <w:pPr>
              <w:rPr>
                <w:rFonts w:ascii="宋体" w:hAnsi="宋体"/>
                <w:sz w:val="18"/>
                <w:szCs w:val="18"/>
              </w:rPr>
            </w:pPr>
            <w:r>
              <w:rPr>
                <w:rFonts w:hint="eastAsia" w:ascii="宋体" w:hAnsi="宋体"/>
                <w:sz w:val="18"/>
                <w:szCs w:val="18"/>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体育与健康</w:t>
            </w:r>
          </w:p>
        </w:tc>
        <w:tc>
          <w:tcPr>
            <w:tcW w:w="24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s="仿宋"/>
                <w:sz w:val="18"/>
                <w:szCs w:val="18"/>
              </w:rPr>
            </w:pPr>
            <w:r>
              <w:rPr>
                <w:rFonts w:hint="eastAsia" w:ascii="宋体" w:hAnsi="宋体" w:cs="仿宋"/>
                <w:sz w:val="18"/>
                <w:szCs w:val="18"/>
              </w:rPr>
              <w:t>（1）坚持以“健康第一”的思想为导向，培养学生自主体育意识和体育行为为目标</w:t>
            </w:r>
          </w:p>
          <w:p>
            <w:pPr>
              <w:adjustRightInd w:val="0"/>
              <w:snapToGrid w:val="0"/>
              <w:jc w:val="left"/>
              <w:rPr>
                <w:rFonts w:ascii="宋体" w:hAnsi="宋体" w:cs="仿宋"/>
                <w:sz w:val="18"/>
                <w:szCs w:val="18"/>
              </w:rPr>
            </w:pPr>
            <w:r>
              <w:rPr>
                <w:rFonts w:ascii="宋体" w:hAnsi="宋体" w:cs="仿宋"/>
                <w:sz w:val="18"/>
                <w:szCs w:val="18"/>
              </w:rPr>
              <w:t>（2）</w:t>
            </w:r>
            <w:r>
              <w:rPr>
                <w:rFonts w:hint="eastAsia" w:ascii="宋体" w:hAnsi="宋体" w:cs="仿宋"/>
                <w:sz w:val="18"/>
                <w:szCs w:val="18"/>
              </w:rPr>
              <w:t>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田径</w:t>
            </w:r>
          </w:p>
          <w:p>
            <w:pPr>
              <w:adjustRightInd w:val="0"/>
              <w:snapToGrid w:val="0"/>
              <w:jc w:val="left"/>
              <w:rPr>
                <w:rFonts w:ascii="宋体" w:hAnsi="宋体"/>
                <w:sz w:val="18"/>
                <w:szCs w:val="18"/>
              </w:rPr>
            </w:pPr>
            <w:r>
              <w:rPr>
                <w:rFonts w:hint="eastAsia" w:ascii="宋体" w:hAnsi="宋体"/>
                <w:sz w:val="18"/>
                <w:szCs w:val="18"/>
              </w:rPr>
              <w:t>篮球</w:t>
            </w:r>
          </w:p>
          <w:p>
            <w:pPr>
              <w:adjustRightInd w:val="0"/>
              <w:snapToGrid w:val="0"/>
              <w:jc w:val="left"/>
              <w:rPr>
                <w:rFonts w:ascii="宋体" w:hAnsi="宋体"/>
                <w:sz w:val="18"/>
                <w:szCs w:val="18"/>
              </w:rPr>
            </w:pPr>
            <w:r>
              <w:rPr>
                <w:rFonts w:hint="eastAsia" w:ascii="宋体" w:hAnsi="宋体"/>
                <w:sz w:val="18"/>
                <w:szCs w:val="18"/>
              </w:rPr>
              <w:t>武术</w:t>
            </w:r>
          </w:p>
          <w:p>
            <w:pPr>
              <w:adjustRightInd w:val="0"/>
              <w:snapToGrid w:val="0"/>
              <w:jc w:val="left"/>
              <w:rPr>
                <w:rFonts w:ascii="宋体" w:hAnsi="宋体"/>
                <w:sz w:val="18"/>
                <w:szCs w:val="18"/>
              </w:rPr>
            </w:pPr>
            <w:r>
              <w:rPr>
                <w:rFonts w:hint="eastAsia" w:ascii="宋体" w:hAnsi="宋体"/>
                <w:sz w:val="18"/>
                <w:szCs w:val="18"/>
              </w:rPr>
              <w:t>体育舞蹈</w:t>
            </w:r>
          </w:p>
          <w:p>
            <w:pPr>
              <w:adjustRightInd w:val="0"/>
              <w:snapToGrid w:val="0"/>
              <w:jc w:val="left"/>
              <w:rPr>
                <w:rFonts w:ascii="宋体" w:hAnsi="宋体"/>
                <w:sz w:val="18"/>
                <w:szCs w:val="18"/>
              </w:rPr>
            </w:pPr>
            <w:r>
              <w:rPr>
                <w:rFonts w:hint="eastAsia" w:ascii="宋体" w:hAnsi="宋体"/>
                <w:sz w:val="18"/>
                <w:szCs w:val="18"/>
              </w:rPr>
              <w:t>健身健美</w:t>
            </w:r>
          </w:p>
          <w:p>
            <w:pPr>
              <w:adjustRightInd w:val="0"/>
              <w:snapToGrid w:val="0"/>
              <w:jc w:val="left"/>
              <w:rPr>
                <w:rFonts w:ascii="宋体" w:hAnsi="宋体"/>
                <w:sz w:val="18"/>
                <w:szCs w:val="18"/>
              </w:rPr>
            </w:pPr>
            <w:r>
              <w:rPr>
                <w:rFonts w:hint="eastAsia" w:ascii="宋体" w:hAnsi="宋体"/>
                <w:sz w:val="18"/>
                <w:szCs w:val="18"/>
              </w:rPr>
              <w:t>乒乓球</w:t>
            </w:r>
          </w:p>
          <w:p>
            <w:pPr>
              <w:adjustRightInd w:val="0"/>
              <w:snapToGrid w:val="0"/>
              <w:jc w:val="left"/>
              <w:rPr>
                <w:rFonts w:ascii="宋体" w:hAnsi="宋体"/>
                <w:sz w:val="18"/>
                <w:szCs w:val="18"/>
              </w:rPr>
            </w:pPr>
            <w:r>
              <w:rPr>
                <w:rFonts w:hint="eastAsia" w:ascii="宋体" w:hAnsi="宋体"/>
                <w:sz w:val="18"/>
                <w:szCs w:val="18"/>
              </w:rPr>
              <w:t>足球</w:t>
            </w:r>
          </w:p>
          <w:p>
            <w:pPr>
              <w:adjustRightInd w:val="0"/>
              <w:snapToGrid w:val="0"/>
              <w:jc w:val="left"/>
              <w:rPr>
                <w:rFonts w:ascii="宋体" w:hAnsi="宋体"/>
                <w:sz w:val="18"/>
                <w:szCs w:val="18"/>
              </w:rPr>
            </w:pPr>
            <w:r>
              <w:rPr>
                <w:rFonts w:hint="eastAsia" w:ascii="宋体" w:hAnsi="宋体"/>
                <w:sz w:val="18"/>
                <w:szCs w:val="18"/>
              </w:rPr>
              <w:t>排球</w:t>
            </w:r>
          </w:p>
          <w:p>
            <w:pPr>
              <w:adjustRightInd w:val="0"/>
              <w:snapToGrid w:val="0"/>
              <w:jc w:val="left"/>
              <w:rPr>
                <w:rFonts w:ascii="宋体" w:hAnsi="宋体"/>
                <w:sz w:val="18"/>
                <w:szCs w:val="18"/>
              </w:rPr>
            </w:pPr>
            <w:r>
              <w:rPr>
                <w:rFonts w:hint="eastAsia" w:ascii="宋体" w:hAnsi="宋体"/>
                <w:sz w:val="18"/>
                <w:szCs w:val="18"/>
              </w:rPr>
              <w:t>羽毛球</w:t>
            </w:r>
          </w:p>
          <w:p>
            <w:pPr>
              <w:adjustRightInd w:val="0"/>
              <w:snapToGrid w:val="0"/>
              <w:jc w:val="left"/>
              <w:rPr>
                <w:rFonts w:ascii="宋体" w:hAnsi="宋体"/>
                <w:sz w:val="18"/>
                <w:szCs w:val="18"/>
              </w:rPr>
            </w:pPr>
            <w:r>
              <w:rPr>
                <w:rFonts w:hint="eastAsia" w:ascii="宋体" w:hAnsi="宋体"/>
                <w:sz w:val="18"/>
                <w:szCs w:val="18"/>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大学生就业创业指导</w:t>
            </w:r>
          </w:p>
        </w:tc>
        <w:tc>
          <w:tcPr>
            <w:tcW w:w="24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（1）就业形势与政策</w:t>
            </w:r>
          </w:p>
          <w:p>
            <w:pPr>
              <w:adjustRightInd w:val="0"/>
              <w:snapToGrid w:val="0"/>
              <w:jc w:val="left"/>
              <w:rPr>
                <w:rFonts w:ascii="宋体" w:hAnsi="宋体"/>
                <w:sz w:val="18"/>
                <w:szCs w:val="18"/>
              </w:rPr>
            </w:pPr>
            <w:r>
              <w:rPr>
                <w:rFonts w:hint="eastAsia" w:ascii="宋体" w:hAnsi="宋体"/>
                <w:sz w:val="18"/>
                <w:szCs w:val="18"/>
              </w:rPr>
              <w:t>（2）就业前的准备</w:t>
            </w:r>
          </w:p>
          <w:p>
            <w:pPr>
              <w:adjustRightInd w:val="0"/>
              <w:snapToGrid w:val="0"/>
              <w:jc w:val="left"/>
              <w:rPr>
                <w:rFonts w:ascii="宋体" w:hAnsi="宋体"/>
                <w:sz w:val="18"/>
                <w:szCs w:val="18"/>
              </w:rPr>
            </w:pPr>
            <w:r>
              <w:rPr>
                <w:rFonts w:hint="eastAsia" w:ascii="宋体" w:hAnsi="宋体"/>
                <w:sz w:val="18"/>
                <w:szCs w:val="18"/>
              </w:rPr>
              <w:t>（3）求职与面试</w:t>
            </w:r>
          </w:p>
          <w:p>
            <w:pPr>
              <w:adjustRightInd w:val="0"/>
              <w:snapToGrid w:val="0"/>
              <w:jc w:val="left"/>
              <w:rPr>
                <w:rFonts w:ascii="宋体" w:hAnsi="宋体"/>
                <w:sz w:val="18"/>
                <w:szCs w:val="18"/>
              </w:rPr>
            </w:pPr>
            <w:r>
              <w:rPr>
                <w:rFonts w:hint="eastAsia" w:ascii="宋体" w:hAnsi="宋体"/>
                <w:sz w:val="18"/>
                <w:szCs w:val="18"/>
              </w:rPr>
              <w:t>（4）就业法律保护</w:t>
            </w:r>
          </w:p>
          <w:p>
            <w:pPr>
              <w:adjustRightInd w:val="0"/>
              <w:snapToGrid w:val="0"/>
              <w:jc w:val="left"/>
              <w:rPr>
                <w:rFonts w:ascii="宋体" w:hAnsi="宋体"/>
                <w:sz w:val="18"/>
                <w:szCs w:val="18"/>
              </w:rPr>
            </w:pPr>
            <w:r>
              <w:rPr>
                <w:rFonts w:hint="eastAsia" w:ascii="宋体" w:hAnsi="宋体"/>
                <w:sz w:val="18"/>
                <w:szCs w:val="18"/>
              </w:rPr>
              <w:t>（5）入职与发展</w:t>
            </w:r>
          </w:p>
          <w:p>
            <w:pPr>
              <w:adjustRightInd w:val="0"/>
              <w:snapToGrid w:val="0"/>
              <w:jc w:val="left"/>
              <w:rPr>
                <w:rFonts w:ascii="宋体" w:hAnsi="宋体"/>
                <w:sz w:val="18"/>
                <w:szCs w:val="18"/>
              </w:rPr>
            </w:pPr>
            <w:r>
              <w:rPr>
                <w:rFonts w:hint="eastAsia" w:ascii="宋体" w:hAnsi="宋体"/>
                <w:sz w:val="18"/>
                <w:szCs w:val="18"/>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10</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心理健康教育</w:t>
            </w:r>
          </w:p>
        </w:tc>
        <w:tc>
          <w:tcPr>
            <w:tcW w:w="249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（1）心理健康维护</w:t>
            </w:r>
          </w:p>
          <w:p>
            <w:pPr>
              <w:adjustRightInd w:val="0"/>
              <w:snapToGrid w:val="0"/>
              <w:jc w:val="left"/>
              <w:rPr>
                <w:rFonts w:ascii="宋体" w:hAnsi="宋体"/>
                <w:sz w:val="18"/>
                <w:szCs w:val="18"/>
              </w:rPr>
            </w:pPr>
            <w:r>
              <w:rPr>
                <w:rFonts w:hint="eastAsia" w:ascii="宋体" w:hAnsi="宋体"/>
                <w:sz w:val="18"/>
                <w:szCs w:val="18"/>
              </w:rPr>
              <w:t>（2）心理发展成熟</w:t>
            </w:r>
          </w:p>
          <w:p>
            <w:pPr>
              <w:adjustRightInd w:val="0"/>
              <w:snapToGrid w:val="0"/>
              <w:jc w:val="left"/>
              <w:rPr>
                <w:rFonts w:ascii="宋体" w:hAnsi="宋体"/>
                <w:sz w:val="18"/>
                <w:szCs w:val="18"/>
              </w:rPr>
            </w:pPr>
            <w:r>
              <w:rPr>
                <w:rFonts w:hint="eastAsia" w:ascii="宋体" w:hAnsi="宋体"/>
                <w:sz w:val="18"/>
                <w:szCs w:val="18"/>
              </w:rPr>
              <w:t>（3）心理素质培养</w:t>
            </w:r>
          </w:p>
          <w:p>
            <w:pPr>
              <w:adjustRightInd w:val="0"/>
              <w:snapToGrid w:val="0"/>
              <w:jc w:val="left"/>
              <w:rPr>
                <w:rFonts w:ascii="宋体" w:hAnsi="宋体"/>
                <w:sz w:val="18"/>
                <w:szCs w:val="18"/>
              </w:rPr>
            </w:pPr>
            <w:r>
              <w:rPr>
                <w:rFonts w:hint="eastAsia" w:ascii="宋体" w:hAnsi="宋体"/>
                <w:sz w:val="18"/>
                <w:szCs w:val="18"/>
              </w:rPr>
              <w:t>（4）积极人格铸造</w:t>
            </w:r>
          </w:p>
          <w:p>
            <w:pPr>
              <w:adjustRightInd w:val="0"/>
              <w:snapToGrid w:val="0"/>
              <w:jc w:val="left"/>
              <w:rPr>
                <w:rFonts w:ascii="宋体" w:hAnsi="宋体"/>
                <w:sz w:val="18"/>
                <w:szCs w:val="18"/>
              </w:rPr>
            </w:pPr>
            <w:r>
              <w:rPr>
                <w:rFonts w:hint="eastAsia" w:ascii="宋体" w:hAnsi="宋体"/>
                <w:sz w:val="18"/>
                <w:szCs w:val="18"/>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11</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中华传统文化</w:t>
            </w:r>
          </w:p>
        </w:tc>
        <w:tc>
          <w:tcPr>
            <w:tcW w:w="2491"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劳动教育</w:t>
            </w:r>
          </w:p>
        </w:tc>
        <w:tc>
          <w:tcPr>
            <w:tcW w:w="2491"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（1）树立正确的劳动观念。</w:t>
            </w:r>
          </w:p>
          <w:p>
            <w:pPr>
              <w:shd w:val="clear" w:color="auto" w:fill="FFFFFF"/>
              <w:rPr>
                <w:sz w:val="18"/>
                <w:szCs w:val="18"/>
              </w:rPr>
            </w:pPr>
            <w:r>
              <w:rPr>
                <w:sz w:val="18"/>
                <w:szCs w:val="18"/>
              </w:rPr>
              <w:t>（2）具有必备的劳动能力。</w:t>
            </w:r>
          </w:p>
          <w:p>
            <w:pPr>
              <w:shd w:val="clear" w:color="auto" w:fill="FFFFFF"/>
              <w:rPr>
                <w:sz w:val="18"/>
                <w:szCs w:val="18"/>
              </w:rPr>
            </w:pPr>
            <w:r>
              <w:rPr>
                <w:sz w:val="18"/>
                <w:szCs w:val="18"/>
              </w:rPr>
              <w:t>（3）培育积极的劳动精神。</w:t>
            </w:r>
          </w:p>
          <w:p>
            <w:pPr>
              <w:shd w:val="clear" w:color="auto" w:fill="FFFFFF"/>
              <w:rPr>
                <w:sz w:val="18"/>
                <w:szCs w:val="18"/>
              </w:rPr>
            </w:pPr>
            <w:r>
              <w:rPr>
                <w:sz w:val="18"/>
                <w:szCs w:val="18"/>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sz w:val="18"/>
                <w:szCs w:val="18"/>
              </w:rPr>
              <w:t>主要包括日常生活劳动、生产劳动和服务性劳动中的知识、技能与价值观。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pPr>
              <w:adjustRightInd w:val="0"/>
              <w:snapToGrid w:val="0"/>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bookmarkStart w:id="63" w:name="_Toc46303716"/>
            <w:r>
              <w:rPr>
                <w:rFonts w:hint="eastAsia" w:ascii="宋体" w:hAnsi="宋体"/>
                <w:sz w:val="18"/>
                <w:szCs w:val="18"/>
              </w:rPr>
              <w:t>13</w:t>
            </w:r>
          </w:p>
        </w:tc>
        <w:tc>
          <w:tcPr>
            <w:tcW w:w="709" w:type="dxa"/>
            <w:tcBorders>
              <w:left w:val="single" w:color="auto" w:sz="4" w:space="0"/>
              <w:right w:val="single" w:color="auto" w:sz="4" w:space="0"/>
            </w:tcBorders>
            <w:vAlign w:val="center"/>
          </w:tcPr>
          <w:p>
            <w:pPr>
              <w:widowControl/>
              <w:jc w:val="left"/>
              <w:rPr>
                <w:rFonts w:ascii="宋体" w:hAnsi="宋体"/>
                <w:sz w:val="18"/>
                <w:szCs w:val="18"/>
              </w:rPr>
            </w:pPr>
          </w:p>
        </w:tc>
        <w:tc>
          <w:tcPr>
            <w:tcW w:w="115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高等数学</w:t>
            </w:r>
          </w:p>
        </w:tc>
        <w:tc>
          <w:tcPr>
            <w:tcW w:w="2491"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本课程通过设计各种情境真实的“案例实践”问题，开阔学生的创新思维与想象空间；其中导数、微分、积分等基础知识能做为地基，使学生更好的学习专业知识，并且学会利用数学知识解决实际问题。</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（1）函数；</w:t>
            </w:r>
          </w:p>
          <w:p>
            <w:pPr>
              <w:rPr>
                <w:rFonts w:ascii="宋体" w:hAnsi="宋体"/>
                <w:sz w:val="18"/>
                <w:szCs w:val="18"/>
              </w:rPr>
            </w:pPr>
            <w:r>
              <w:rPr>
                <w:rFonts w:hint="eastAsia" w:ascii="宋体" w:hAnsi="宋体"/>
                <w:sz w:val="18"/>
                <w:szCs w:val="18"/>
              </w:rPr>
              <w:t>（2）极限与连续；</w:t>
            </w:r>
          </w:p>
          <w:p>
            <w:pPr>
              <w:rPr>
                <w:rFonts w:ascii="宋体" w:hAnsi="宋体"/>
                <w:sz w:val="18"/>
                <w:szCs w:val="18"/>
              </w:rPr>
            </w:pPr>
            <w:r>
              <w:rPr>
                <w:rFonts w:hint="eastAsia" w:ascii="宋体" w:hAnsi="宋体"/>
                <w:sz w:val="18"/>
                <w:szCs w:val="18"/>
              </w:rPr>
              <w:t>（3）导数与微分；</w:t>
            </w:r>
          </w:p>
          <w:p>
            <w:pPr>
              <w:rPr>
                <w:rFonts w:ascii="宋体" w:hAnsi="宋体"/>
                <w:sz w:val="18"/>
                <w:szCs w:val="18"/>
              </w:rPr>
            </w:pPr>
            <w:r>
              <w:rPr>
                <w:rFonts w:hint="eastAsia" w:ascii="宋体" w:hAnsi="宋体"/>
                <w:sz w:val="18"/>
                <w:szCs w:val="18"/>
              </w:rPr>
              <w:t>（4）一元函数微分学的应用；</w:t>
            </w:r>
          </w:p>
          <w:p>
            <w:pPr>
              <w:rPr>
                <w:rFonts w:ascii="宋体" w:hAnsi="宋体"/>
                <w:sz w:val="18"/>
                <w:szCs w:val="18"/>
              </w:rPr>
            </w:pPr>
            <w:r>
              <w:rPr>
                <w:rFonts w:hint="eastAsia" w:ascii="宋体" w:hAnsi="宋体"/>
                <w:sz w:val="18"/>
                <w:szCs w:val="18"/>
              </w:rPr>
              <w:t>（5）不定积分；</w:t>
            </w:r>
          </w:p>
          <w:p>
            <w:pPr>
              <w:rPr>
                <w:rFonts w:ascii="宋体" w:hAnsi="宋体"/>
                <w:sz w:val="18"/>
                <w:szCs w:val="18"/>
              </w:rPr>
            </w:pPr>
            <w:r>
              <w:rPr>
                <w:rFonts w:hint="eastAsia" w:ascii="宋体" w:hAnsi="宋体"/>
                <w:sz w:val="18"/>
                <w:szCs w:val="18"/>
              </w:rPr>
              <w:t>（6）定积分；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在授课中应紧密结合实际问题，分析一些代表性的专业相关问题，并建立数学模型。</w:t>
            </w:r>
          </w:p>
          <w:p>
            <w:pPr>
              <w:rPr>
                <w:rFonts w:ascii="宋体" w:hAnsi="宋体"/>
                <w:sz w:val="18"/>
                <w:szCs w:val="18"/>
              </w:rPr>
            </w:pPr>
          </w:p>
        </w:tc>
      </w:tr>
    </w:tbl>
    <w:p>
      <w:pPr>
        <w:spacing w:beforeLines="50" w:afterLines="50"/>
        <w:jc w:val="center"/>
        <w:rPr>
          <w:rFonts w:ascii="Times New Roman" w:hAnsi="Times New Roman"/>
          <w:b/>
          <w:bCs/>
          <w:sz w:val="24"/>
          <w:szCs w:val="24"/>
        </w:rPr>
      </w:pPr>
    </w:p>
    <w:p>
      <w:pPr>
        <w:widowControl/>
        <w:jc w:val="left"/>
        <w:rPr>
          <w:rFonts w:ascii="Times New Roman" w:hAnsi="Times New Roman"/>
          <w:b/>
          <w:bCs/>
          <w:sz w:val="24"/>
          <w:szCs w:val="24"/>
        </w:rPr>
      </w:pPr>
      <w:r>
        <w:rPr>
          <w:rFonts w:ascii="Times New Roman" w:hAnsi="Times New Roman"/>
          <w:b/>
          <w:bCs/>
          <w:sz w:val="24"/>
          <w:szCs w:val="24"/>
        </w:rPr>
        <w:br w:type="page"/>
      </w:r>
    </w:p>
    <w:p>
      <w:pPr>
        <w:spacing w:beforeLines="50" w:afterLines="50"/>
        <w:jc w:val="center"/>
        <w:rPr>
          <w:rFonts w:ascii="Times New Roman" w:hAnsi="Times New Roman"/>
          <w:b/>
          <w:bCs/>
          <w:sz w:val="24"/>
          <w:szCs w:val="24"/>
        </w:rPr>
      </w:pPr>
      <w:r>
        <w:rPr>
          <w:rFonts w:hint="eastAsia" w:ascii="Times New Roman" w:hAnsi="Times New Roman"/>
          <w:b/>
          <w:bCs/>
          <w:sz w:val="24"/>
          <w:szCs w:val="24"/>
        </w:rPr>
        <w:t>表4专业课程体系</w:t>
      </w:r>
    </w:p>
    <w:tbl>
      <w:tblPr>
        <w:tblStyle w:val="24"/>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338"/>
        <w:gridCol w:w="2308"/>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cs="宋体"/>
                <w:sz w:val="18"/>
                <w:szCs w:val="18"/>
              </w:rPr>
            </w:pPr>
            <w:r>
              <w:rPr>
                <w:rFonts w:hint="eastAsia" w:ascii="宋体" w:hAnsi="宋体" w:cs="宋体"/>
                <w:sz w:val="18"/>
                <w:szCs w:val="18"/>
              </w:rPr>
              <w:t>课程性质</w:t>
            </w: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课程名称</w:t>
            </w:r>
          </w:p>
        </w:tc>
        <w:tc>
          <w:tcPr>
            <w:tcW w:w="23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课程目标</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主要内容</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专业</w:t>
            </w:r>
          </w:p>
          <w:p>
            <w:pPr>
              <w:jc w:val="center"/>
              <w:rPr>
                <w:rFonts w:ascii="宋体" w:hAnsi="宋体" w:cs="宋体"/>
                <w:sz w:val="18"/>
                <w:szCs w:val="18"/>
              </w:rPr>
            </w:pPr>
            <w:r>
              <w:rPr>
                <w:rFonts w:hint="eastAsia" w:ascii="宋体" w:hAnsi="宋体" w:cs="宋体"/>
                <w:sz w:val="18"/>
                <w:szCs w:val="18"/>
              </w:rPr>
              <w:t>基础</w:t>
            </w:r>
          </w:p>
          <w:p>
            <w:pPr>
              <w:jc w:val="center"/>
              <w:rPr>
                <w:rFonts w:ascii="宋体" w:hAnsi="宋体" w:cs="宋体"/>
                <w:sz w:val="18"/>
                <w:szCs w:val="18"/>
              </w:rPr>
            </w:pPr>
            <w:r>
              <w:rPr>
                <w:rFonts w:hint="eastAsia" w:ascii="宋体" w:hAnsi="宋体" w:cs="宋体"/>
                <w:sz w:val="18"/>
                <w:szCs w:val="18"/>
              </w:rPr>
              <w:t>课程</w:t>
            </w: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建筑工程制图</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让学生掌握以正投影为主的各种投影作图方法,掌握立体的三面投影投影画法、轴侧投影等的基本原理和方法、剖视图和剖面图的画法;了解建筑施工图和建筑结构图的图示内容、建筑工程图的种类、特点,掌握建筑施工图和建筑结构图的画法;能正确识读建筑施工图、结构施工图、设备施工图、装饰施工图和钢筋结构图。</w:t>
            </w:r>
          </w:p>
          <w:p>
            <w:pPr>
              <w:jc w:val="left"/>
              <w:rPr>
                <w:rFonts w:ascii="宋体" w:hAnsi="宋体" w:cs="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制图的基本知识和技能；投影法点、直线、面的投影；立体的投影；组合体；轴测投影；建筑施工图的识读；识读工业厂房。</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sz w:val="18"/>
                <w:szCs w:val="18"/>
              </w:rPr>
              <w:t>直观教学法：教师在言传身教的同时，充分利用先进的教学手段，利用模型（实物和虚拟）、动画演示等进行直观教学，起到良好的教学效果，并充分调动学生学习积极性，充分利用学校现有实训条件，增加学生空间想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建筑材料与检测</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通过本课程的学习，让学生掌握常用的建筑材料的性质及检测方法，掌握材料的特性及应用，能够进行配合比设计方法及检测，能够进行混凝土强度等级的评定，能够进行各原材料的试验检测。</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建筑材料与检测》共分十四章。主要内容包括：建筑材料的基本性质，气硬性胶凝材料，水泥，混凝土，建筑砂浆，墙体材料，建筑钢材，防水材料，塑料，木材，绝热材料和吸声、隔声材料，建筑装饰材料，建筑材料性能检测等。</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1、直观教学法：教师在言传身教的同时，利用先进的教学手段，利用多媒体、动画演示、真实现场录制视频等进行直观教学，起到良好的教学效果，充分调动学生学习积极性。</w:t>
            </w:r>
          </w:p>
          <w:p>
            <w:pPr>
              <w:jc w:val="left"/>
              <w:rPr>
                <w:rFonts w:ascii="宋体" w:hAnsi="宋体" w:cs="宋体"/>
                <w:sz w:val="18"/>
                <w:szCs w:val="18"/>
              </w:rPr>
            </w:pPr>
            <w:r>
              <w:rPr>
                <w:rFonts w:hint="eastAsia" w:ascii="宋体" w:hAnsi="宋体"/>
                <w:sz w:val="18"/>
                <w:szCs w:val="18"/>
              </w:rPr>
              <w:t>2、实践教学法：针对要完成的实验任务，进行分小组，制定计划、实施过程及检查、评估阶段，采用小组讨论法，集思广益，圆满完成实践任务，此种教学模式能够使学生具有很高的团队合作精神，提高同学的协调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建筑构造与识图</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ascii="宋体" w:hAnsi="宋体"/>
                <w:sz w:val="18"/>
                <w:szCs w:val="18"/>
              </w:rPr>
              <w:t>通过本课程的学习，培养学生的空间想象能力和思维能力，使学生掌握建筑</w:t>
            </w:r>
          </w:p>
          <w:p>
            <w:pPr>
              <w:jc w:val="left"/>
              <w:rPr>
                <w:rFonts w:ascii="宋体" w:hAnsi="宋体"/>
                <w:sz w:val="18"/>
                <w:szCs w:val="18"/>
              </w:rPr>
            </w:pPr>
            <w:r>
              <w:rPr>
                <w:rFonts w:ascii="宋体" w:hAnsi="宋体"/>
                <w:sz w:val="18"/>
                <w:szCs w:val="18"/>
              </w:rPr>
              <w:t>施工图识读基本知识及建筑构造原理和构造方法,从而具有对房屋建筑构造的认知能力以及工程图样在实际中的绘图和读图的能力,适应专业岗位需求。</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制图的基本知识和技能；投影法点、直线、面的投影；立体的投影；组合体；轴测投影；基础与地下室构造；墙体构造；楼地层构造；楼梯与电梯；门窗构造；屋顶构造</w:t>
            </w:r>
          </w:p>
          <w:p>
            <w:pPr>
              <w:jc w:val="left"/>
              <w:rPr>
                <w:rFonts w:ascii="宋体" w:hAnsi="宋体" w:cs="宋体"/>
                <w:sz w:val="18"/>
                <w:szCs w:val="18"/>
              </w:rPr>
            </w:pPr>
            <w:r>
              <w:rPr>
                <w:rFonts w:hint="eastAsia" w:ascii="宋体" w:hAnsi="宋体" w:cs="宋体"/>
                <w:sz w:val="18"/>
                <w:szCs w:val="18"/>
              </w:rPr>
              <w:t xml:space="preserve">；建筑变形缝构造；单层工业厂房构造；建筑工程施工图识读。                                                                        </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关于房屋建筑方面的知识面，提升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建筑CAD</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通过本课程的学习，让学生</w:t>
            </w:r>
            <w:r>
              <w:rPr>
                <w:rFonts w:ascii="宋体" w:hAnsi="宋体"/>
                <w:sz w:val="18"/>
                <w:szCs w:val="18"/>
              </w:rPr>
              <w:t>理解制图的基本知识，掌握绘图的基本技能；  理解并掌握常用绘图命令和编辑命令；掌握基本体、切割体、相贯体、组合体的三</w:t>
            </w:r>
            <w:r>
              <w:rPr>
                <w:rFonts w:hint="eastAsia" w:ascii="宋体" w:hAnsi="宋体"/>
                <w:sz w:val="18"/>
                <w:szCs w:val="18"/>
              </w:rPr>
              <w:t>视</w:t>
            </w:r>
            <w:r>
              <w:rPr>
                <w:rFonts w:ascii="宋体" w:hAnsi="宋体"/>
                <w:sz w:val="18"/>
                <w:szCs w:val="18"/>
              </w:rPr>
              <w:t>围画图方法及尺</w:t>
            </w:r>
            <w:r>
              <w:rPr>
                <w:rFonts w:hint="eastAsia" w:ascii="宋体" w:hAnsi="宋体"/>
                <w:sz w:val="18"/>
                <w:szCs w:val="18"/>
              </w:rPr>
              <w:t>寸标注；</w:t>
            </w:r>
            <w:r>
              <w:rPr>
                <w:rFonts w:ascii="宋体" w:hAnsi="宋体"/>
                <w:sz w:val="18"/>
                <w:szCs w:val="18"/>
              </w:rPr>
              <w:t>掌握中等复杂程度零件图的画图方法、熟练运用图</w:t>
            </w:r>
            <w:r>
              <w:rPr>
                <w:rFonts w:hint="eastAsia" w:ascii="宋体" w:hAnsi="宋体"/>
                <w:sz w:val="18"/>
                <w:szCs w:val="18"/>
              </w:rPr>
              <w:t>块</w:t>
            </w:r>
            <w:r>
              <w:rPr>
                <w:rFonts w:ascii="宋体" w:hAnsi="宋体"/>
                <w:sz w:val="18"/>
                <w:szCs w:val="18"/>
              </w:rPr>
              <w:t>操作和快速引线命令完成相关技术要求的标注</w:t>
            </w:r>
            <w:r>
              <w:rPr>
                <w:rFonts w:hint="eastAsia" w:ascii="宋体" w:hAnsi="宋体"/>
                <w:sz w:val="18"/>
                <w:szCs w:val="18"/>
              </w:rPr>
              <w:t>；</w:t>
            </w:r>
            <w:r>
              <w:rPr>
                <w:rFonts w:ascii="宋体" w:hAnsi="宋体"/>
                <w:sz w:val="18"/>
                <w:szCs w:val="18"/>
              </w:rPr>
              <w:t>掌握绘制装配图的方法，可以考取中级制图员证书。</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（1）中文版快速入门                                         （2）操作基础                                                           （3）辅助工具的使用                                                                      （4）绘图环境的设置                                                                 （5）基本绘图命令                                                             （6）基本编辑命令                                                                         （7）文字与表格                                                                       （8）尺寸标注                                                            （9）AutoCAD2014绘制建筑立体常用工具                                                              （10）绘制建筑总平面图                                                  （11）绘制建筑平面图                                                              （12）绘制建筑立面图                                                                                   （13）绘制建筑断面图</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在课程中可以进行课程教改，在学生已经掌握一定基础知识的前提下，倡导以学生为“主”，教师为“辅”的教学方式。教师布置任务，学生分组讨论，学生讲，学生评价，教师补充的教学方式，增加学习的积极性，提高课堂教学质量。</w:t>
            </w:r>
          </w:p>
          <w:p>
            <w:pPr>
              <w:jc w:val="left"/>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建筑工程测量</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w:t>
            </w:r>
            <w:r>
              <w:rPr>
                <w:rFonts w:ascii="宋体" w:hAnsi="宋体"/>
                <w:sz w:val="18"/>
                <w:szCs w:val="18"/>
              </w:rPr>
              <w:t>使学生具有水准仪、经纬仪、全站仪三种基本测量仪器的使用和检验及校正能力</w:t>
            </w:r>
            <w:r>
              <w:rPr>
                <w:rFonts w:hint="eastAsia" w:ascii="宋体" w:hAnsi="宋体"/>
                <w:sz w:val="18"/>
                <w:szCs w:val="18"/>
              </w:rPr>
              <w:t>；</w:t>
            </w:r>
            <w:r>
              <w:rPr>
                <w:rFonts w:ascii="宋体" w:hAnsi="宋体"/>
                <w:sz w:val="18"/>
                <w:szCs w:val="18"/>
              </w:rPr>
              <w:t>了解测绘新技术在建筑工程测量中的应用及发展动向能正确选用测量器具和测量方法进行建筑施工中的测量放线工作</w:t>
            </w:r>
            <w:r>
              <w:rPr>
                <w:rFonts w:hint="eastAsia" w:ascii="宋体" w:hAnsi="宋体"/>
                <w:sz w:val="18"/>
                <w:szCs w:val="18"/>
              </w:rPr>
              <w:t>；</w:t>
            </w:r>
            <w:r>
              <w:rPr>
                <w:rFonts w:ascii="宋体" w:hAnsi="宋体"/>
                <w:sz w:val="18"/>
                <w:szCs w:val="18"/>
              </w:rPr>
              <w:t>通过学习，获取测量放线工(中级)职业资格证书</w:t>
            </w:r>
            <w:r>
              <w:rPr>
                <w:rFonts w:hint="eastAsia" w:ascii="宋体" w:hAnsi="宋体"/>
                <w:sz w:val="18"/>
                <w:szCs w:val="18"/>
              </w:rPr>
              <w:t>。</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cs="宋体"/>
                <w:sz w:val="18"/>
                <w:szCs w:val="18"/>
              </w:rPr>
              <w:t>本课程共分为12个模块，系统介绍了建筑工程测量的基本理论，工程常用的测量仪器的使用，重点介绍了建筑工程实地测设内容、水准测量、角度测量、距离测量与直线定向、导线控制测量、地形图的识读与应用等。</w:t>
            </w:r>
          </w:p>
        </w:tc>
        <w:tc>
          <w:tcPr>
            <w:tcW w:w="22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1、直观教学法：教师在言传身教的同时，利用先进的教学手段，利用动画演示等进行直观教学，起到良好的教学效果；</w:t>
            </w:r>
          </w:p>
          <w:p>
            <w:pPr>
              <w:jc w:val="left"/>
              <w:rPr>
                <w:rFonts w:ascii="宋体" w:hAnsi="宋体"/>
                <w:sz w:val="18"/>
                <w:szCs w:val="18"/>
              </w:rPr>
            </w:pPr>
            <w:r>
              <w:rPr>
                <w:rFonts w:hint="eastAsia" w:ascii="宋体" w:hAnsi="宋体"/>
                <w:sz w:val="18"/>
                <w:szCs w:val="18"/>
              </w:rPr>
              <w:t>2、实践教学法：针对要完成的任务，进行分小组，制定计划、实施过程及检查、评估阶段，采用小组讨论法，集思广益，圆满完成实践任务，此种教学模式能够使学生具有很高的团队合作精神，提高同学的协调沟通能力。</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BIM建模及应用基础</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建筑信息模型(BIM)技术是近引领建筑业信息技术走向更高层次的种新技术，该技术的全面应用将大大提高建筑工程的集成化程度。通过本课程的学习，增强学生对BIM技术的认识，了解</w:t>
            </w:r>
          </w:p>
          <w:p>
            <w:pPr>
              <w:jc w:val="left"/>
              <w:rPr>
                <w:rFonts w:ascii="宋体" w:hAnsi="宋体"/>
                <w:sz w:val="18"/>
                <w:szCs w:val="18"/>
              </w:rPr>
            </w:pPr>
            <w:r>
              <w:rPr>
                <w:rFonts w:hint="eastAsia" w:ascii="宋体" w:hAnsi="宋体"/>
                <w:sz w:val="18"/>
                <w:szCs w:val="18"/>
              </w:rPr>
              <w:t>BI技术在建设项目各领域与建设各阶段的应用，并掌握BI技术相关软件的基本操作。</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Revit概述及绘制标高和轴网 、墙体的绘制和编辑、门窗和楼板、屋顶、楼梯、扶手、洞口、坡道、 柱、梁和结构构件、 内建模型、场地、族和体量的绘制建模</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cs="宋体"/>
                <w:sz w:val="18"/>
                <w:szCs w:val="18"/>
              </w:rPr>
              <w:t>在课程中进行课程教改，在学生已经掌握一定基础知识的前提下，倡导以学生为“主”，教师为“辅”的教学方式。教师布置任务，学生分组讨论，学生讲，学生评价，教师补充的教学方式，增加学习的积极性，提高课堂教学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建筑力学与结构</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让学生具有对一般结构进行受力分析、内力分析和绘制内力图地能力；了解材料的主要力学性能并有测试强度指标和构件应力地初步能力；掌握构件强度.刚度和稳定计算地方法；掌握各种构件地基本概念.基本理论和构造要求,能进行各种结构基本构件地设计和一般民用房屋地结构设计,具有熟练识读结构施工图和绘制简单结构施工图地能力,并能处理解决与施工和工程质量有关地结构问题。</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力学结构的概念，建筑结构施工图，建筑力学基本知识，结构构件上的荷载及支座反力计算，构件内力计算及荷载效应组合，钢筋混凝土梁、板、柱，地基与基础等相关内容。</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cs="宋体"/>
                <w:sz w:val="18"/>
                <w:szCs w:val="18"/>
              </w:rPr>
            </w:pPr>
            <w:r>
              <w:rPr>
                <w:rFonts w:hint="eastAsia" w:ascii="宋体" w:hAnsi="宋体" w:cs="宋体"/>
                <w:sz w:val="18"/>
                <w:szCs w:val="18"/>
              </w:rPr>
              <w:t>在课程中要贯彻学以致用的原则，加强对学生工程意识和力学素养的训练和培养。理论上，淡化理论推导，着重概念和结论的应用，强调理论联系实际，把培养学生分析和处理工程实际问题的能力放在重要地位</w:t>
            </w:r>
            <w:r>
              <w:rPr>
                <w:rFonts w:ascii="宋体" w:hAnsi="宋体" w:cs="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专业</w:t>
            </w:r>
          </w:p>
          <w:p>
            <w:pPr>
              <w:jc w:val="center"/>
              <w:rPr>
                <w:rFonts w:ascii="宋体" w:hAnsi="宋体" w:cs="宋体"/>
                <w:sz w:val="18"/>
                <w:szCs w:val="18"/>
              </w:rPr>
            </w:pPr>
            <w:r>
              <w:rPr>
                <w:rFonts w:hint="eastAsia" w:ascii="宋体" w:hAnsi="宋体" w:cs="宋体"/>
                <w:sz w:val="18"/>
                <w:szCs w:val="18"/>
              </w:rPr>
              <w:t>核心</w:t>
            </w:r>
          </w:p>
          <w:p>
            <w:pPr>
              <w:jc w:val="center"/>
              <w:rPr>
                <w:rFonts w:ascii="宋体" w:hAnsi="宋体" w:cs="宋体"/>
                <w:sz w:val="18"/>
                <w:szCs w:val="18"/>
              </w:rPr>
            </w:pPr>
            <w:r>
              <w:rPr>
                <w:rFonts w:hint="eastAsia" w:ascii="宋体" w:hAnsi="宋体" w:cs="宋体"/>
                <w:sz w:val="18"/>
                <w:szCs w:val="18"/>
              </w:rPr>
              <w:t>课程</w:t>
            </w:r>
          </w:p>
          <w:p>
            <w:pPr>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sz w:val="18"/>
                <w:szCs w:val="18"/>
              </w:rPr>
              <w:t>工程招投标与合同管理</w:t>
            </w:r>
          </w:p>
        </w:tc>
        <w:tc>
          <w:tcPr>
            <w:tcW w:w="230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通过本课程内容的教学，使建筑工程技术或者其他相关专业的学生对建设工程招投标与合同管理的基础理论有一个比较全面的理解，能够在老师的指导下，依据相关的法律、法规和相关的建设工程资料，完成某些特定工程的招标文件的编制、投标文件的编制、合同文件的签订；通过建设项目工程实践的训练，要求学生具备初步工程谈判、案例分析和工程索赔的能力。</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招标投标的性质；建设工程招标范围；建设工程招标投标的种类和方式；建设工程招标的一般程序；工程施工招标的资格审查；工程施工招标文件的编制；工程施工招标文件实例；工程施工招标标底的计价办法；施工评标；合同概述；建设工程合同体系；建设工程施工合同；建设工程施工合同的管理；工程索赔概述；索赔依据和程序；工程反索赔；索赔值的计算与技巧。</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学与做、理论与实践、鼓励与沟通相结合。在案例讲解时，换位法授课，例如讲到验收过程中时，教师要充当政府建设行政主管部门的职能，将同学们代入现实角色中去体会、领悟所要掌握的重要知识点。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建筑施工技术</w:t>
            </w:r>
          </w:p>
        </w:tc>
        <w:tc>
          <w:tcPr>
            <w:tcW w:w="230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建筑施工技术是研究建筑工程中主要工种工程的施工规律、施工工艺原理和施工方法的学科，是建筑工程管理专业的核心专业课程，在培养学生综合运用专业知识、提高处理工程实际问题的能力等方面起着重要的作用。其宗旨在于培养学生根据工程具体条件选择合理的施工方案并运用先进的生产技术的能力，达到控制工程造价、缩短工期、保证工程质量、降低工程成本的目的，从而在建筑工程施工中，实现技术与经济的统一。</w:t>
            </w:r>
          </w:p>
          <w:p>
            <w:pPr>
              <w:jc w:val="left"/>
              <w:rPr>
                <w:rFonts w:ascii="宋体" w:hAnsi="宋体"/>
                <w:sz w:val="18"/>
                <w:szCs w:val="18"/>
              </w:rPr>
            </w:pP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土方工程、地基处理与桩基础、砌体工程、钢筋混凝土工程、脚手架工程、季节性施工、防水施工、装饰工程。</w:t>
            </w:r>
          </w:p>
        </w:tc>
        <w:tc>
          <w:tcPr>
            <w:tcW w:w="22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1、直观教学法：教师在言传身教的同时，利用先进的教学手段，利用模型（实物和虚拟）、动画演示等进行直观教学，起到良好的教学效果；</w:t>
            </w:r>
          </w:p>
          <w:p>
            <w:pPr>
              <w:jc w:val="left"/>
              <w:rPr>
                <w:rFonts w:ascii="宋体" w:hAnsi="宋体"/>
                <w:sz w:val="18"/>
                <w:szCs w:val="18"/>
              </w:rPr>
            </w:pPr>
            <w:r>
              <w:rPr>
                <w:rFonts w:hint="eastAsia" w:ascii="宋体" w:hAnsi="宋体"/>
                <w:sz w:val="18"/>
                <w:szCs w:val="18"/>
              </w:rPr>
              <w:t>2、小组讨论法：针对要完成的任务，在制定计划、实施过程及检查、评估阶段，采用小组讨论法，集思广益，能够使学生具有团队合作精神，提高同学的协调沟通能力。</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建筑施工组织与管理</w:t>
            </w:r>
          </w:p>
        </w:tc>
        <w:tc>
          <w:tcPr>
            <w:tcW w:w="230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训练学生的单位工程施工组织设计编制能力，达到能够独立编制单位工程施工组织设计。</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本课程是建筑工程技术专业的必修主干课程之一，是一门应用学科，涉及面广，实践性强，共有7个单元，分别从施工组织引论、施工准备工作、流水施工、网络计划技术、施工组织总设计、单位工程施工组织设计、单位工程施工组织设计实例。</w:t>
            </w:r>
          </w:p>
        </w:tc>
        <w:tc>
          <w:tcPr>
            <w:tcW w:w="22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教学方法上多媒体和板书结合的方法，本课程的整体教学过程按照“六步教学法”，即：提出问题（咨讯）、确定解决问题的方案（决策）、制定具体方案的实施性计划（计划）、按照既定的实施性计划操作（实施）、对所完成的具体工作进行过程中和终结性检查（检查）、最终依据最初所提的任务以及采集的检查内容进行多方评价（评估）等六个步骤，可以系统培养学生的专业能力、方法能力。</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土力学与地基基础</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学习内容涉及工程地质学、力学、物理、结构设计和施工等几个学科，目标是培养学生掌握土的物理性质、地基的应力、变形、抗剪强度、地基承载力、土力学的基本概念、基本理论和计算方法;能运用上力学的原理理解一般建筑的地基基础设计;能根据建筑物的要求和地质勘察资料，选择一般基础的施工方案，并掌握施工要点。</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(1)知识目标:能理解地基与基础的基本概念;能正确使用教材中所给的图表，进行查表计算;能熟悉已有的理论结果并能运用公式计算;能根据工程地质情况和上部结构类型、荷载选择基础类型。</w:t>
            </w:r>
          </w:p>
          <w:p>
            <w:pPr>
              <w:jc w:val="left"/>
              <w:rPr>
                <w:rFonts w:ascii="宋体" w:hAnsi="宋体"/>
                <w:sz w:val="18"/>
                <w:szCs w:val="18"/>
              </w:rPr>
            </w:pPr>
            <w:r>
              <w:rPr>
                <w:rFonts w:hint="eastAsia" w:ascii="宋体" w:hAnsi="宋体"/>
                <w:sz w:val="18"/>
                <w:szCs w:val="18"/>
              </w:rPr>
              <w:t>(2)能力目标:能自行设计基础的施工围护、放坡;能读懂施工图并按图施工;培养观察、思考能力的能力;培养绘制草图说明问题的能力;培养综合分析并设计表格的逻辑推导与比较能力;具有一定的自学意识和能力;将课外观察和理解与课本理论知识相结合的能力。</w:t>
            </w:r>
          </w:p>
          <w:p>
            <w:pPr>
              <w:jc w:val="left"/>
              <w:rPr>
                <w:rFonts w:ascii="宋体" w:hAnsi="宋体"/>
                <w:sz w:val="18"/>
                <w:szCs w:val="18"/>
              </w:rPr>
            </w:pPr>
            <w:r>
              <w:rPr>
                <w:rFonts w:hint="eastAsia" w:ascii="宋体" w:hAnsi="宋体"/>
                <w:sz w:val="18"/>
                <w:szCs w:val="18"/>
              </w:rPr>
              <w:t>(3)素质目标:培养热爱本职专业的情感;扎扎实实，从细微处着手的严谨求学学风;拥有成为优秀的施工现场第一线管理人员的信心和决心。</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ascii="宋体" w:hAnsi="宋体"/>
                <w:sz w:val="18"/>
                <w:szCs w:val="18"/>
              </w:rPr>
              <w:t>通过变知识学科本位为职业能力本位，打破传统的以“了解”、“掌握” 为特征设定的学科型课程目标，设定全新职业能力培养目标;变书本知识的传授为动手能力的培养，打破在传统的知识传授方式，以“校中厂，厂中校”为主线，创设工作情景，理论联系实际，培养学生的实践动手能力。以建筑工程施工专业学生的就业为导向，根据行业专家对工建筑工程施工专业所涵盖的岗位群进行的任务和职业能力分析，以“做中学，学中教”为主线，以本专业应共同具备的岗位职业能力为依据，遵循学生认知规律，确定本课程的课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建筑设备与识图</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通过本课程学习，时学生具备建筑设备识图能力的能力，具备建筑设备识图与施工工艺的基本素质及对应知识。</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 xml:space="preserve">将建筑设备技术知识 </w:t>
            </w:r>
          </w:p>
          <w:p>
            <w:pPr>
              <w:jc w:val="left"/>
              <w:rPr>
                <w:rFonts w:ascii="宋体" w:hAnsi="宋体"/>
                <w:sz w:val="18"/>
                <w:szCs w:val="18"/>
              </w:rPr>
            </w:pPr>
            <w:r>
              <w:rPr>
                <w:rFonts w:hint="eastAsia" w:ascii="宋体" w:hAnsi="宋体"/>
                <w:sz w:val="18"/>
                <w:szCs w:val="18"/>
              </w:rPr>
              <w:t>纳入非设备专业学生的培养目标人才培养中，使学生通过本课程的学习，使学生掌握设备施工图的识读方法;了解建筑设备各系统与本专业的关系，和设备工种的配合、协调要求，掌握建筑设备与识图的基</w:t>
            </w:r>
          </w:p>
          <w:p>
            <w:pPr>
              <w:jc w:val="left"/>
              <w:rPr>
                <w:rFonts w:ascii="宋体" w:hAnsi="宋体"/>
                <w:sz w:val="18"/>
                <w:szCs w:val="18"/>
              </w:rPr>
            </w:pPr>
            <w:r>
              <w:rPr>
                <w:rFonts w:hint="eastAsia" w:ascii="宋体" w:hAnsi="宋体"/>
                <w:sz w:val="18"/>
                <w:szCs w:val="18"/>
              </w:rPr>
              <w:t>本知识，了解建筑设备技术的发展动态。</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以建筑设备与识图施工实际工作任务为切入点，以建筑设备工作过程为主线，以</w:t>
            </w:r>
          </w:p>
          <w:p>
            <w:pPr>
              <w:jc w:val="left"/>
              <w:rPr>
                <w:rFonts w:ascii="宋体" w:hAnsi="宋体"/>
                <w:sz w:val="18"/>
                <w:szCs w:val="18"/>
              </w:rPr>
            </w:pPr>
            <w:r>
              <w:rPr>
                <w:rFonts w:hint="eastAsia" w:ascii="宋体" w:hAnsi="宋体"/>
                <w:sz w:val="18"/>
                <w:szCs w:val="18"/>
              </w:rPr>
              <w:t xml:space="preserve">建筑行业职业资格标准为依据，构建课程内容和知识体系，课程内容和知识的选取紧紧围绕工作任务完成的需要，同时充分考虑了高等职业教育对理论知识学习的需要，并融合了相关职业资格证书对知识、技能和素质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建筑工程项目管理</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通过本课程的学习，使学生</w:t>
            </w:r>
            <w:r>
              <w:rPr>
                <w:rFonts w:ascii="宋体" w:hAnsi="宋体"/>
                <w:sz w:val="18"/>
                <w:szCs w:val="18"/>
              </w:rPr>
              <w:t>掌握建筑工程项目管理的基本知识，掌握建筑工程项目管理工作流程( 要求掌握</w:t>
            </w:r>
            <w:r>
              <w:rPr>
                <w:rFonts w:hint="eastAsia" w:ascii="宋体" w:hAnsi="宋体"/>
                <w:sz w:val="18"/>
                <w:szCs w:val="18"/>
              </w:rPr>
              <w:t>一</w:t>
            </w:r>
            <w:r>
              <w:rPr>
                <w:rFonts w:ascii="宋体" w:hAnsi="宋体"/>
                <w:sz w:val="18"/>
                <w:szCs w:val="18"/>
              </w:rPr>
              <w:t>定的项目管理知识)</w:t>
            </w:r>
            <w:r>
              <w:rPr>
                <w:rFonts w:hint="eastAsia" w:ascii="宋体" w:hAnsi="宋体"/>
                <w:sz w:val="18"/>
                <w:szCs w:val="18"/>
              </w:rPr>
              <w:t>；</w:t>
            </w:r>
            <w:r>
              <w:rPr>
                <w:rFonts w:ascii="宋体" w:hAnsi="宋体"/>
                <w:sz w:val="18"/>
                <w:szCs w:val="18"/>
              </w:rPr>
              <w:t>依据目前建筑市场特征，能够实际进行市场调研、分析，项目实践的参与，对建设项目进行可行性论证，具备项目建设过程中的“四控、两管、一协调”能力(要求提高项目管理技能水平)</w:t>
            </w:r>
            <w:r>
              <w:rPr>
                <w:rFonts w:hint="eastAsia" w:ascii="宋体" w:hAnsi="宋体"/>
                <w:sz w:val="18"/>
                <w:szCs w:val="18"/>
              </w:rPr>
              <w:t>；</w:t>
            </w:r>
            <w:r>
              <w:rPr>
                <w:rFonts w:ascii="宋体" w:hAnsi="宋体"/>
                <w:sz w:val="18"/>
                <w:szCs w:val="18"/>
              </w:rPr>
              <w:t>通过实务、案例、实际调研、可行性报告、目标规划的编制，培养学生发现、分析和解决问题的基本能力，培养团队精神和创新能力。(要求培养项目管理综合能力和拓展能力)</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 xml:space="preserve">建筑工程项目管理概论；建筑工程项目管理组织和项目经理；建筑工程招标与投标；建筑工程合同管理；建筑工程项目质量控制；建筑工程项目进度控制；建筑工程项目成本控制；建筑工程项目施工安全与现场管理；建筑工程项目全面风险管理；计算机辅助建筑工程项目管理。                                                              </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采用角色互换方式进行授课，将同学们当作建设单位，运用一切教材、互联网资源，让其进行各个阶段管理，将管理的主要内容进行编写，教师进行补充不足，使同学们在掌握课程所要求掌握的知识点的同时还能在网络上的资源中获取更多的相关的拓展资源，增加学生的学习兴趣的同时还能引导学生自主学习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建筑工程计量与计价</w:t>
            </w:r>
          </w:p>
        </w:tc>
        <w:tc>
          <w:tcPr>
            <w:tcW w:w="230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教给学生工程造价、建筑工程定额、工程量清单的概念，了解基本建设程序、建设项目的划分。学会建筑工程概预算的分类及作用，基本建设各阶段的工程计价与控制，掌握定额计价的编制依据及编制方法，工程量清单计价的原理。包括砖混结构建筑面积、土石方工程、地基与基础、墙体砌筑工程、脚手架工程、混凝土及钢筋混凝土工程、门窗及木结构工程、屋面及楼地面工程定额计价和取费；清单工程量的计算和综合单价分析等知识。</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学会建筑工程概预算的分类及作用，基本建设各阶段的工程计价与控制，掌握定额计价的编制依据及编制方法，工程量清单计价的原理。</w:t>
            </w:r>
          </w:p>
        </w:tc>
        <w:tc>
          <w:tcPr>
            <w:tcW w:w="22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1、坚持“教师引导教学，学生动手真正参与计量与计价”造价过程。</w:t>
            </w:r>
          </w:p>
          <w:p>
            <w:pPr>
              <w:jc w:val="left"/>
              <w:rPr>
                <w:rFonts w:ascii="宋体" w:hAnsi="宋体"/>
                <w:sz w:val="18"/>
                <w:szCs w:val="18"/>
              </w:rPr>
            </w:pPr>
            <w:r>
              <w:rPr>
                <w:rFonts w:hint="eastAsia" w:ascii="宋体" w:hAnsi="宋体"/>
                <w:sz w:val="18"/>
                <w:szCs w:val="18"/>
              </w:rPr>
              <w:t>2、坚持“手算夯实基础、电算提高效率”原则，即进行理论授课教学时以手工算量为主学习；软件与实训应用课时以电算为主学习。</w:t>
            </w:r>
          </w:p>
          <w:p>
            <w:pPr>
              <w:jc w:val="left"/>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专业拓展课程</w:t>
            </w: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广联达算量GTJ+钢筋算量</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本课程涉及的知识和技能是预算员、造价员岗位工作的重要技能。广联达预算软件是一门实践性很强的应用软件，它也是工程造价一门必须了解专业课。它是以建筑制图、建筑构造、建筑结构、建筑识图与CAD、建筑施工技术、建筑施工组织、建筑工程概预算为基础，在掌握手工算量、计价的基础上，通过对本课程的学习，使学生掌握一定的钢筋、图形及计价的基础知识和技能，对造价工作中钢筋计算、工程量计算、工程计价等运用原理具有一定的了解和认识能力。从而借助于相关图集、实际工程图纸、照片等资料，通过具有实践经验的讲师在平时讲解过程中，不断的练习和辅导，使学生在掌握手工</w:t>
            </w:r>
          </w:p>
          <w:p>
            <w:pPr>
              <w:jc w:val="left"/>
              <w:rPr>
                <w:rFonts w:ascii="宋体" w:hAnsi="宋体"/>
                <w:sz w:val="18"/>
                <w:szCs w:val="18"/>
              </w:rPr>
            </w:pPr>
            <w:r>
              <w:rPr>
                <w:rFonts w:hint="eastAsia" w:ascii="宋体" w:hAnsi="宋体"/>
                <w:sz w:val="18"/>
                <w:szCs w:val="18"/>
              </w:rPr>
              <w:t xml:space="preserve">算量、计价的基础上，利用广联达造价软件编制工程造价，并进行工程的结算和审计，为今后在造价工作过程中进一步的提高专业技能打下基础 .  </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广联达土建算量：</w:t>
            </w:r>
          </w:p>
          <w:p>
            <w:pPr>
              <w:jc w:val="left"/>
              <w:rPr>
                <w:rFonts w:ascii="宋体" w:hAnsi="宋体"/>
                <w:sz w:val="18"/>
                <w:szCs w:val="18"/>
              </w:rPr>
            </w:pPr>
            <w:r>
              <w:rPr>
                <w:rFonts w:hint="eastAsia" w:ascii="宋体" w:hAnsi="宋体"/>
                <w:sz w:val="18"/>
                <w:szCs w:val="18"/>
              </w:rPr>
              <w:t>工程信息设定；工程设置；工程信息修改；楼层及参数设置；绘图输入，绘制基础、轴网、柱、墙、梁、CAD识别、轴网识别、柱识别、其他构件识别。</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cs="宋体"/>
                <w:sz w:val="18"/>
                <w:szCs w:val="18"/>
              </w:rPr>
              <w:t>在课程中进行课程教改，在学生已经掌握一定基础知识的前提下，倡导以学生为“主”，教师为“辅”的教学方式。教师布置任务，学生分组讨论，学生讲，学生评价，教师补充的教学方式，增加学习的积极性，提高课堂教学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建设工程施工安全</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通过本课程的学习使学生对建筑工程施工现场安全管理工作全过程有基本了解，掌握施工现场安全管理的知识，为学生毕业从事施工现场安全管理工作做好准备。</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安全系统工程概述；安全人机环境概述；建设工程安全生产管理；建筑施工现场机械使用安全技术与管理；建筑施工现场用电、动火安全技术与管理；建筑施工现场高处作业安全技术与管理；建筑施工现场开挖作业安全技术与管理；建筑施工现场文明施工与建筑职业卫生；建筑施工安全生产保证；建筑施工安全检查与安全评价；建筑施工安全事故报告与应急救援。</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采用多媒体与优慕课平台相结合教学，通过向学生讲解知识点，后引入相关案例，引导学生分析，找出现场的安全隐患并制定预防方案。可采用分组讨论总结的方法，提高学生学习积极性。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建设工程质量管理</w:t>
            </w:r>
          </w:p>
        </w:tc>
        <w:tc>
          <w:tcPr>
            <w:tcW w:w="230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本课程为建筑类专业实践性较强的课程，课程定位于接受高职教育水平的学生，通过本课程的学习能将学生培养成能够分析具体工程事故，并能够进行处理，适应生产、建设、管理、服务第一线需要的，主要定位目标为适应社会需求。</w:t>
            </w:r>
          </w:p>
          <w:p>
            <w:pPr>
              <w:jc w:val="left"/>
              <w:rPr>
                <w:rFonts w:ascii="宋体" w:hAnsi="宋体"/>
                <w:sz w:val="18"/>
                <w:szCs w:val="18"/>
              </w:rPr>
            </w:pP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本课程包括质量事故相关的知识和概念，以及常见的建筑工程检测的方法。要求学生学会分析各种结构包括：砌体，钢筋混凝土等工程中出现的事故及其原因。了解一些特殊工艺，大型构件和设备安装工程的事故分析。掌握建筑结构的缺陷处理方法。</w:t>
            </w:r>
          </w:p>
          <w:p>
            <w:pPr>
              <w:jc w:val="left"/>
              <w:rPr>
                <w:rFonts w:ascii="宋体" w:hAnsi="宋体"/>
                <w:sz w:val="18"/>
                <w:szCs w:val="18"/>
              </w:rPr>
            </w:pPr>
          </w:p>
        </w:tc>
        <w:tc>
          <w:tcPr>
            <w:tcW w:w="22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18"/>
                <w:szCs w:val="18"/>
              </w:rPr>
            </w:pPr>
            <w:r>
              <w:rPr>
                <w:rFonts w:hint="eastAsia" w:ascii="宋体" w:hAnsi="宋体"/>
                <w:sz w:val="18"/>
                <w:szCs w:val="18"/>
              </w:rPr>
              <w:t>采用多媒体教学，通过向学生讲解知识点，后引入相关案例，引导学生分析，找出事故原因和处理方法。可采用分组讨论总结的方法，提高学生学习积极性。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13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建筑工程资料管理</w:t>
            </w:r>
          </w:p>
        </w:tc>
        <w:tc>
          <w:tcPr>
            <w:tcW w:w="230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在工程建设实践中，“资料管理”是一项工作。近年来，我国建筑业蓬勃发展，这项工作成为工程建设过程中重要岗位之一，高素质的、懂专业的资料管理人员成为建筑市场中的建设单位、监理单位、施工单位迫切需求的人才。本学期学习《建筑工程资料管理》，掌握建筑工程资料管理的基本知识，基本具备建筑工程建设过程中各个参与单位、各个阶段资料管理的能力。</w:t>
            </w:r>
          </w:p>
        </w:tc>
        <w:tc>
          <w:tcPr>
            <w:tcW w:w="1843"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建筑工程资料管理概述；工程准备阶段资料；监理资料；施工资料；竣工图、工程竣工文件；建筑工程资料管理软件及应用。</w:t>
            </w:r>
          </w:p>
        </w:tc>
        <w:tc>
          <w:tcPr>
            <w:tcW w:w="2268" w:type="dxa"/>
            <w:tcBorders>
              <w:top w:val="single" w:color="auto" w:sz="4" w:space="0"/>
              <w:left w:val="single" w:color="auto" w:sz="4" w:space="0"/>
              <w:bottom w:val="single" w:color="auto" w:sz="4" w:space="0"/>
              <w:right w:val="single" w:color="auto" w:sz="4" w:space="0"/>
            </w:tcBorders>
          </w:tcPr>
          <w:p>
            <w:pPr>
              <w:jc w:val="left"/>
              <w:rPr>
                <w:rFonts w:ascii="宋体" w:hAnsi="宋体"/>
                <w:sz w:val="18"/>
                <w:szCs w:val="18"/>
              </w:rPr>
            </w:pPr>
            <w:r>
              <w:rPr>
                <w:rFonts w:hint="eastAsia" w:ascii="宋体" w:hAnsi="宋体"/>
                <w:sz w:val="18"/>
                <w:szCs w:val="18"/>
              </w:rPr>
              <w:t>采用多媒体授课的形式，先讲解建筑工程资料的基本知识点，再进行综合实训，理论和实践相结合，通过上机让学生掌握建筑工程资料软件的应用，通过图纸和资料表格的讲解让学生掌握监理资料、施工资料表格的填写先后顺序以及填写过程中应注意的事项并应用资料软件编制相应资料。</w:t>
            </w:r>
          </w:p>
        </w:tc>
      </w:tr>
    </w:tbl>
    <w:p>
      <w:pPr>
        <w:keepNext/>
        <w:keepLines/>
        <w:spacing w:line="500" w:lineRule="exact"/>
        <w:ind w:firstLine="643" w:firstLineChars="200"/>
        <w:outlineLvl w:val="0"/>
        <w:rPr>
          <w:rFonts w:eastAsia="黑体"/>
          <w:b/>
          <w:bCs/>
          <w:kern w:val="44"/>
          <w:sz w:val="32"/>
          <w:szCs w:val="30"/>
        </w:rPr>
      </w:pPr>
    </w:p>
    <w:p>
      <w:pPr>
        <w:keepNext/>
        <w:keepLines/>
        <w:spacing w:line="500" w:lineRule="exact"/>
        <w:ind w:firstLine="643" w:firstLineChars="200"/>
        <w:outlineLvl w:val="0"/>
        <w:rPr>
          <w:rFonts w:eastAsia="黑体"/>
          <w:b/>
          <w:bCs/>
          <w:kern w:val="44"/>
          <w:sz w:val="32"/>
          <w:szCs w:val="30"/>
        </w:rPr>
      </w:pPr>
      <w:bookmarkStart w:id="64" w:name="_Toc119633058"/>
      <w:r>
        <w:rPr>
          <w:rFonts w:hint="eastAsia" w:eastAsia="黑体"/>
          <w:b/>
          <w:bCs/>
          <w:kern w:val="44"/>
          <w:sz w:val="32"/>
          <w:szCs w:val="30"/>
        </w:rPr>
        <w:t>八、实践教学体系</w:t>
      </w:r>
      <w:bookmarkEnd w:id="56"/>
      <w:bookmarkEnd w:id="57"/>
      <w:bookmarkEnd w:id="58"/>
      <w:bookmarkEnd w:id="63"/>
      <w:bookmarkEnd w:id="64"/>
    </w:p>
    <w:p>
      <w:pPr>
        <w:pStyle w:val="4"/>
        <w:numPr>
          <w:ilvl w:val="0"/>
          <w:numId w:val="4"/>
        </w:numPr>
        <w:ind w:firstLine="562"/>
      </w:pPr>
      <w:bookmarkStart w:id="65" w:name="_Toc119633059"/>
      <w:r>
        <w:rPr>
          <w:rFonts w:hint="eastAsia"/>
        </w:rPr>
        <w:t>内容架构</w:t>
      </w:r>
      <w:bookmarkEnd w:id="65"/>
    </w:p>
    <w:p>
      <w:pPr>
        <w:spacing w:line="500" w:lineRule="exact"/>
        <w:ind w:firstLine="480" w:firstLineChars="200"/>
        <w:rPr>
          <w:rFonts w:ascii="Times New Roman" w:hAnsi="Times New Roman"/>
          <w:sz w:val="24"/>
          <w:szCs w:val="24"/>
        </w:rPr>
      </w:pPr>
      <w:r>
        <w:rPr>
          <w:rFonts w:hint="eastAsia" w:ascii="Times New Roman" w:hAnsi="Times New Roman"/>
          <w:sz w:val="24"/>
          <w:szCs w:val="24"/>
        </w:rPr>
        <w:t>实践教学体系分为</w:t>
      </w:r>
      <w:bookmarkStart w:id="66" w:name="_Hlk42678476"/>
      <w:r>
        <w:rPr>
          <w:rFonts w:hint="eastAsia" w:ascii="Times New Roman" w:hAnsi="Times New Roman"/>
          <w:sz w:val="24"/>
          <w:szCs w:val="24"/>
        </w:rPr>
        <w:t>专业（群）基本技能模块</w:t>
      </w:r>
      <w:bookmarkEnd w:id="66"/>
      <w:r>
        <w:rPr>
          <w:rFonts w:hint="eastAsia" w:ascii="Times New Roman" w:hAnsi="Times New Roman"/>
          <w:sz w:val="24"/>
          <w:szCs w:val="24"/>
        </w:rPr>
        <w:t>、</w:t>
      </w:r>
      <w:bookmarkStart w:id="67" w:name="_Hlk42678583"/>
      <w:r>
        <w:rPr>
          <w:rFonts w:hint="eastAsia" w:ascii="Times New Roman" w:hAnsi="Times New Roman"/>
          <w:sz w:val="24"/>
          <w:szCs w:val="24"/>
        </w:rPr>
        <w:t>专业提升技能</w:t>
      </w:r>
      <w:bookmarkEnd w:id="67"/>
      <w:r>
        <w:rPr>
          <w:rFonts w:hint="eastAsia" w:ascii="Times New Roman" w:hAnsi="Times New Roman"/>
          <w:sz w:val="24"/>
          <w:szCs w:val="24"/>
        </w:rPr>
        <w:t>模块、</w:t>
      </w:r>
      <w:bookmarkStart w:id="68" w:name="_Hlk42678612"/>
      <w:r>
        <w:rPr>
          <w:rFonts w:hint="eastAsia" w:ascii="Times New Roman" w:hAnsi="Times New Roman"/>
          <w:sz w:val="24"/>
          <w:szCs w:val="24"/>
        </w:rPr>
        <w:t>专业综合实践能力</w:t>
      </w:r>
      <w:bookmarkEnd w:id="68"/>
      <w:r>
        <w:rPr>
          <w:rFonts w:hint="eastAsia" w:ascii="Times New Roman" w:hAnsi="Times New Roman"/>
          <w:sz w:val="24"/>
          <w:szCs w:val="24"/>
        </w:rPr>
        <w:t>模块等。</w:t>
      </w:r>
    </w:p>
    <w:p>
      <w:pPr>
        <w:widowControl/>
        <w:spacing w:line="360" w:lineRule="auto"/>
        <w:ind w:firstLine="420" w:firstLineChars="200"/>
        <w:jc w:val="center"/>
        <w:rPr>
          <w:rFonts w:ascii="宋体" w:hAnsi="宋体"/>
          <w:szCs w:val="21"/>
        </w:rPr>
      </w:pPr>
      <w:r>
        <w:rPr>
          <w:rFonts w:ascii="宋体" w:hAnsi="宋体"/>
          <w:szCs w:val="21"/>
        </w:rPr>
        <w:pict>
          <v:group id="组合 15" o:spid="_x0000_s2050" o:spt="203" style="height:250.5pt;width:293.25pt;" coordsize="37242,31813">
            <o:lock v:ext="edit"/>
            <v:roundrect id="矩形: 圆角 2" o:spid="_x0000_s2051" o:spt="2" style="position:absolute;left:0;top:12858;height:5334;width:9239;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">
              <v:path/>
              <v:fill on="t" focussize="0,0"/>
              <v:stroke weight="1pt" color="#000001" joinstyle="miter"/>
              <v:imagedata o:title=""/>
              <o:lock v:ext="edit"/>
              <v:textbox>
                <w:txbxContent>
                  <w:p>
                    <w:pPr>
                      <w:jc w:val="center"/>
                    </w:pPr>
                    <w:r>
                      <w:rPr>
                        <w:rFonts w:hint="eastAsia" w:ascii="宋体" w:hAnsi="宋体"/>
                        <w:szCs w:val="21"/>
                      </w:rPr>
                      <w:t>专业提升技能模块</w:t>
                    </w:r>
                  </w:p>
                </w:txbxContent>
              </v:textbox>
            </v:roundrect>
            <v:roundrect id="矩形: 圆角 4" o:spid="_x0000_s2052" o:spt="2" style="position:absolute;left:0;top:857;height:5334;width:10096;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LlwwAAANoAAAAPAAAAZHJzL2Rvd25yZXYueG1sRI9BawIx&#10;FITvgv8hPKE3zVaL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GZgi5cMAAADaAAAADwAA&#10;AAAAAAAAAAAAAAAHAgAAZHJzL2Rvd25yZXYueG1sUEsFBgAAAAADAAMAtwAAAPcCAAAAAAAA&#10;">
              <v:path/>
              <v:fill on="t" focussize="0,0"/>
              <v:stroke weight="1pt" color="#000001" joinstyle="miter"/>
              <v:imagedata o:title=""/>
              <o:lock v:ext="edit"/>
              <v:textbox>
                <w:txbxContent>
                  <w:p>
                    <w:pPr>
                      <w:jc w:val="center"/>
                    </w:pPr>
                    <w:r>
                      <w:rPr>
                        <w:rFonts w:hint="eastAsia" w:ascii="宋体" w:hAnsi="宋体"/>
                        <w:szCs w:val="21"/>
                      </w:rPr>
                      <w:t>专业（群）基本技能模块</w:t>
                    </w:r>
                  </w:p>
                </w:txbxContent>
              </v:textbox>
            </v:roundrect>
            <v:roundrect id="矩形: 圆角 5" o:spid="_x0000_s2053" o:spt="2" style="position:absolute;left:0;top:25336;height:5334;width:9810;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">
              <v:path/>
              <v:fill on="t" focussize="0,0"/>
              <v:stroke weight="1pt" color="#000001" joinstyle="miter"/>
              <v:imagedata o:title=""/>
              <o:lock v:ext="edit"/>
              <v:textbox>
                <w:txbxContent>
                  <w:p>
                    <w:pPr>
                      <w:jc w:val="center"/>
                    </w:pPr>
                    <w:r>
                      <w:rPr>
                        <w:rFonts w:hint="eastAsia" w:ascii="宋体" w:hAnsi="宋体"/>
                        <w:szCs w:val="21"/>
                      </w:rPr>
                      <w:t>专业综合实践能力模块</w:t>
                    </w:r>
                  </w:p>
                </w:txbxContent>
              </v:textbox>
            </v:roundrect>
            <v:roundrect id="矩形: 圆角 7" o:spid="_x0000_s2054" o:spt="2" style="position:absolute;left:16097;top:0;height:7334;width:21145;v-text-anchor:middle;" fillcolor="#000011" filled="t" stroked="t" coordsize="21600,21600" arcsize="0.166666666666667">
              <v:path/>
              <v:fill on="t" focussize="0,0"/>
              <v:stroke weight="1pt" color="#000001" joinstyle="miter"/>
              <v:imagedata o:title=""/>
              <o:lock v:ext="edit"/>
              <v:textbox>
                <w:txbxContent>
                  <w:p>
                    <w:pPr>
                      <w:jc w:val="left"/>
                      <w:rPr>
                        <w:rFonts w:ascii="宋体" w:hAnsi="宋体" w:cs="宋体"/>
                        <w:kern w:val="0"/>
                        <w:sz w:val="24"/>
                      </w:rPr>
                    </w:pPr>
                    <w:r>
                      <w:rPr>
                        <w:rFonts w:hint="eastAsia" w:ascii="宋体" w:hAnsi="宋体" w:cs="宋体"/>
                        <w:kern w:val="0"/>
                        <w:sz w:val="24"/>
                      </w:rPr>
                      <w:t>专业基础课程课内实训</w:t>
                    </w:r>
                  </w:p>
                  <w:p>
                    <w:pPr>
                      <w:jc w:val="left"/>
                      <w:rPr>
                        <w:rFonts w:ascii="宋体" w:hAnsi="宋体" w:cs="宋体"/>
                        <w:kern w:val="0"/>
                        <w:sz w:val="24"/>
                      </w:rPr>
                    </w:pPr>
                    <w:r>
                      <w:rPr>
                        <w:rFonts w:hint="eastAsia" w:ascii="宋体" w:hAnsi="宋体" w:cs="宋体"/>
                        <w:kern w:val="0"/>
                        <w:sz w:val="24"/>
                      </w:rPr>
                      <w:t>认知实习</w:t>
                    </w:r>
                  </w:p>
                  <w:p>
                    <w:pPr>
                      <w:jc w:val="left"/>
                    </w:pPr>
                    <w:r>
                      <w:rPr>
                        <w:rFonts w:hint="eastAsia" w:ascii="宋体" w:hAnsi="宋体" w:cs="宋体"/>
                        <w:kern w:val="0"/>
                        <w:sz w:val="24"/>
                      </w:rPr>
                      <w:t>人文素养课程的实践教学</w:t>
                    </w:r>
                  </w:p>
                </w:txbxContent>
              </v:textbox>
            </v:roundrect>
            <v:roundrect id="矩形: 圆角 8" o:spid="_x0000_s2055" o:spt="2" style="position:absolute;left:15335;top:12001;height:7334;width:21145;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A&#10;">
              <v:path/>
              <v:fill on="t" focussize="0,0"/>
              <v:stroke weight="1pt" color="#000001" joinstyle="miter"/>
              <v:imagedata o:title=""/>
              <o:lock v:ext="edit"/>
              <v:textbox>
                <w:txbxContent>
                  <w:p>
                    <w:pPr>
                      <w:jc w:val="left"/>
                      <w:rPr>
                        <w:rFonts w:ascii="宋体" w:hAnsi="宋体" w:cs="宋体"/>
                        <w:kern w:val="0"/>
                        <w:sz w:val="24"/>
                      </w:rPr>
                    </w:pPr>
                    <w:r>
                      <w:rPr>
                        <w:rFonts w:hint="eastAsia" w:ascii="宋体" w:hAnsi="宋体" w:cs="宋体"/>
                        <w:kern w:val="0"/>
                        <w:sz w:val="24"/>
                      </w:rPr>
                      <w:t>专业课程课内实训</w:t>
                    </w:r>
                  </w:p>
                  <w:p>
                    <w:pPr>
                      <w:jc w:val="left"/>
                      <w:rPr>
                        <w:rFonts w:ascii="宋体" w:hAnsi="宋体" w:cs="宋体"/>
                        <w:kern w:val="0"/>
                        <w:sz w:val="24"/>
                      </w:rPr>
                    </w:pPr>
                    <w:r>
                      <w:rPr>
                        <w:rFonts w:hint="eastAsia" w:ascii="宋体" w:hAnsi="宋体" w:cs="宋体"/>
                        <w:kern w:val="0"/>
                        <w:sz w:val="24"/>
                      </w:rPr>
                      <w:t>课程设计</w:t>
                    </w:r>
                  </w:p>
                  <w:p>
                    <w:pPr>
                      <w:jc w:val="left"/>
                    </w:pPr>
                    <w:r>
                      <w:rPr>
                        <w:rFonts w:hint="eastAsia" w:ascii="宋体" w:hAnsi="宋体" w:cs="宋体"/>
                        <w:kern w:val="0"/>
                        <w:sz w:val="24"/>
                      </w:rPr>
                      <w:t>课内集中实训</w:t>
                    </w:r>
                  </w:p>
                </w:txbxContent>
              </v:textbox>
            </v:roundrect>
            <v:roundrect id="矩形: 圆角 9" o:spid="_x0000_s2056" o:spt="2" style="position:absolute;left:15716;top:24479;height:7334;width:21145;v-text-anchor:middle;" fillcolor="#000011" filled="t" stroked="t" coordsize="21600,21600" arcsize="0.16666666666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A&#10;">
              <v:path/>
              <v:fill on="t" focussize="0,0"/>
              <v:stroke weight="1pt" color="#000001" joinstyle="miter"/>
              <v:imagedata o:title=""/>
              <o:lock v:ext="edit"/>
              <v:textbox>
                <w:txbxContent>
                  <w:p>
                    <w:pPr>
                      <w:jc w:val="left"/>
                      <w:rPr>
                        <w:rFonts w:ascii="宋体" w:hAnsi="宋体" w:cs="宋体"/>
                        <w:kern w:val="0"/>
                        <w:sz w:val="24"/>
                      </w:rPr>
                    </w:pPr>
                    <w:r>
                      <w:rPr>
                        <w:rFonts w:hint="eastAsia" w:ascii="宋体" w:hAnsi="宋体" w:cs="宋体"/>
                        <w:kern w:val="0"/>
                        <w:sz w:val="24"/>
                      </w:rPr>
                      <w:t>综合实训</w:t>
                    </w:r>
                  </w:p>
                  <w:p>
                    <w:pPr>
                      <w:jc w:val="left"/>
                      <w:rPr>
                        <w:rFonts w:ascii="宋体" w:hAnsi="宋体" w:cs="宋体"/>
                        <w:kern w:val="0"/>
                        <w:sz w:val="24"/>
                      </w:rPr>
                    </w:pPr>
                    <w:r>
                      <w:rPr>
                        <w:rFonts w:hint="eastAsia" w:ascii="宋体" w:hAnsi="宋体" w:cs="宋体"/>
                        <w:kern w:val="0"/>
                        <w:sz w:val="24"/>
                      </w:rPr>
                      <w:t>岗位实习</w:t>
                    </w:r>
                  </w:p>
                  <w:p>
                    <w:pPr>
                      <w:jc w:val="left"/>
                    </w:pPr>
                    <w:r>
                      <w:rPr>
                        <w:rFonts w:hint="eastAsia" w:ascii="宋体" w:hAnsi="宋体" w:cs="宋体"/>
                        <w:kern w:val="0"/>
                        <w:sz w:val="24"/>
                      </w:rPr>
                      <w:t>毕业设计（论文）</w:t>
                    </w:r>
                  </w:p>
                </w:txbxContent>
              </v:textbox>
            </v:roundrect>
            <v:shape id="箭头: 右 10" o:spid="_x0000_s2057" o:spt="13" type="#_x0000_t13" style="position:absolute;left:10287;top:2667;height:2000;width:5619;v-text-anchor:middle;" fillcolor="#000011"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" adj="17756">
              <v:path/>
              <v:fill on="t" focussize="0,0"/>
              <v:stroke weight="1pt" color="#000001" joinstyle="miter"/>
              <v:imagedata o:title=""/>
              <o:lock v:ext="edit"/>
            </v:shape>
            <v:shape id="箭头: 右 13" o:spid="_x0000_s2058" o:spt="13" type="#_x0000_t13" style="position:absolute;left:9429;top:14573;height:2000;width:5620;v-text-anchor:middle;" fillcolor="#000011"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" adj="17756">
              <v:path/>
              <v:fill on="t" focussize="0,0"/>
              <v:stroke weight="1pt" color="#000001" joinstyle="miter"/>
              <v:imagedata o:title=""/>
              <o:lock v:ext="edit"/>
            </v:shape>
            <v:shape id="箭头: 右 14" o:spid="_x0000_s2059" o:spt="13" type="#_x0000_t13" style="position:absolute;left:10001;top:26955;height:2001;width:5620;v-text-anchor:middle;" fillcolor="#000011" filled="t"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" adj="17756">
              <v:path/>
              <v:fill on="t" focussize="0,0"/>
              <v:stroke weight="1pt" color="#000001" joinstyle="miter"/>
              <v:imagedata o:title=""/>
              <o:lock v:ext="edit"/>
            </v:shape>
            <w10:wrap type="none"/>
            <w10:anchorlock/>
          </v:group>
        </w:pict>
      </w:r>
    </w:p>
    <w:p/>
    <w:p>
      <w:pPr>
        <w:pStyle w:val="4"/>
        <w:numPr>
          <w:ilvl w:val="0"/>
          <w:numId w:val="4"/>
        </w:numPr>
        <w:ind w:firstLine="562"/>
      </w:pPr>
      <w:bookmarkStart w:id="69" w:name="_Toc119633060"/>
      <w:r>
        <w:rPr>
          <w:rFonts w:hint="eastAsia"/>
        </w:rPr>
        <w:t>组织与实施</w:t>
      </w:r>
      <w:bookmarkEnd w:id="69"/>
    </w:p>
    <w:p>
      <w:pPr>
        <w:spacing w:line="500" w:lineRule="exact"/>
        <w:ind w:firstLine="480" w:firstLineChars="200"/>
        <w:rPr>
          <w:rFonts w:ascii="Times New Roman" w:hAnsi="Times New Roman"/>
          <w:sz w:val="24"/>
          <w:szCs w:val="24"/>
        </w:rPr>
      </w:pPr>
      <w:r>
        <w:rPr>
          <w:rFonts w:hint="eastAsia" w:ascii="Times New Roman" w:hAnsi="Times New Roman"/>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1．构建不同形式的实践教学体系。如课间实验实习、集中实验实习；校内实验实习、毕业实习、综合实训项目、设计和创新型实践等。具体采用何种形式由课程性质而定。</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2．构建学生成绩考核方式与指标体系。学生成绩的评定，不应局限于理论课卷面成绩，有实践教学环节的课程，应结合学生实践成绩进行评定。多种考核方式的结合，可以充分发挥学生的各种能力，提高学生综合素质。</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验证性实验以外的具有创新性的综合实训项目。</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4．将建筑工程技术技能竞赛标准和规则融入实践教学体系，明确建筑工程技术专业相应的技能竞赛项目，将技能竞赛与日常教学相融合，实现“以赛促教、以赛促学、以赛促改”，使教学改革、技术应用与创新、职业技能竞赛之间形成良性互动，达到教学质量和竞赛成绩的双丰收。</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5．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pPr>
        <w:spacing w:line="500" w:lineRule="exact"/>
        <w:ind w:firstLine="480" w:firstLineChars="200"/>
        <w:rPr>
          <w:rFonts w:ascii="Times New Roman" w:hAnsi="Times New Roman"/>
          <w:sz w:val="24"/>
          <w:szCs w:val="24"/>
        </w:rPr>
      </w:pPr>
      <w:r>
        <w:rPr>
          <w:rFonts w:hint="eastAsia" w:ascii="Times New Roman" w:hAnsi="Times New Roman"/>
          <w:sz w:val="24"/>
          <w:szCs w:val="24"/>
        </w:rPr>
        <w:t>6.建设专兼结合的教学团队，确保人才培养质量。专任教师定期到建筑施工岗位参加挂职锻炼；聘请建筑施工一线优秀技术人员作为兼职教师，并进行教师资格培训、认证，定期举办多种形式的教学竞赛、教学观摩，提高他们的教学能力。</w:t>
      </w:r>
    </w:p>
    <w:p>
      <w:pPr>
        <w:spacing w:beforeLines="50" w:afterLines="50"/>
        <w:jc w:val="center"/>
        <w:rPr>
          <w:rFonts w:ascii="Times New Roman" w:hAnsi="Times New Roman"/>
          <w:sz w:val="24"/>
          <w:szCs w:val="24"/>
        </w:rPr>
      </w:pPr>
      <w:r>
        <w:rPr>
          <w:rFonts w:hint="eastAsia" w:ascii="Times New Roman" w:hAnsi="Times New Roman"/>
          <w:b/>
          <w:bCs/>
          <w:sz w:val="24"/>
          <w:szCs w:val="24"/>
        </w:rPr>
        <w:t>表5主要实践环节</w:t>
      </w:r>
    </w:p>
    <w:tbl>
      <w:tblPr>
        <w:tblStyle w:val="24"/>
        <w:tblW w:w="8100" w:type="dxa"/>
        <w:tblInd w:w="93" w:type="dxa"/>
        <w:tblLayout w:type="fixed"/>
        <w:tblCellMar>
          <w:top w:w="0" w:type="dxa"/>
          <w:left w:w="108" w:type="dxa"/>
          <w:bottom w:w="0" w:type="dxa"/>
          <w:right w:w="108" w:type="dxa"/>
        </w:tblCellMar>
      </w:tblPr>
      <w:tblGrid>
        <w:gridCol w:w="475"/>
        <w:gridCol w:w="1056"/>
        <w:gridCol w:w="2092"/>
        <w:gridCol w:w="3248"/>
        <w:gridCol w:w="1229"/>
      </w:tblGrid>
      <w:tr>
        <w:tblPrEx>
          <w:tblCellMar>
            <w:top w:w="0" w:type="dxa"/>
            <w:left w:w="108" w:type="dxa"/>
            <w:bottom w:w="0" w:type="dxa"/>
            <w:right w:w="108" w:type="dxa"/>
          </w:tblCellMar>
        </w:tblPrEx>
        <w:trPr>
          <w:trHeight w:val="460" w:hRule="atLeast"/>
        </w:trPr>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序号</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主要实践环节</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实践教学项目</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实训任务</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学期</w:t>
            </w:r>
          </w:p>
        </w:tc>
      </w:tr>
      <w:tr>
        <w:tblPrEx>
          <w:tblCellMar>
            <w:top w:w="0" w:type="dxa"/>
            <w:left w:w="108" w:type="dxa"/>
            <w:bottom w:w="0" w:type="dxa"/>
            <w:right w:w="108" w:type="dxa"/>
          </w:tblCellMar>
        </w:tblPrEx>
        <w:trPr>
          <w:trHeight w:val="240" w:hRule="atLeast"/>
        </w:trPr>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1</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校内实训</w:t>
            </w: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建筑材料检测实训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r>
              <w:rPr>
                <w:rFonts w:hint="eastAsia"/>
              </w:rPr>
              <w:t>水泥性能试验检测</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第1学期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钢筋性能试验检测</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集料性能试验检测</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砂浆、混凝土性能试验检测</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建筑识图综合实训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国家标准图集实训</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第2学期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某项目施工图纸解读</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工程测量实训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水准路线测量</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第2学期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角度测量</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水平角、竖直角观测</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水平距离测量</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全站仪坐标测设</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三角高程测量</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全站仪后方交汇测量</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建筑工程施工测量</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工种训练实训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钢筋工艺实训</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第3学期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砌筑工艺实训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抹灰工艺实训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模板工艺实训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架子工艺实训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专项训练实训</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框架结构实训</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第4学期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砖混结构实训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钢结构工程实训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装饰工程实训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招投标模拟实训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项目管理实训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造价实训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基础工程实训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防水工程实训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深基坑工程实训</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Revit建模</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标高、轴网的创建</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第3学期</w:t>
            </w:r>
          </w:p>
        </w:tc>
      </w:tr>
      <w:tr>
        <w:tblPrEx>
          <w:tblCellMar>
            <w:top w:w="0" w:type="dxa"/>
            <w:left w:w="108" w:type="dxa"/>
            <w:bottom w:w="0" w:type="dxa"/>
            <w:right w:w="108" w:type="dxa"/>
          </w:tblCellMar>
        </w:tblPrEx>
        <w:trPr>
          <w:trHeight w:val="48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墙体、门窗、楼板、屋顶、栏杆、坡道、幕墙的创建</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室内家具布置及房间面积报告</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48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静态表现与漫游、使用Revit进行建筑分析</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施工图设计、明细表详作、布图与打印</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族的创建</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别墅等综合建模</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CellMar>
            <w:top w:w="0" w:type="dxa"/>
            <w:left w:w="108" w:type="dxa"/>
            <w:bottom w:w="0" w:type="dxa"/>
            <w:right w:w="108" w:type="dxa"/>
          </w:tblCellMar>
        </w:tblPrEx>
        <w:trPr>
          <w:trHeight w:val="720" w:hRule="atLeast"/>
        </w:trPr>
        <w:tc>
          <w:tcPr>
            <w:tcW w:w="475"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校外实训</w:t>
            </w:r>
          </w:p>
        </w:tc>
        <w:tc>
          <w:tcPr>
            <w:tcW w:w="2092"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岗位实习</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招投标、施工准备工作、技术交底、安全交底、进度交底、质量交底、工程资料等</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第5-6学期</w:t>
            </w:r>
          </w:p>
        </w:tc>
      </w:tr>
      <w:tr>
        <w:tblPrEx>
          <w:tblCellMar>
            <w:top w:w="0" w:type="dxa"/>
            <w:left w:w="108" w:type="dxa"/>
            <w:bottom w:w="0" w:type="dxa"/>
            <w:right w:w="108" w:type="dxa"/>
          </w:tblCellMar>
        </w:tblPrEx>
        <w:trPr>
          <w:trHeight w:val="240" w:hRule="atLeast"/>
        </w:trPr>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3</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大赛训练</w:t>
            </w:r>
          </w:p>
        </w:tc>
        <w:tc>
          <w:tcPr>
            <w:tcW w:w="2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从第二学期起，组织学生参加各种形式的技能大赛，以各层次大赛项目为引领，开设“赛育互动”技能培养项目</w:t>
            </w: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建筑制图与识图大赛</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r>
              <w:rPr>
                <w:rFonts w:hint="eastAsia"/>
              </w:rPr>
              <w:t>第2-5学期</w:t>
            </w: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建筑装饰技术应用大赛</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建筑CAD操作技能大赛</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BIM建模技能比赛</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r>
      <w:tr>
        <w:tblPrEx>
          <w:tblCellMar>
            <w:top w:w="0" w:type="dxa"/>
            <w:left w:w="108" w:type="dxa"/>
            <w:bottom w:w="0" w:type="dxa"/>
            <w:right w:w="108" w:type="dxa"/>
          </w:tblCellMar>
        </w:tblPrEx>
        <w:trPr>
          <w:trHeight w:val="2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2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c>
          <w:tcPr>
            <w:tcW w:w="3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rPr>
              <w:t>国家、省级各类技能比赛等</w:t>
            </w: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rPr>
            </w:pPr>
          </w:p>
        </w:tc>
      </w:tr>
    </w:tbl>
    <w:p>
      <w:pPr>
        <w:spacing w:line="500" w:lineRule="exact"/>
        <w:ind w:firstLine="480" w:firstLineChars="200"/>
        <w:rPr>
          <w:rFonts w:ascii="Times New Roman" w:hAnsi="Times New Roman"/>
          <w:sz w:val="24"/>
          <w:szCs w:val="24"/>
        </w:rPr>
      </w:pPr>
    </w:p>
    <w:p>
      <w:pPr>
        <w:pStyle w:val="3"/>
        <w:numPr>
          <w:ilvl w:val="0"/>
          <w:numId w:val="5"/>
        </w:numPr>
        <w:ind w:firstLineChars="0"/>
        <w:rPr>
          <w:rFonts w:ascii="Calibri" w:hAnsi="Calibri"/>
        </w:rPr>
      </w:pPr>
      <w:bookmarkStart w:id="70" w:name="_Toc119633061"/>
      <w:bookmarkStart w:id="71" w:name="_Toc46303717"/>
      <w:bookmarkStart w:id="72" w:name="_Hlk45719100"/>
      <w:r>
        <w:rPr>
          <w:rFonts w:hint="eastAsia" w:ascii="Calibri" w:hAnsi="Calibri"/>
        </w:rPr>
        <w:t>程思政教学体系</w:t>
      </w:r>
      <w:bookmarkEnd w:id="70"/>
      <w:bookmarkEnd w:id="71"/>
    </w:p>
    <w:bookmarkEnd w:id="39"/>
    <w:bookmarkEnd w:id="72"/>
    <w:p>
      <w:pPr>
        <w:pStyle w:val="4"/>
        <w:ind w:firstLine="562"/>
      </w:pPr>
      <w:bookmarkStart w:id="73" w:name="_Toc119633062"/>
      <w:bookmarkStart w:id="74" w:name="_Hlk11958275"/>
      <w:bookmarkStart w:id="75" w:name="_Toc46303719"/>
      <w:bookmarkStart w:id="76" w:name="_Toc407696136"/>
      <w:bookmarkStart w:id="77" w:name="_Toc407697894"/>
      <w:bookmarkStart w:id="78" w:name="_Toc405393379"/>
      <w:bookmarkStart w:id="79" w:name="_Toc303837893"/>
      <w:bookmarkStart w:id="80" w:name="_Toc305418729"/>
      <w:r>
        <w:rPr>
          <w:rFonts w:hint="eastAsia"/>
        </w:rPr>
        <w:t>（一）课程思政目标要求</w:t>
      </w:r>
      <w:bookmarkEnd w:id="73"/>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pStyle w:val="2"/>
        <w:spacing w:line="360" w:lineRule="auto"/>
        <w:ind w:firstLine="482"/>
        <w:jc w:val="center"/>
        <w:rPr>
          <w:rFonts w:ascii="宋体" w:hAnsi="宋体" w:eastAsia="宋体" w:cs="宋体"/>
          <w:b/>
          <w:bCs/>
          <w:sz w:val="24"/>
          <w:lang w:val="en-US"/>
        </w:rPr>
      </w:pPr>
      <w:r>
        <w:rPr>
          <w:rFonts w:hint="eastAsia" w:ascii="宋体" w:hAnsi="宋体" w:eastAsia="宋体" w:cs="宋体"/>
          <w:b/>
          <w:bCs/>
          <w:sz w:val="24"/>
          <w:lang w:val="en-US"/>
        </w:rPr>
        <w:t>表6  课程思政指标</w:t>
      </w:r>
    </w:p>
    <w:tbl>
      <w:tblPr>
        <w:tblStyle w:val="25"/>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坚持以“立德树人”为根本任务，以党建引领的“六个一”工程和团学建设“六个一”工程为两翼，以“课程思政+思政课程”为主体，“一体两翼”立体推进思政体系建设。</w:t>
      </w:r>
    </w:p>
    <w:p>
      <w:pPr>
        <w:pStyle w:val="2"/>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3190875" cy="32054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98492" cy="3213424"/>
                    </a:xfrm>
                    <a:prstGeom prst="rect">
                      <a:avLst/>
                    </a:prstGeom>
                    <a:noFill/>
                  </pic:spPr>
                </pic:pic>
              </a:graphicData>
            </a:graphic>
          </wp:inline>
        </w:drawing>
      </w:r>
    </w:p>
    <w:p>
      <w:pPr>
        <w:pStyle w:val="2"/>
        <w:ind w:firstLine="240" w:firstLineChars="100"/>
        <w:jc w:val="center"/>
        <w:rPr>
          <w:rFonts w:ascii="Times New Roman" w:hAnsi="Times New Roman" w:eastAsia="宋体" w:cs="Times New Roman"/>
          <w:sz w:val="24"/>
          <w:lang w:val="en-US"/>
        </w:rPr>
      </w:pPr>
      <w:r>
        <w:rPr>
          <w:rFonts w:hint="eastAsia" w:ascii="Times New Roman" w:hAnsi="Times New Roman" w:eastAsia="宋体" w:cs="Times New Roman"/>
          <w:sz w:val="24"/>
          <w:lang w:val="en-US"/>
        </w:rPr>
        <w:t>图1 课程思政育人体系结构图</w:t>
      </w:r>
    </w:p>
    <w:p>
      <w:pPr>
        <w:pStyle w:val="2"/>
        <w:ind w:firstLine="240" w:firstLineChars="100"/>
        <w:jc w:val="center"/>
        <w:rPr>
          <w:rFonts w:ascii="Times New Roman" w:hAnsi="Times New Roman" w:eastAsia="宋体" w:cs="Times New Roman"/>
          <w:sz w:val="24"/>
          <w:lang w:val="en-US"/>
        </w:rPr>
      </w:pP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根据建筑工程技术专业特色和优势，深入研究本专业的育人目标，深度挖掘专业知识体系中蕴含的思想价值和精神内涵，各门课程根据学校的《德州科技职业学院课程思政目标要求》，结合课程具体内容，巧妙、自然地融入思政元素，以理服人，以情动人，将价值引领、知识传播、能力养成有机统一，科学合理地按照学校要求制定课程思政教学要点。</w:t>
      </w:r>
    </w:p>
    <w:p>
      <w:pPr>
        <w:ind w:firstLine="482" w:firstLineChars="200"/>
        <w:jc w:val="center"/>
        <w:rPr>
          <w:rFonts w:ascii="宋体" w:hAnsi="宋体" w:cs="宋体"/>
          <w:b/>
          <w:bCs/>
          <w:sz w:val="24"/>
          <w:szCs w:val="24"/>
        </w:rPr>
      </w:pPr>
      <w:r>
        <w:rPr>
          <w:rFonts w:hint="eastAsia" w:ascii="宋体" w:hAnsi="宋体" w:cs="宋体"/>
          <w:b/>
          <w:bCs/>
          <w:sz w:val="24"/>
          <w:szCs w:val="24"/>
        </w:rPr>
        <w:t>表7  建筑工程技术专业课程思政教学融入要点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212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52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237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tcBorders>
              <w:top w:val="single" w:color="auto" w:sz="4" w:space="0"/>
            </w:tcBorders>
            <w:vAlign w:val="center"/>
          </w:tcPr>
          <w:p>
            <w:pPr>
              <w:jc w:val="center"/>
              <w:rPr>
                <w:rFonts w:ascii="宋体" w:hAnsi="宋体" w:cs="宋体"/>
                <w:szCs w:val="21"/>
              </w:rPr>
            </w:pPr>
            <w:r>
              <w:rPr>
                <w:rFonts w:hint="eastAsia" w:ascii="宋体" w:hAnsi="宋体" w:cs="宋体"/>
                <w:szCs w:val="21"/>
              </w:rPr>
              <w:t>建筑工程制图</w:t>
            </w:r>
          </w:p>
        </w:tc>
        <w:tc>
          <w:tcPr>
            <w:tcW w:w="2125" w:type="dxa"/>
            <w:tcBorders>
              <w:top w:val="single" w:color="auto" w:sz="4" w:space="0"/>
            </w:tcBorders>
            <w:vAlign w:val="center"/>
          </w:tcPr>
          <w:p>
            <w:pPr>
              <w:jc w:val="center"/>
              <w:rPr>
                <w:rFonts w:ascii="宋体" w:hAnsi="宋体" w:cs="宋体"/>
                <w:szCs w:val="21"/>
              </w:rPr>
            </w:pPr>
            <w:r>
              <w:rPr>
                <w:rFonts w:hint="eastAsia" w:ascii="宋体" w:hAnsi="宋体" w:cs="仿宋_GB2312"/>
                <w:szCs w:val="21"/>
              </w:rPr>
              <w:t>建筑工程图的分类、绘制规定及读图方法</w:t>
            </w:r>
          </w:p>
        </w:tc>
        <w:tc>
          <w:tcPr>
            <w:tcW w:w="2525" w:type="dxa"/>
            <w:tcBorders>
              <w:top w:val="single" w:color="auto" w:sz="4" w:space="0"/>
            </w:tcBorders>
            <w:vAlign w:val="center"/>
          </w:tcPr>
          <w:p>
            <w:pPr>
              <w:jc w:val="center"/>
              <w:rPr>
                <w:rFonts w:ascii="宋体" w:hAnsi="宋体" w:cs="宋体"/>
                <w:lang w:val="zh-CN"/>
              </w:rPr>
            </w:pPr>
            <w:r>
              <w:rPr>
                <w:rFonts w:hint="eastAsia" w:ascii="宋体" w:hAnsi="宋体"/>
                <w:szCs w:val="21"/>
              </w:rPr>
              <w:t>了解从大革命时期到解放战争时期各个历史阶段发生的重大历史事件。体会这些历史事件对于土地革命、红色苏区、抗日战争和解放战争的胜利的重要意义</w:t>
            </w:r>
          </w:p>
        </w:tc>
        <w:tc>
          <w:tcPr>
            <w:tcW w:w="2375" w:type="dxa"/>
            <w:tcBorders>
              <w:top w:val="single" w:color="auto" w:sz="4" w:space="0"/>
            </w:tcBorders>
            <w:vAlign w:val="center"/>
          </w:tcPr>
          <w:p>
            <w:pPr>
              <w:jc w:val="center"/>
              <w:rPr>
                <w:rFonts w:ascii="宋体" w:hAnsi="宋体" w:cs="宋体"/>
                <w:szCs w:val="21"/>
              </w:rPr>
            </w:pPr>
            <w:r>
              <w:rPr>
                <w:rFonts w:hint="eastAsia" w:ascii="宋体" w:hAnsi="宋体" w:cs="宋体"/>
                <w:szCs w:val="21"/>
              </w:rPr>
              <w:t>观看鄂豫皖革命纪念馆建筑相关视频；绘制相关建筑的建筑图纸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vAlign w:val="center"/>
          </w:tcPr>
          <w:p>
            <w:pPr>
              <w:jc w:val="center"/>
              <w:rPr>
                <w:rFonts w:ascii="宋体" w:hAnsi="宋体" w:cs="宋体"/>
                <w:szCs w:val="21"/>
              </w:rPr>
            </w:pPr>
            <w:r>
              <w:rPr>
                <w:rFonts w:hint="eastAsia" w:ascii="宋体" w:hAnsi="宋体" w:cs="宋体"/>
                <w:szCs w:val="21"/>
              </w:rPr>
              <w:t>建筑构造与识图</w:t>
            </w:r>
          </w:p>
        </w:tc>
        <w:tc>
          <w:tcPr>
            <w:tcW w:w="2125" w:type="dxa"/>
            <w:vAlign w:val="center"/>
          </w:tcPr>
          <w:p>
            <w:pPr>
              <w:jc w:val="center"/>
              <w:rPr>
                <w:rFonts w:ascii="宋体" w:hAnsi="宋体" w:cs="宋体"/>
                <w:szCs w:val="21"/>
              </w:rPr>
            </w:pPr>
            <w:r>
              <w:rPr>
                <w:rFonts w:hint="eastAsia" w:ascii="宋体" w:hAnsi="宋体"/>
                <w:szCs w:val="21"/>
              </w:rPr>
              <w:t>建筑的分类和等级的划分</w:t>
            </w:r>
          </w:p>
        </w:tc>
        <w:tc>
          <w:tcPr>
            <w:tcW w:w="2525" w:type="dxa"/>
            <w:vAlign w:val="center"/>
          </w:tcPr>
          <w:p>
            <w:pPr>
              <w:jc w:val="center"/>
              <w:rPr>
                <w:rFonts w:ascii="宋体" w:hAnsi="宋体" w:cs="宋体"/>
              </w:rPr>
            </w:pPr>
            <w:r>
              <w:rPr>
                <w:rFonts w:hint="eastAsia" w:ascii="宋体" w:hAnsi="宋体" w:cs="宋体"/>
                <w:szCs w:val="21"/>
              </w:rPr>
              <w:t>工匠精神，专业性、创新性，中国科学家的高瞻远瞩。</w:t>
            </w:r>
          </w:p>
        </w:tc>
        <w:tc>
          <w:tcPr>
            <w:tcW w:w="2375" w:type="dxa"/>
            <w:vAlign w:val="center"/>
          </w:tcPr>
          <w:p>
            <w:pPr>
              <w:jc w:val="center"/>
              <w:rPr>
                <w:rFonts w:ascii="宋体" w:hAnsi="宋体" w:cs="宋体"/>
                <w:szCs w:val="21"/>
              </w:rPr>
            </w:pPr>
            <w:r>
              <w:rPr>
                <w:rFonts w:hint="eastAsia" w:ascii="宋体" w:hAnsi="宋体" w:cs="宋体"/>
                <w:szCs w:val="21"/>
              </w:rPr>
              <w:t>语言文字周报视频：1“灵境”与“元宇宙”-钱学森。中国日报双语新闻</w:t>
            </w:r>
          </w:p>
          <w:p>
            <w:pPr>
              <w:jc w:val="center"/>
              <w:rPr>
                <w:rFonts w:ascii="宋体" w:hAnsi="宋体" w:cs="宋体"/>
                <w:szCs w:val="21"/>
              </w:rPr>
            </w:pPr>
            <w:r>
              <w:rPr>
                <w:rFonts w:hint="eastAsia" w:ascii="宋体" w:hAnsi="宋体" w:cs="宋体"/>
                <w:szCs w:val="21"/>
              </w:rPr>
              <w:t>2、马克.扎克伯格:元宇宙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r>
              <w:rPr>
                <w:rFonts w:hint="eastAsia" w:ascii="宋体" w:hAnsi="宋体" w:cs="宋体"/>
                <w:szCs w:val="21"/>
              </w:rPr>
              <w:t>建筑施工组织与管理</w:t>
            </w:r>
          </w:p>
        </w:tc>
        <w:tc>
          <w:tcPr>
            <w:tcW w:w="2125" w:type="dxa"/>
            <w:vAlign w:val="center"/>
          </w:tcPr>
          <w:p>
            <w:pPr>
              <w:spacing w:line="360" w:lineRule="auto"/>
              <w:jc w:val="center"/>
              <w:rPr>
                <w:rFonts w:ascii="宋体" w:hAnsi="宋体" w:cs="宋体"/>
                <w:szCs w:val="21"/>
              </w:rPr>
            </w:pPr>
            <w:r>
              <w:rPr>
                <w:rFonts w:hint="eastAsia" w:ascii="宋体" w:hAnsi="宋体" w:cs="宋体"/>
                <w:szCs w:val="21"/>
              </w:rPr>
              <w:t>施工方案</w:t>
            </w:r>
          </w:p>
        </w:tc>
        <w:tc>
          <w:tcPr>
            <w:tcW w:w="2525" w:type="dxa"/>
            <w:vAlign w:val="center"/>
          </w:tcPr>
          <w:p>
            <w:pPr>
              <w:jc w:val="center"/>
              <w:rPr>
                <w:rFonts w:ascii="宋体" w:hAnsi="宋体" w:cs="宋体"/>
                <w:szCs w:val="21"/>
              </w:rPr>
            </w:pPr>
            <w:r>
              <w:rPr>
                <w:rFonts w:hint="eastAsia" w:ascii="宋体" w:hAnsi="宋体" w:cs="宋体"/>
                <w:szCs w:val="21"/>
              </w:rPr>
              <w:t>提高学生爱党、爱国、爱人民的思想，培养学生家国情怀和使命意识</w:t>
            </w:r>
          </w:p>
        </w:tc>
        <w:tc>
          <w:tcPr>
            <w:tcW w:w="2375" w:type="dxa"/>
            <w:vAlign w:val="center"/>
          </w:tcPr>
          <w:p>
            <w:pPr>
              <w:jc w:val="center"/>
              <w:rPr>
                <w:rFonts w:ascii="宋体" w:hAnsi="宋体" w:cs="宋体"/>
                <w:szCs w:val="21"/>
              </w:rPr>
            </w:pPr>
            <w:r>
              <w:rPr>
                <w:rFonts w:hint="eastAsia" w:ascii="宋体" w:hAnsi="宋体" w:cs="宋体"/>
                <w:szCs w:val="21"/>
              </w:rPr>
              <w:t>“火神山”医院十天落成记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bookmarkStart w:id="81" w:name="_Toc46303723"/>
            <w:r>
              <w:rPr>
                <w:rFonts w:hint="eastAsia" w:ascii="宋体" w:hAnsi="宋体" w:cs="宋体"/>
                <w:szCs w:val="21"/>
              </w:rPr>
              <w:t>BIM建模及应用基础</w:t>
            </w:r>
          </w:p>
        </w:tc>
        <w:tc>
          <w:tcPr>
            <w:tcW w:w="2125" w:type="dxa"/>
            <w:vAlign w:val="center"/>
          </w:tcPr>
          <w:p>
            <w:pPr>
              <w:jc w:val="center"/>
              <w:rPr>
                <w:rFonts w:ascii="宋体" w:hAnsi="宋体" w:cs="宋体"/>
                <w:szCs w:val="21"/>
              </w:rPr>
            </w:pPr>
            <w:r>
              <w:rPr>
                <w:rFonts w:hint="eastAsia"/>
              </w:rPr>
              <w:t>创建小别墅模型</w:t>
            </w:r>
          </w:p>
        </w:tc>
        <w:tc>
          <w:tcPr>
            <w:tcW w:w="2525" w:type="dxa"/>
            <w:vAlign w:val="center"/>
          </w:tcPr>
          <w:p>
            <w:pPr>
              <w:pStyle w:val="67"/>
              <w:ind w:firstLine="0" w:firstLineChars="0"/>
              <w:rPr>
                <w:rFonts w:ascii="宋体" w:hAnsi="宋体" w:cs="宋体"/>
                <w:szCs w:val="21"/>
              </w:rPr>
            </w:pPr>
            <w:r>
              <w:rPr>
                <w:rFonts w:hint="eastAsia" w:ascii="宋体" w:hAnsi="宋体" w:cs="宋体"/>
                <w:szCs w:val="21"/>
              </w:rPr>
              <w:t>1.</w:t>
            </w:r>
            <w:r>
              <w:rPr>
                <w:rFonts w:ascii="宋体" w:hAnsi="宋体" w:cs="宋体"/>
                <w:szCs w:val="21"/>
              </w:rPr>
              <w:t>培养学生养成</w:t>
            </w:r>
            <w:r>
              <w:rPr>
                <w:rFonts w:hint="eastAsia" w:ascii="宋体" w:hAnsi="宋体" w:cs="宋体"/>
                <w:szCs w:val="21"/>
              </w:rPr>
              <w:t>认真严谨、敬业乐业的工作作风；</w:t>
            </w:r>
          </w:p>
          <w:p>
            <w:pPr>
              <w:jc w:val="center"/>
              <w:rPr>
                <w:rFonts w:ascii="宋体" w:hAnsi="宋体" w:cs="宋体"/>
                <w:szCs w:val="21"/>
              </w:rPr>
            </w:pPr>
            <w:r>
              <w:rPr>
                <w:rFonts w:hint="eastAsia" w:ascii="宋体" w:hAnsi="宋体" w:cs="宋体"/>
                <w:szCs w:val="21"/>
              </w:rPr>
              <w:t>2.培养学生勤于思考、做事严谨的良好作风。</w:t>
            </w:r>
          </w:p>
        </w:tc>
        <w:tc>
          <w:tcPr>
            <w:tcW w:w="2375" w:type="dxa"/>
            <w:vAlign w:val="center"/>
          </w:tcPr>
          <w:p>
            <w:pPr>
              <w:jc w:val="center"/>
              <w:rPr>
                <w:rFonts w:ascii="宋体" w:hAnsi="宋体" w:cs="宋体"/>
                <w:szCs w:val="21"/>
              </w:rPr>
            </w:pPr>
            <w:r>
              <w:rPr>
                <w:rFonts w:ascii="宋体" w:hAnsi="宋体" w:cs="宋体"/>
                <w:szCs w:val="21"/>
              </w:rPr>
              <w:t>视频</w:t>
            </w:r>
            <w:r>
              <w:rPr>
                <w:rFonts w:hint="eastAsia" w:ascii="宋体" w:hAnsi="宋体" w:cs="宋体"/>
                <w:szCs w:val="21"/>
              </w:rPr>
              <w:t>：“工匠精神”</w:t>
            </w:r>
          </w:p>
          <w:p>
            <w:pPr>
              <w:jc w:val="center"/>
              <w:rPr>
                <w:rFonts w:ascii="宋体" w:hAnsi="宋体" w:cs="宋体"/>
                <w:szCs w:val="21"/>
              </w:rPr>
            </w:pPr>
            <w:r>
              <w:t>“</w:t>
            </w:r>
            <w:r>
              <w:rPr>
                <w:rFonts w:hint="eastAsia"/>
              </w:rPr>
              <w:t>超级工程</w:t>
            </w:r>
            <w: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r>
              <w:rPr>
                <w:rFonts w:hint="eastAsia" w:ascii="宋体" w:hAnsi="宋体" w:cs="宋体"/>
                <w:szCs w:val="21"/>
              </w:rPr>
              <w:t>建筑工程计量与计价</w:t>
            </w:r>
          </w:p>
        </w:tc>
        <w:tc>
          <w:tcPr>
            <w:tcW w:w="2125" w:type="dxa"/>
            <w:vAlign w:val="center"/>
          </w:tcPr>
          <w:p>
            <w:pPr>
              <w:jc w:val="center"/>
              <w:rPr>
                <w:rFonts w:ascii="宋体" w:hAnsi="宋体" w:cs="宋体"/>
                <w:szCs w:val="21"/>
              </w:rPr>
            </w:pPr>
            <w:r>
              <w:rPr>
                <w:rFonts w:hint="eastAsia" w:ascii="宋体" w:hAnsi="宋体" w:cs="宋体"/>
                <w:szCs w:val="21"/>
              </w:rPr>
              <w:t>金属结构工程</w:t>
            </w:r>
          </w:p>
        </w:tc>
        <w:tc>
          <w:tcPr>
            <w:tcW w:w="2525" w:type="dxa"/>
            <w:vAlign w:val="center"/>
          </w:tcPr>
          <w:p>
            <w:pPr>
              <w:jc w:val="left"/>
              <w:rPr>
                <w:rFonts w:ascii="宋体" w:hAnsi="宋体" w:cs="宋体"/>
                <w:szCs w:val="21"/>
              </w:rPr>
            </w:pPr>
            <w:r>
              <w:rPr>
                <w:rFonts w:hint="eastAsia"/>
              </w:rPr>
              <w:t>工匠精神-钻研业务，不断创新</w:t>
            </w:r>
          </w:p>
        </w:tc>
        <w:tc>
          <w:tcPr>
            <w:tcW w:w="2375" w:type="dxa"/>
            <w:vAlign w:val="center"/>
          </w:tcPr>
          <w:p>
            <w:pPr>
              <w:rPr>
                <w:rFonts w:ascii="宋体" w:hAnsi="宋体" w:cs="宋体"/>
                <w:szCs w:val="21"/>
              </w:rPr>
            </w:pPr>
            <w:r>
              <w:rPr>
                <w:rFonts w:hint="eastAsia" w:ascii="宋体" w:hAnsi="宋体" w:cs="宋体"/>
                <w:szCs w:val="21"/>
              </w:rPr>
              <w:t>案例：杭州湾跨海大桥总体设计变海上施工为陆上施工，采用工厂化、大型化、机械化的设计和施工原则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vAlign w:val="center"/>
          </w:tcPr>
          <w:p>
            <w:pPr>
              <w:jc w:val="center"/>
              <w:rPr>
                <w:rFonts w:ascii="宋体" w:hAnsi="宋体" w:cs="宋体"/>
                <w:szCs w:val="21"/>
              </w:rPr>
            </w:pPr>
            <w:r>
              <w:rPr>
                <w:rFonts w:hint="eastAsia" w:ascii="宋体" w:hAnsi="宋体" w:cs="宋体"/>
                <w:szCs w:val="21"/>
              </w:rPr>
              <w:t>建筑工程测量</w:t>
            </w:r>
          </w:p>
        </w:tc>
        <w:tc>
          <w:tcPr>
            <w:tcW w:w="2125" w:type="dxa"/>
            <w:vAlign w:val="center"/>
          </w:tcPr>
          <w:p>
            <w:pPr>
              <w:jc w:val="center"/>
              <w:rPr>
                <w:rFonts w:ascii="宋体" w:hAnsi="宋体" w:cs="宋体"/>
                <w:szCs w:val="21"/>
              </w:rPr>
            </w:pPr>
            <w:r>
              <w:rPr>
                <w:rFonts w:hint="eastAsia"/>
                <w:szCs w:val="21"/>
              </w:rPr>
              <w:t>认识全站仪</w:t>
            </w:r>
          </w:p>
        </w:tc>
        <w:tc>
          <w:tcPr>
            <w:tcW w:w="2525" w:type="dxa"/>
            <w:vAlign w:val="center"/>
          </w:tcPr>
          <w:p>
            <w:pPr>
              <w:jc w:val="center"/>
              <w:rPr>
                <w:rFonts w:ascii="宋体" w:hAnsi="宋体" w:cs="宋体"/>
                <w:szCs w:val="21"/>
              </w:rPr>
            </w:pPr>
            <w:r>
              <w:rPr>
                <w:rFonts w:hint="eastAsia"/>
              </w:rPr>
              <w:t>工匠精神-钻研业务，不断创新</w:t>
            </w:r>
          </w:p>
        </w:tc>
        <w:tc>
          <w:tcPr>
            <w:tcW w:w="2375" w:type="dxa"/>
            <w:vAlign w:val="center"/>
          </w:tcPr>
          <w:p>
            <w:pPr>
              <w:jc w:val="center"/>
              <w:rPr>
                <w:rFonts w:ascii="宋体" w:hAnsi="宋体"/>
                <w:szCs w:val="21"/>
              </w:rPr>
            </w:pPr>
            <w:r>
              <w:rPr>
                <w:rFonts w:hint="eastAsia" w:ascii="宋体" w:hAnsi="宋体" w:cs="宋体"/>
                <w:szCs w:val="21"/>
              </w:rPr>
              <w:t>案例：伴生联想创新——月球仪的诞生</w:t>
            </w:r>
          </w:p>
        </w:tc>
      </w:tr>
      <w:bookmarkEnd w:id="74"/>
      <w:bookmarkEnd w:id="75"/>
    </w:tbl>
    <w:p>
      <w:pPr>
        <w:keepNext/>
        <w:keepLines/>
        <w:spacing w:line="500" w:lineRule="exact"/>
        <w:ind w:firstLine="643" w:firstLineChars="200"/>
        <w:outlineLvl w:val="0"/>
        <w:rPr>
          <w:rFonts w:eastAsia="黑体"/>
          <w:b/>
          <w:bCs/>
          <w:kern w:val="44"/>
          <w:sz w:val="32"/>
          <w:szCs w:val="30"/>
        </w:rPr>
      </w:pPr>
      <w:bookmarkStart w:id="82" w:name="_Toc119633063"/>
      <w:r>
        <w:rPr>
          <w:rFonts w:hint="eastAsia" w:eastAsia="黑体"/>
          <w:b/>
          <w:bCs/>
          <w:kern w:val="44"/>
          <w:sz w:val="32"/>
          <w:szCs w:val="30"/>
        </w:rPr>
        <w:t>十、课程学时与学分</w:t>
      </w:r>
      <w:bookmarkEnd w:id="82"/>
    </w:p>
    <w:p>
      <w:pPr>
        <w:keepNext/>
        <w:keepLines/>
        <w:spacing w:line="500" w:lineRule="exact"/>
        <w:ind w:firstLine="562" w:firstLineChars="200"/>
        <w:outlineLvl w:val="1"/>
        <w:rPr>
          <w:rFonts w:ascii="Arial" w:hAnsi="Arial" w:eastAsia="黑体"/>
          <w:b/>
          <w:bCs/>
          <w:sz w:val="28"/>
          <w:szCs w:val="28"/>
        </w:rPr>
      </w:pPr>
      <w:bookmarkStart w:id="83" w:name="_Toc46303720"/>
      <w:bookmarkStart w:id="84" w:name="_Toc119633064"/>
      <w:r>
        <w:rPr>
          <w:rFonts w:hint="eastAsia" w:ascii="Arial" w:hAnsi="Arial" w:eastAsia="黑体"/>
          <w:b/>
          <w:bCs/>
          <w:sz w:val="28"/>
          <w:szCs w:val="28"/>
        </w:rPr>
        <w:t>（一）学时、学分安排</w:t>
      </w:r>
      <w:bookmarkEnd w:id="83"/>
      <w:bookmarkEnd w:id="84"/>
    </w:p>
    <w:p>
      <w:pPr>
        <w:snapToGrid w:val="0"/>
        <w:spacing w:line="500" w:lineRule="exact"/>
        <w:ind w:firstLine="480" w:firstLineChars="200"/>
        <w:rPr>
          <w:rFonts w:ascii="Times New Roman" w:hAnsi="Times New Roman"/>
          <w:sz w:val="24"/>
          <w:szCs w:val="24"/>
        </w:rPr>
      </w:pPr>
      <w:bookmarkStart w:id="85" w:name="_Hlk45722221"/>
      <w:r>
        <w:rPr>
          <w:rFonts w:hint="eastAsia" w:ascii="Times New Roman" w:hAnsi="Times New Roman"/>
          <w:sz w:val="24"/>
          <w:szCs w:val="24"/>
        </w:rPr>
        <w:t>总学时数为27</w:t>
      </w:r>
      <w:r>
        <w:rPr>
          <w:rFonts w:ascii="Times New Roman" w:hAnsi="Times New Roman"/>
          <w:sz w:val="24"/>
          <w:szCs w:val="24"/>
        </w:rPr>
        <w:t>36</w:t>
      </w:r>
      <w:r>
        <w:rPr>
          <w:rFonts w:hint="eastAsia" w:ascii="Times New Roman" w:hAnsi="Times New Roman"/>
          <w:sz w:val="24"/>
          <w:szCs w:val="24"/>
        </w:rPr>
        <w:t>，每16学时计1学分。</w:t>
      </w:r>
      <w:bookmarkEnd w:id="85"/>
      <w:bookmarkStart w:id="86" w:name="_Toc46303721"/>
      <w:r>
        <w:rPr>
          <w:rFonts w:hint="eastAsia" w:ascii="Times New Roman" w:hAnsi="Times New Roman"/>
          <w:sz w:val="24"/>
          <w:szCs w:val="24"/>
        </w:rPr>
        <w:t>总</w:t>
      </w:r>
      <w:r>
        <w:rPr>
          <w:rFonts w:ascii="Times New Roman" w:hAnsi="Times New Roman"/>
          <w:sz w:val="24"/>
          <w:szCs w:val="24"/>
        </w:rPr>
        <w:t>学</w:t>
      </w:r>
      <w:r>
        <w:rPr>
          <w:rFonts w:hint="eastAsia" w:ascii="Times New Roman" w:hAnsi="Times New Roman"/>
          <w:sz w:val="24"/>
          <w:szCs w:val="24"/>
        </w:rPr>
        <w:t>分16</w:t>
      </w:r>
      <w:r>
        <w:rPr>
          <w:rFonts w:ascii="Times New Roman" w:hAnsi="Times New Roman"/>
          <w:sz w:val="24"/>
          <w:szCs w:val="24"/>
        </w:rPr>
        <w:t>2</w:t>
      </w:r>
      <w:r>
        <w:rPr>
          <w:rFonts w:hint="eastAsia" w:ascii="Times New Roman" w:hAnsi="Times New Roman"/>
          <w:sz w:val="24"/>
          <w:szCs w:val="24"/>
        </w:rPr>
        <w:t>学分</w:t>
      </w:r>
      <w:r>
        <w:rPr>
          <w:rFonts w:ascii="Times New Roman" w:hAnsi="Times New Roman"/>
          <w:sz w:val="24"/>
          <w:szCs w:val="24"/>
        </w:rPr>
        <w:t>。</w:t>
      </w:r>
    </w:p>
    <w:p>
      <w:pPr>
        <w:snapToGrid w:val="0"/>
        <w:spacing w:line="500" w:lineRule="exact"/>
        <w:ind w:firstLine="562" w:firstLineChars="200"/>
        <w:rPr>
          <w:rFonts w:ascii="Arial" w:hAnsi="Arial" w:eastAsia="黑体"/>
          <w:b/>
          <w:bCs/>
          <w:sz w:val="28"/>
          <w:szCs w:val="28"/>
        </w:rPr>
      </w:pPr>
      <w:r>
        <w:rPr>
          <w:rFonts w:hint="eastAsia" w:ascii="Arial" w:hAnsi="Arial" w:eastAsia="黑体"/>
          <w:b/>
          <w:bCs/>
          <w:sz w:val="28"/>
          <w:szCs w:val="28"/>
        </w:rPr>
        <w:t>（二）学分安排</w:t>
      </w:r>
      <w:bookmarkEnd w:id="86"/>
    </w:p>
    <w:p>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公共基础课程</w:t>
      </w:r>
      <w:r>
        <w:rPr>
          <w:rFonts w:ascii="Times New Roman" w:hAnsi="Times New Roman"/>
          <w:sz w:val="24"/>
          <w:szCs w:val="24"/>
        </w:rPr>
        <w:t>52</w:t>
      </w:r>
      <w:r>
        <w:rPr>
          <w:rFonts w:hint="eastAsia" w:ascii="Times New Roman" w:hAnsi="Times New Roman"/>
          <w:sz w:val="24"/>
          <w:szCs w:val="24"/>
        </w:rPr>
        <w:t>学分，其中公共限选课程4学分，公共任选课程4学分。专业基础课程28学分，专业核心课程34学分，专业拓展课程8学分；集中实践模块40学分，共1</w:t>
      </w:r>
      <w:r>
        <w:rPr>
          <w:rFonts w:ascii="Times New Roman" w:hAnsi="Times New Roman"/>
          <w:sz w:val="24"/>
          <w:szCs w:val="24"/>
        </w:rPr>
        <w:t>62</w:t>
      </w:r>
      <w:r>
        <w:rPr>
          <w:rFonts w:hint="eastAsia" w:ascii="Times New Roman" w:hAnsi="Times New Roman"/>
          <w:sz w:val="24"/>
          <w:szCs w:val="24"/>
        </w:rPr>
        <w:t>学分。</w:t>
      </w:r>
    </w:p>
    <w:p>
      <w:pPr>
        <w:keepNext/>
        <w:keepLines/>
        <w:spacing w:line="500" w:lineRule="exact"/>
        <w:ind w:firstLine="562" w:firstLineChars="200"/>
        <w:outlineLvl w:val="1"/>
        <w:rPr>
          <w:rFonts w:ascii="Arial" w:hAnsi="Arial" w:eastAsia="黑体"/>
          <w:b/>
          <w:bCs/>
          <w:sz w:val="28"/>
          <w:szCs w:val="28"/>
        </w:rPr>
      </w:pPr>
      <w:bookmarkStart w:id="87" w:name="_Toc46303722"/>
      <w:bookmarkStart w:id="88" w:name="_Toc119633065"/>
      <w:r>
        <w:rPr>
          <w:rFonts w:hint="eastAsia" w:ascii="Arial" w:hAnsi="Arial" w:eastAsia="黑体"/>
          <w:b/>
          <w:bCs/>
          <w:sz w:val="28"/>
          <w:szCs w:val="28"/>
        </w:rPr>
        <w:t>（三）学时、学分分配汇总</w:t>
      </w:r>
      <w:bookmarkEnd w:id="87"/>
      <w:bookmarkEnd w:id="88"/>
    </w:p>
    <w:p>
      <w:pPr>
        <w:jc w:val="center"/>
        <w:rPr>
          <w:rFonts w:ascii="Times New Roman" w:hAnsi="Times New Roman"/>
          <w:b/>
          <w:sz w:val="24"/>
          <w:szCs w:val="24"/>
        </w:rPr>
      </w:pPr>
      <w:r>
        <w:rPr>
          <w:rFonts w:hint="eastAsia" w:ascii="Times New Roman" w:hAnsi="Times New Roman"/>
          <w:b/>
          <w:sz w:val="24"/>
          <w:szCs w:val="24"/>
        </w:rPr>
        <w:t>表8</w:t>
      </w:r>
      <w:bookmarkStart w:id="89" w:name="_Hlk46219329"/>
      <w:r>
        <w:rPr>
          <w:rFonts w:hint="eastAsia" w:ascii="Times New Roman" w:hAnsi="Times New Roman"/>
          <w:b/>
          <w:sz w:val="24"/>
          <w:szCs w:val="24"/>
        </w:rPr>
        <w:t>学时学分分配汇总表</w:t>
      </w:r>
      <w:bookmarkEnd w:id="89"/>
    </w:p>
    <w:tbl>
      <w:tblPr>
        <w:tblStyle w:val="24"/>
        <w:tblW w:w="46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756"/>
        <w:gridCol w:w="666"/>
        <w:gridCol w:w="666"/>
        <w:gridCol w:w="762"/>
        <w:gridCol w:w="756"/>
        <w:gridCol w:w="756"/>
        <w:gridCol w:w="666"/>
        <w:gridCol w:w="762"/>
        <w:gridCol w:w="756"/>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66" w:type="dxa"/>
            <w:vMerge w:val="restart"/>
            <w:vAlign w:val="center"/>
          </w:tcPr>
          <w:p>
            <w:pPr>
              <w:spacing w:line="200" w:lineRule="exact"/>
              <w:ind w:left="-1" w:right="-1"/>
              <w:jc w:val="center"/>
              <w:rPr>
                <w:rFonts w:ascii="宋体" w:hAnsi="宋体"/>
                <w:sz w:val="18"/>
                <w:szCs w:val="18"/>
              </w:rPr>
            </w:pPr>
            <w:r>
              <w:rPr>
                <w:rFonts w:hint="eastAsia" w:ascii="宋体" w:hAnsi="宋体"/>
                <w:sz w:val="18"/>
                <w:szCs w:val="18"/>
              </w:rPr>
              <w:t>课程分类</w:t>
            </w:r>
          </w:p>
        </w:tc>
        <w:tc>
          <w:tcPr>
            <w:tcW w:w="2850" w:type="dxa"/>
            <w:gridSpan w:val="4"/>
            <w:vAlign w:val="center"/>
          </w:tcPr>
          <w:p>
            <w:pPr>
              <w:snapToGrid w:val="0"/>
              <w:spacing w:line="500" w:lineRule="exact"/>
              <w:jc w:val="center"/>
              <w:rPr>
                <w:rFonts w:ascii="宋体" w:hAnsi="宋体"/>
                <w:b/>
                <w:sz w:val="18"/>
                <w:szCs w:val="18"/>
              </w:rPr>
            </w:pPr>
            <w:r>
              <w:rPr>
                <w:rFonts w:hint="eastAsia" w:ascii="宋体" w:hAnsi="宋体"/>
                <w:b/>
                <w:sz w:val="18"/>
                <w:szCs w:val="18"/>
              </w:rPr>
              <w:t>公共基础课程</w:t>
            </w:r>
          </w:p>
        </w:tc>
        <w:tc>
          <w:tcPr>
            <w:tcW w:w="2940" w:type="dxa"/>
            <w:gridSpan w:val="4"/>
            <w:vAlign w:val="center"/>
          </w:tcPr>
          <w:p>
            <w:pPr>
              <w:snapToGrid w:val="0"/>
              <w:spacing w:line="500" w:lineRule="exact"/>
              <w:jc w:val="center"/>
            </w:pPr>
            <w:r>
              <w:rPr>
                <w:rFonts w:hint="eastAsia" w:ascii="宋体" w:hAnsi="宋体"/>
                <w:b/>
                <w:sz w:val="18"/>
                <w:szCs w:val="18"/>
              </w:rPr>
              <w:t>专业（技能）课程</w:t>
            </w:r>
          </w:p>
        </w:tc>
        <w:tc>
          <w:tcPr>
            <w:tcW w:w="756" w:type="dxa"/>
            <w:vMerge w:val="restart"/>
            <w:vAlign w:val="center"/>
          </w:tcPr>
          <w:p>
            <w:pPr>
              <w:snapToGrid w:val="0"/>
              <w:jc w:val="center"/>
              <w:rPr>
                <w:rFonts w:ascii="宋体" w:hAnsi="宋体"/>
                <w:b/>
                <w:sz w:val="18"/>
                <w:szCs w:val="18"/>
              </w:rPr>
            </w:pPr>
            <w:r>
              <w:rPr>
                <w:rFonts w:hint="eastAsia" w:ascii="宋体" w:hAnsi="宋体"/>
                <w:b/>
                <w:sz w:val="18"/>
                <w:szCs w:val="18"/>
              </w:rPr>
              <w:t>集中实践模块</w:t>
            </w:r>
          </w:p>
        </w:tc>
        <w:tc>
          <w:tcPr>
            <w:tcW w:w="757" w:type="dxa"/>
            <w:vMerge w:val="restart"/>
            <w:vAlign w:val="center"/>
          </w:tcPr>
          <w:p>
            <w:pPr>
              <w:snapToGrid w:val="0"/>
              <w:jc w:val="cente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dxa"/>
            <w:vMerge w:val="continue"/>
            <w:vAlign w:val="center"/>
          </w:tcPr>
          <w:p>
            <w:pPr>
              <w:spacing w:line="200" w:lineRule="exact"/>
              <w:ind w:left="-1" w:right="-1"/>
              <w:jc w:val="center"/>
              <w:rPr>
                <w:rFonts w:ascii="宋体" w:hAnsi="宋体"/>
                <w:sz w:val="18"/>
                <w:szCs w:val="18"/>
              </w:rPr>
            </w:pPr>
          </w:p>
        </w:tc>
        <w:tc>
          <w:tcPr>
            <w:tcW w:w="756" w:type="dxa"/>
            <w:vAlign w:val="center"/>
          </w:tcPr>
          <w:p>
            <w:pPr>
              <w:spacing w:line="200" w:lineRule="exact"/>
              <w:ind w:left="-1" w:right="-1"/>
              <w:jc w:val="center"/>
              <w:rPr>
                <w:rFonts w:ascii="宋体" w:hAnsi="宋体"/>
                <w:sz w:val="18"/>
                <w:szCs w:val="18"/>
              </w:rPr>
            </w:pPr>
            <w:r>
              <w:rPr>
                <w:rFonts w:hint="eastAsia" w:ascii="宋体" w:hAnsi="宋体"/>
                <w:sz w:val="18"/>
                <w:szCs w:val="18"/>
              </w:rPr>
              <w:t>公共必修课程</w:t>
            </w:r>
          </w:p>
        </w:tc>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762" w:type="dxa"/>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756" w:type="dxa"/>
            <w:vAlign w:val="center"/>
          </w:tcPr>
          <w:p>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756" w:type="dxa"/>
            <w:vAlign w:val="center"/>
          </w:tcPr>
          <w:p>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专业拓展课程</w:t>
            </w:r>
          </w:p>
        </w:tc>
        <w:tc>
          <w:tcPr>
            <w:tcW w:w="762" w:type="dxa"/>
            <w:vAlign w:val="center"/>
          </w:tcPr>
          <w:p>
            <w:pPr>
              <w:spacing w:line="200" w:lineRule="exact"/>
              <w:ind w:left="-1" w:right="-1"/>
              <w:jc w:val="center"/>
              <w:rPr>
                <w:rFonts w:ascii="宋体" w:hAnsi="宋体"/>
                <w:sz w:val="18"/>
                <w:szCs w:val="18"/>
              </w:rPr>
            </w:pPr>
            <w:r>
              <w:rPr>
                <w:rFonts w:hint="eastAsia" w:ascii="宋体" w:hAnsi="宋体"/>
                <w:sz w:val="18"/>
                <w:szCs w:val="18"/>
              </w:rPr>
              <w:t>小计</w:t>
            </w:r>
          </w:p>
        </w:tc>
        <w:tc>
          <w:tcPr>
            <w:tcW w:w="756" w:type="dxa"/>
            <w:vMerge w:val="continue"/>
            <w:vAlign w:val="center"/>
          </w:tcPr>
          <w:p>
            <w:pPr>
              <w:spacing w:line="200" w:lineRule="exact"/>
              <w:ind w:left="-1" w:right="-1"/>
              <w:jc w:val="center"/>
              <w:rPr>
                <w:rFonts w:ascii="宋体" w:hAnsi="宋体"/>
                <w:sz w:val="18"/>
                <w:szCs w:val="18"/>
              </w:rPr>
            </w:pPr>
          </w:p>
        </w:tc>
        <w:tc>
          <w:tcPr>
            <w:tcW w:w="757" w:type="dxa"/>
            <w:vMerge w:val="continue"/>
            <w:vAlign w:val="center"/>
          </w:tcPr>
          <w:p>
            <w:pPr>
              <w:spacing w:line="200" w:lineRule="exact"/>
              <w:ind w:left="-1" w:right="-1"/>
              <w:jc w:val="cente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学时数</w:t>
            </w:r>
          </w:p>
        </w:tc>
        <w:tc>
          <w:tcPr>
            <w:tcW w:w="756" w:type="dxa"/>
            <w:vAlign w:val="center"/>
          </w:tcPr>
          <w:p>
            <w:pPr>
              <w:widowControl/>
              <w:jc w:val="center"/>
              <w:textAlignment w:val="center"/>
              <w:rPr>
                <w:rFonts w:ascii="宋体" w:hAnsi="宋体"/>
                <w:sz w:val="18"/>
                <w:szCs w:val="18"/>
              </w:rPr>
            </w:pPr>
            <w:r>
              <w:rPr>
                <w:rFonts w:hint="eastAsia" w:ascii="宋体" w:hAnsi="宋体"/>
                <w:sz w:val="18"/>
                <w:szCs w:val="18"/>
              </w:rPr>
              <w:t>7</w:t>
            </w:r>
            <w:r>
              <w:rPr>
                <w:rFonts w:ascii="宋体" w:hAnsi="宋体"/>
                <w:sz w:val="18"/>
                <w:szCs w:val="18"/>
              </w:rPr>
              <w:t>20</w:t>
            </w:r>
          </w:p>
        </w:tc>
        <w:tc>
          <w:tcPr>
            <w:tcW w:w="666" w:type="dxa"/>
            <w:vAlign w:val="center"/>
          </w:tcPr>
          <w:p>
            <w:pPr>
              <w:widowControl/>
              <w:jc w:val="center"/>
              <w:textAlignment w:val="center"/>
              <w:rPr>
                <w:rFonts w:ascii="宋体" w:hAnsi="宋体"/>
                <w:sz w:val="18"/>
                <w:szCs w:val="18"/>
              </w:rPr>
            </w:pPr>
            <w:r>
              <w:rPr>
                <w:rFonts w:hint="eastAsia" w:ascii="宋体" w:hAnsi="宋体" w:cs="宋体"/>
                <w:kern w:val="0"/>
                <w:sz w:val="18"/>
                <w:szCs w:val="18"/>
              </w:rPr>
              <w:t>128</w:t>
            </w:r>
          </w:p>
        </w:tc>
        <w:tc>
          <w:tcPr>
            <w:tcW w:w="666" w:type="dxa"/>
            <w:vAlign w:val="center"/>
          </w:tcPr>
          <w:p>
            <w:pPr>
              <w:widowControl/>
              <w:jc w:val="center"/>
              <w:textAlignment w:val="center"/>
              <w:rPr>
                <w:rFonts w:ascii="宋体" w:hAnsi="宋体"/>
                <w:sz w:val="18"/>
                <w:szCs w:val="18"/>
              </w:rPr>
            </w:pPr>
            <w:r>
              <w:rPr>
                <w:rFonts w:hint="eastAsia" w:ascii="宋体" w:hAnsi="宋体" w:cs="宋体"/>
                <w:kern w:val="0"/>
                <w:sz w:val="18"/>
                <w:szCs w:val="18"/>
              </w:rPr>
              <w:t>128</w:t>
            </w:r>
          </w:p>
        </w:tc>
        <w:tc>
          <w:tcPr>
            <w:tcW w:w="762" w:type="dxa"/>
            <w:vAlign w:val="center"/>
          </w:tcPr>
          <w:p>
            <w:pPr>
              <w:widowControl/>
              <w:jc w:val="center"/>
              <w:textAlignment w:val="center"/>
              <w:rPr>
                <w:rFonts w:ascii="宋体" w:hAnsi="宋体" w:cs="宋体"/>
                <w:kern w:val="0"/>
                <w:sz w:val="18"/>
                <w:szCs w:val="18"/>
              </w:rPr>
            </w:pPr>
            <w:r>
              <w:rPr>
                <w:rFonts w:ascii="宋体" w:hAnsi="宋体" w:cs="宋体"/>
                <w:kern w:val="0"/>
                <w:sz w:val="18"/>
                <w:szCs w:val="18"/>
              </w:rPr>
              <w:t>976</w:t>
            </w:r>
          </w:p>
        </w:tc>
        <w:tc>
          <w:tcPr>
            <w:tcW w:w="75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448</w:t>
            </w:r>
          </w:p>
        </w:tc>
        <w:tc>
          <w:tcPr>
            <w:tcW w:w="75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544</w:t>
            </w:r>
          </w:p>
        </w:tc>
        <w:tc>
          <w:tcPr>
            <w:tcW w:w="66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128</w:t>
            </w:r>
          </w:p>
        </w:tc>
        <w:tc>
          <w:tcPr>
            <w:tcW w:w="762"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1120</w:t>
            </w:r>
          </w:p>
        </w:tc>
        <w:tc>
          <w:tcPr>
            <w:tcW w:w="75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640</w:t>
            </w:r>
          </w:p>
        </w:tc>
        <w:tc>
          <w:tcPr>
            <w:tcW w:w="757"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27</w:t>
            </w: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6" w:type="dxa"/>
            <w:vAlign w:val="center"/>
          </w:tcPr>
          <w:p>
            <w:pPr>
              <w:spacing w:line="200" w:lineRule="exact"/>
              <w:ind w:left="-1" w:right="-1"/>
              <w:jc w:val="center"/>
              <w:rPr>
                <w:rFonts w:ascii="宋体" w:hAnsi="宋体"/>
                <w:sz w:val="18"/>
                <w:szCs w:val="18"/>
              </w:rPr>
            </w:pPr>
            <w:r>
              <w:rPr>
                <w:rFonts w:hint="eastAsia" w:ascii="宋体" w:hAnsi="宋体"/>
                <w:sz w:val="18"/>
                <w:szCs w:val="18"/>
              </w:rPr>
              <w:t>学分数</w:t>
            </w:r>
          </w:p>
        </w:tc>
        <w:tc>
          <w:tcPr>
            <w:tcW w:w="756" w:type="dxa"/>
            <w:vAlign w:val="center"/>
          </w:tcPr>
          <w:p>
            <w:pPr>
              <w:widowControl/>
              <w:jc w:val="center"/>
              <w:textAlignment w:val="center"/>
              <w:rPr>
                <w:rFonts w:ascii="宋体" w:hAnsi="宋体"/>
                <w:sz w:val="18"/>
                <w:szCs w:val="18"/>
              </w:rPr>
            </w:pPr>
            <w:r>
              <w:rPr>
                <w:rFonts w:hint="eastAsia" w:ascii="宋体" w:hAnsi="宋体" w:cs="宋体"/>
                <w:kern w:val="0"/>
                <w:sz w:val="18"/>
                <w:szCs w:val="18"/>
              </w:rPr>
              <w:t>4</w:t>
            </w:r>
            <w:r>
              <w:rPr>
                <w:rFonts w:ascii="宋体" w:hAnsi="宋体" w:cs="宋体"/>
                <w:kern w:val="0"/>
                <w:sz w:val="18"/>
                <w:szCs w:val="18"/>
              </w:rPr>
              <w:t>4</w:t>
            </w:r>
          </w:p>
        </w:tc>
        <w:tc>
          <w:tcPr>
            <w:tcW w:w="666" w:type="dxa"/>
            <w:vAlign w:val="center"/>
          </w:tcPr>
          <w:p>
            <w:pPr>
              <w:widowControl/>
              <w:jc w:val="center"/>
              <w:textAlignment w:val="center"/>
              <w:rPr>
                <w:rFonts w:ascii="宋体" w:hAnsi="宋体"/>
                <w:sz w:val="18"/>
                <w:szCs w:val="18"/>
              </w:rPr>
            </w:pPr>
            <w:r>
              <w:rPr>
                <w:rFonts w:hint="eastAsia" w:ascii="宋体" w:hAnsi="宋体" w:cs="宋体"/>
                <w:kern w:val="0"/>
                <w:sz w:val="18"/>
                <w:szCs w:val="18"/>
              </w:rPr>
              <w:t>4</w:t>
            </w:r>
          </w:p>
        </w:tc>
        <w:tc>
          <w:tcPr>
            <w:tcW w:w="666" w:type="dxa"/>
            <w:vAlign w:val="center"/>
          </w:tcPr>
          <w:p>
            <w:pPr>
              <w:widowControl/>
              <w:jc w:val="center"/>
              <w:textAlignment w:val="center"/>
              <w:rPr>
                <w:rFonts w:ascii="宋体" w:hAnsi="宋体"/>
                <w:sz w:val="18"/>
                <w:szCs w:val="18"/>
              </w:rPr>
            </w:pPr>
            <w:r>
              <w:rPr>
                <w:rFonts w:hint="eastAsia" w:ascii="宋体" w:hAnsi="宋体" w:cs="宋体"/>
                <w:kern w:val="0"/>
                <w:sz w:val="18"/>
                <w:szCs w:val="18"/>
              </w:rPr>
              <w:t>4</w:t>
            </w:r>
          </w:p>
        </w:tc>
        <w:tc>
          <w:tcPr>
            <w:tcW w:w="762"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5</w:t>
            </w:r>
            <w:r>
              <w:rPr>
                <w:rFonts w:ascii="宋体" w:hAnsi="宋体" w:cs="宋体"/>
                <w:kern w:val="0"/>
                <w:sz w:val="18"/>
                <w:szCs w:val="18"/>
              </w:rPr>
              <w:t>2</w:t>
            </w:r>
          </w:p>
        </w:tc>
        <w:tc>
          <w:tcPr>
            <w:tcW w:w="75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28</w:t>
            </w:r>
          </w:p>
        </w:tc>
        <w:tc>
          <w:tcPr>
            <w:tcW w:w="75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34</w:t>
            </w:r>
          </w:p>
        </w:tc>
        <w:tc>
          <w:tcPr>
            <w:tcW w:w="66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8</w:t>
            </w:r>
          </w:p>
        </w:tc>
        <w:tc>
          <w:tcPr>
            <w:tcW w:w="762"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70</w:t>
            </w:r>
          </w:p>
        </w:tc>
        <w:tc>
          <w:tcPr>
            <w:tcW w:w="756"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40</w:t>
            </w:r>
          </w:p>
        </w:tc>
        <w:tc>
          <w:tcPr>
            <w:tcW w:w="757" w:type="dxa"/>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16</w:t>
            </w:r>
            <w:r>
              <w:rPr>
                <w:rFonts w:ascii="宋体" w:hAnsi="宋体" w:cs="宋体"/>
                <w:kern w:val="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66" w:type="dxa"/>
            <w:vAlign w:val="center"/>
          </w:tcPr>
          <w:p>
            <w:pPr>
              <w:jc w:val="center"/>
              <w:rPr>
                <w:rFonts w:ascii="宋体" w:hAnsi="宋体"/>
                <w:sz w:val="18"/>
                <w:szCs w:val="18"/>
              </w:rPr>
            </w:pPr>
            <w:r>
              <w:rPr>
                <w:rFonts w:hint="eastAsia" w:ascii="宋体" w:hAnsi="宋体"/>
                <w:sz w:val="18"/>
                <w:szCs w:val="18"/>
              </w:rPr>
              <w:t>学时占比（%）</w:t>
            </w:r>
          </w:p>
        </w:tc>
        <w:tc>
          <w:tcPr>
            <w:tcW w:w="756" w:type="dxa"/>
            <w:vAlign w:val="center"/>
          </w:tcPr>
          <w:p>
            <w:pPr>
              <w:widowControl/>
              <w:jc w:val="center"/>
              <w:textAlignment w:val="center"/>
              <w:rPr>
                <w:rFonts w:ascii="宋体" w:hAnsi="宋体"/>
                <w:sz w:val="18"/>
                <w:szCs w:val="18"/>
              </w:rPr>
            </w:pPr>
            <w:r>
              <w:rPr>
                <w:rFonts w:hint="eastAsia" w:ascii="宋体" w:hAnsi="宋体"/>
                <w:sz w:val="18"/>
                <w:szCs w:val="18"/>
              </w:rPr>
              <w:t>2</w:t>
            </w:r>
            <w:r>
              <w:rPr>
                <w:rFonts w:ascii="宋体" w:hAnsi="宋体"/>
                <w:sz w:val="18"/>
                <w:szCs w:val="18"/>
              </w:rPr>
              <w:t>6.3</w:t>
            </w:r>
          </w:p>
        </w:tc>
        <w:tc>
          <w:tcPr>
            <w:tcW w:w="666" w:type="dxa"/>
            <w:vAlign w:val="center"/>
          </w:tcPr>
          <w:p>
            <w:pPr>
              <w:widowControl/>
              <w:jc w:val="center"/>
              <w:textAlignment w:val="center"/>
              <w:rPr>
                <w:rFonts w:ascii="宋体" w:hAnsi="宋体"/>
                <w:sz w:val="18"/>
                <w:szCs w:val="18"/>
              </w:rPr>
            </w:pPr>
            <w:r>
              <w:rPr>
                <w:rFonts w:hint="eastAsia" w:ascii="宋体" w:hAnsi="宋体"/>
                <w:sz w:val="18"/>
                <w:szCs w:val="18"/>
              </w:rPr>
              <w:t>4.</w:t>
            </w:r>
            <w:r>
              <w:rPr>
                <w:rFonts w:ascii="宋体" w:hAnsi="宋体"/>
                <w:sz w:val="18"/>
                <w:szCs w:val="18"/>
              </w:rPr>
              <w:t>7</w:t>
            </w:r>
          </w:p>
        </w:tc>
        <w:tc>
          <w:tcPr>
            <w:tcW w:w="666" w:type="dxa"/>
            <w:vAlign w:val="center"/>
          </w:tcPr>
          <w:p>
            <w:pPr>
              <w:widowControl/>
              <w:jc w:val="center"/>
              <w:textAlignment w:val="center"/>
              <w:rPr>
                <w:rFonts w:ascii="宋体" w:hAnsi="宋体"/>
                <w:sz w:val="18"/>
                <w:szCs w:val="18"/>
              </w:rPr>
            </w:pPr>
            <w:r>
              <w:rPr>
                <w:rFonts w:hint="eastAsia" w:ascii="宋体" w:hAnsi="宋体"/>
                <w:sz w:val="18"/>
                <w:szCs w:val="18"/>
              </w:rPr>
              <w:t>4.</w:t>
            </w:r>
            <w:r>
              <w:rPr>
                <w:rFonts w:ascii="宋体" w:hAnsi="宋体"/>
                <w:sz w:val="18"/>
                <w:szCs w:val="18"/>
              </w:rPr>
              <w:t>7</w:t>
            </w:r>
          </w:p>
        </w:tc>
        <w:tc>
          <w:tcPr>
            <w:tcW w:w="762" w:type="dxa"/>
            <w:vAlign w:val="center"/>
          </w:tcPr>
          <w:p>
            <w:pPr>
              <w:widowControl/>
              <w:jc w:val="center"/>
              <w:textAlignment w:val="center"/>
              <w:rPr>
                <w:rFonts w:ascii="宋体" w:hAnsi="宋体"/>
                <w:sz w:val="18"/>
                <w:szCs w:val="18"/>
              </w:rPr>
            </w:pPr>
            <w:r>
              <w:rPr>
                <w:rFonts w:hint="eastAsia" w:ascii="宋体" w:hAnsi="宋体"/>
                <w:sz w:val="18"/>
                <w:szCs w:val="18"/>
              </w:rPr>
              <w:t>3</w:t>
            </w:r>
            <w:r>
              <w:rPr>
                <w:rFonts w:ascii="宋体" w:hAnsi="宋体"/>
                <w:sz w:val="18"/>
                <w:szCs w:val="18"/>
              </w:rPr>
              <w:t>5.7</w:t>
            </w:r>
          </w:p>
        </w:tc>
        <w:tc>
          <w:tcPr>
            <w:tcW w:w="756" w:type="dxa"/>
            <w:vAlign w:val="center"/>
          </w:tcPr>
          <w:p>
            <w:pPr>
              <w:widowControl/>
              <w:jc w:val="center"/>
              <w:textAlignment w:val="center"/>
              <w:rPr>
                <w:rFonts w:ascii="宋体" w:hAnsi="宋体"/>
                <w:sz w:val="18"/>
                <w:szCs w:val="18"/>
              </w:rPr>
            </w:pPr>
            <w:r>
              <w:rPr>
                <w:rFonts w:hint="eastAsia" w:ascii="宋体" w:hAnsi="宋体"/>
                <w:sz w:val="18"/>
                <w:szCs w:val="18"/>
              </w:rPr>
              <w:t>16.</w:t>
            </w:r>
            <w:r>
              <w:rPr>
                <w:rFonts w:ascii="宋体" w:hAnsi="宋体"/>
                <w:sz w:val="18"/>
                <w:szCs w:val="18"/>
              </w:rPr>
              <w:t>4</w:t>
            </w:r>
          </w:p>
        </w:tc>
        <w:tc>
          <w:tcPr>
            <w:tcW w:w="756" w:type="dxa"/>
            <w:vAlign w:val="center"/>
          </w:tcPr>
          <w:p>
            <w:pPr>
              <w:widowControl/>
              <w:jc w:val="center"/>
              <w:textAlignment w:val="center"/>
              <w:rPr>
                <w:rFonts w:ascii="宋体" w:hAnsi="宋体"/>
                <w:sz w:val="18"/>
                <w:szCs w:val="18"/>
              </w:rPr>
            </w:pPr>
            <w:r>
              <w:rPr>
                <w:rFonts w:hint="eastAsia" w:ascii="宋体" w:hAnsi="宋体"/>
                <w:sz w:val="18"/>
                <w:szCs w:val="18"/>
              </w:rPr>
              <w:t>19.</w:t>
            </w:r>
            <w:r>
              <w:rPr>
                <w:rFonts w:ascii="宋体" w:hAnsi="宋体"/>
                <w:sz w:val="18"/>
                <w:szCs w:val="18"/>
              </w:rPr>
              <w:t>9</w:t>
            </w:r>
          </w:p>
        </w:tc>
        <w:tc>
          <w:tcPr>
            <w:tcW w:w="666" w:type="dxa"/>
            <w:vAlign w:val="center"/>
          </w:tcPr>
          <w:p>
            <w:pPr>
              <w:widowControl/>
              <w:jc w:val="center"/>
              <w:textAlignment w:val="center"/>
              <w:rPr>
                <w:rFonts w:ascii="宋体" w:hAnsi="宋体"/>
                <w:sz w:val="18"/>
                <w:szCs w:val="18"/>
              </w:rPr>
            </w:pPr>
            <w:r>
              <w:rPr>
                <w:rFonts w:hint="eastAsia" w:ascii="宋体" w:hAnsi="宋体"/>
                <w:sz w:val="18"/>
                <w:szCs w:val="18"/>
              </w:rPr>
              <w:t>4.</w:t>
            </w:r>
            <w:r>
              <w:rPr>
                <w:rFonts w:ascii="宋体" w:hAnsi="宋体"/>
                <w:sz w:val="18"/>
                <w:szCs w:val="18"/>
              </w:rPr>
              <w:t>7</w:t>
            </w:r>
          </w:p>
        </w:tc>
        <w:tc>
          <w:tcPr>
            <w:tcW w:w="762" w:type="dxa"/>
            <w:vAlign w:val="center"/>
          </w:tcPr>
          <w:p>
            <w:pPr>
              <w:widowControl/>
              <w:jc w:val="center"/>
              <w:textAlignment w:val="center"/>
              <w:rPr>
                <w:rFonts w:ascii="宋体" w:hAnsi="宋体"/>
                <w:sz w:val="18"/>
                <w:szCs w:val="18"/>
              </w:rPr>
            </w:pPr>
            <w:r>
              <w:rPr>
                <w:rFonts w:hint="eastAsia" w:ascii="宋体" w:hAnsi="宋体"/>
                <w:sz w:val="18"/>
                <w:szCs w:val="18"/>
              </w:rPr>
              <w:t>41</w:t>
            </w:r>
          </w:p>
        </w:tc>
        <w:tc>
          <w:tcPr>
            <w:tcW w:w="756" w:type="dxa"/>
            <w:vAlign w:val="center"/>
          </w:tcPr>
          <w:p>
            <w:pPr>
              <w:widowControl/>
              <w:jc w:val="center"/>
              <w:textAlignment w:val="center"/>
              <w:rPr>
                <w:rFonts w:ascii="宋体" w:hAnsi="宋体"/>
                <w:sz w:val="18"/>
                <w:szCs w:val="18"/>
              </w:rPr>
            </w:pPr>
            <w:r>
              <w:rPr>
                <w:rFonts w:hint="eastAsia" w:ascii="宋体" w:hAnsi="宋体"/>
                <w:sz w:val="18"/>
                <w:szCs w:val="18"/>
              </w:rPr>
              <w:t>23.</w:t>
            </w:r>
            <w:r>
              <w:rPr>
                <w:rFonts w:ascii="宋体" w:hAnsi="宋体"/>
                <w:sz w:val="18"/>
                <w:szCs w:val="18"/>
              </w:rPr>
              <w:t>3</w:t>
            </w:r>
          </w:p>
        </w:tc>
        <w:tc>
          <w:tcPr>
            <w:tcW w:w="757" w:type="dxa"/>
            <w:vAlign w:val="center"/>
          </w:tcPr>
          <w:p>
            <w:pPr>
              <w:widowControl/>
              <w:jc w:val="center"/>
              <w:textAlignment w:val="center"/>
              <w:rPr>
                <w:rFonts w:ascii="宋体" w:hAnsi="宋体"/>
                <w:sz w:val="18"/>
                <w:szCs w:val="18"/>
              </w:rPr>
            </w:pPr>
            <w:r>
              <w:rPr>
                <w:rFonts w:hint="eastAsia" w:ascii="宋体" w:hAnsi="宋体" w:cs="宋体"/>
                <w:kern w:val="0"/>
                <w:sz w:val="18"/>
                <w:szCs w:val="18"/>
              </w:rPr>
              <w:t>1</w:t>
            </w:r>
            <w:r>
              <w:rPr>
                <w:rFonts w:ascii="宋体" w:hAnsi="宋体" w:cs="宋体"/>
                <w:kern w:val="0"/>
                <w:sz w:val="18"/>
                <w:szCs w:val="18"/>
              </w:rPr>
              <w:t>00</w:t>
            </w:r>
          </w:p>
        </w:tc>
      </w:tr>
    </w:tbl>
    <w:p>
      <w:pPr>
        <w:keepNext/>
        <w:keepLines/>
        <w:spacing w:line="500" w:lineRule="exact"/>
        <w:ind w:firstLine="643" w:firstLineChars="200"/>
        <w:outlineLvl w:val="0"/>
        <w:rPr>
          <w:rFonts w:eastAsia="黑体"/>
          <w:b/>
          <w:bCs/>
          <w:kern w:val="44"/>
          <w:sz w:val="32"/>
          <w:szCs w:val="30"/>
        </w:rPr>
        <w:sectPr>
          <w:pgSz w:w="11906" w:h="16838"/>
          <w:pgMar w:top="1440" w:right="1800" w:bottom="1440" w:left="1800" w:header="851" w:footer="992" w:gutter="0"/>
          <w:pgNumType w:start="1"/>
          <w:cols w:space="425" w:num="1"/>
          <w:docGrid w:type="lines" w:linePitch="312" w:charSpace="0"/>
        </w:sectPr>
      </w:pPr>
    </w:p>
    <w:p>
      <w:pPr>
        <w:keepNext/>
        <w:keepLines/>
        <w:spacing w:line="500" w:lineRule="exact"/>
        <w:ind w:firstLine="640" w:firstLineChars="200"/>
        <w:outlineLvl w:val="0"/>
        <w:rPr>
          <w:rFonts w:eastAsia="黑体"/>
          <w:b/>
          <w:bCs/>
          <w:kern w:val="44"/>
          <w:sz w:val="32"/>
          <w:szCs w:val="30"/>
        </w:rPr>
      </w:pPr>
      <w:bookmarkStart w:id="90" w:name="_Toc119633066"/>
      <w:r>
        <w:rPr>
          <w:rFonts w:hint="eastAsia" w:eastAsia="黑体"/>
          <w:b/>
          <w:bCs/>
          <w:kern w:val="44"/>
          <w:sz w:val="32"/>
          <w:szCs w:val="30"/>
        </w:rPr>
        <w:t>十一、教学进程总体安排</w:t>
      </w:r>
      <w:bookmarkEnd w:id="81"/>
      <w:bookmarkEnd w:id="90"/>
    </w:p>
    <w:p>
      <w:pPr>
        <w:keepNext/>
        <w:keepLines/>
        <w:spacing w:line="500" w:lineRule="exact"/>
        <w:ind w:firstLine="560" w:firstLineChars="200"/>
        <w:outlineLvl w:val="1"/>
        <w:rPr>
          <w:rFonts w:ascii="Arial" w:hAnsi="Arial" w:eastAsia="黑体"/>
          <w:b/>
          <w:bCs/>
          <w:sz w:val="28"/>
          <w:szCs w:val="28"/>
        </w:rPr>
      </w:pPr>
      <w:bookmarkStart w:id="91" w:name="_Toc119633067"/>
      <w:bookmarkStart w:id="92" w:name="_Toc46303724"/>
      <w:r>
        <w:rPr>
          <w:rFonts w:hint="eastAsia" w:ascii="Arial" w:hAnsi="Arial" w:eastAsia="黑体"/>
          <w:b/>
          <w:bCs/>
          <w:sz w:val="28"/>
          <w:szCs w:val="28"/>
        </w:rPr>
        <w:t>（一）课程设置总表</w:t>
      </w:r>
      <w:bookmarkEnd w:id="91"/>
      <w:bookmarkEnd w:id="92"/>
    </w:p>
    <w:p>
      <w:pPr>
        <w:jc w:val="center"/>
        <w:rPr>
          <w:rFonts w:ascii="Times New Roman" w:hAnsi="Times New Roman"/>
          <w:b/>
          <w:bCs/>
          <w:sz w:val="24"/>
          <w:szCs w:val="24"/>
        </w:rPr>
      </w:pPr>
      <w:r>
        <w:rPr>
          <w:rFonts w:hint="eastAsia" w:ascii="Times New Roman" w:hAnsi="Times New Roman"/>
          <w:b/>
          <w:bCs/>
          <w:sz w:val="24"/>
          <w:szCs w:val="24"/>
        </w:rPr>
        <w:t>表9教学进程安排</w:t>
      </w: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6"/>
        <w:gridCol w:w="566"/>
        <w:gridCol w:w="897"/>
        <w:gridCol w:w="1226"/>
        <w:gridCol w:w="2271"/>
        <w:gridCol w:w="710"/>
        <w:gridCol w:w="569"/>
        <w:gridCol w:w="567"/>
        <w:gridCol w:w="599"/>
        <w:gridCol w:w="776"/>
        <w:gridCol w:w="41"/>
        <w:gridCol w:w="734"/>
        <w:gridCol w:w="775"/>
        <w:gridCol w:w="779"/>
        <w:gridCol w:w="774"/>
        <w:gridCol w:w="783"/>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restart"/>
            <w:vAlign w:val="center"/>
          </w:tcPr>
          <w:p>
            <w:pPr>
              <w:jc w:val="center"/>
              <w:rPr>
                <w:rFonts w:ascii="Times New Roman" w:hAnsi="Times New Roman"/>
                <w:sz w:val="18"/>
                <w:szCs w:val="18"/>
              </w:rPr>
            </w:pPr>
            <w:r>
              <w:rPr>
                <w:rFonts w:hint="eastAsia" w:ascii="Times New Roman" w:hAnsi="Times New Roman"/>
                <w:sz w:val="18"/>
                <w:szCs w:val="18"/>
              </w:rPr>
              <w:t>课程</w:t>
            </w:r>
          </w:p>
          <w:p>
            <w:pPr>
              <w:jc w:val="center"/>
              <w:rPr>
                <w:rFonts w:ascii="Times New Roman" w:hAnsi="Times New Roman"/>
                <w:sz w:val="18"/>
                <w:szCs w:val="18"/>
              </w:rPr>
            </w:pPr>
            <w:r>
              <w:rPr>
                <w:rFonts w:hint="eastAsia" w:ascii="Times New Roman" w:hAnsi="Times New Roman"/>
                <w:sz w:val="18"/>
                <w:szCs w:val="18"/>
              </w:rPr>
              <w:t>类别</w:t>
            </w:r>
          </w:p>
        </w:tc>
        <w:tc>
          <w:tcPr>
            <w:tcW w:w="566" w:type="dxa"/>
            <w:vMerge w:val="restart"/>
            <w:vAlign w:val="center"/>
          </w:tcPr>
          <w:p>
            <w:pPr>
              <w:jc w:val="center"/>
              <w:rPr>
                <w:rFonts w:ascii="Times New Roman" w:hAnsi="Times New Roman"/>
                <w:sz w:val="18"/>
                <w:szCs w:val="18"/>
              </w:rPr>
            </w:pPr>
            <w:r>
              <w:rPr>
                <w:rFonts w:hint="eastAsia" w:ascii="Times New Roman" w:hAnsi="Times New Roman"/>
                <w:sz w:val="18"/>
                <w:szCs w:val="18"/>
              </w:rPr>
              <w:t>课程性质</w:t>
            </w:r>
          </w:p>
        </w:tc>
        <w:tc>
          <w:tcPr>
            <w:tcW w:w="2123" w:type="dxa"/>
            <w:gridSpan w:val="2"/>
            <w:vMerge w:val="restart"/>
            <w:vAlign w:val="center"/>
          </w:tcPr>
          <w:p>
            <w:pPr>
              <w:jc w:val="center"/>
              <w:rPr>
                <w:rFonts w:ascii="Times New Roman" w:hAnsi="Times New Roman"/>
                <w:sz w:val="18"/>
                <w:szCs w:val="18"/>
              </w:rPr>
            </w:pPr>
            <w:r>
              <w:rPr>
                <w:rFonts w:hint="eastAsia" w:ascii="Times New Roman" w:hAnsi="Times New Roman"/>
                <w:sz w:val="18"/>
                <w:szCs w:val="18"/>
              </w:rPr>
              <w:t>课程</w:t>
            </w:r>
          </w:p>
          <w:p>
            <w:pPr>
              <w:jc w:val="center"/>
              <w:rPr>
                <w:rFonts w:ascii="Times New Roman" w:hAnsi="Times New Roman"/>
                <w:sz w:val="18"/>
                <w:szCs w:val="18"/>
              </w:rPr>
            </w:pPr>
            <w:r>
              <w:rPr>
                <w:rFonts w:hint="eastAsia" w:ascii="Times New Roman" w:hAnsi="Times New Roman"/>
                <w:sz w:val="18"/>
                <w:szCs w:val="18"/>
              </w:rPr>
              <w:t>代码</w:t>
            </w:r>
          </w:p>
        </w:tc>
        <w:tc>
          <w:tcPr>
            <w:tcW w:w="2271" w:type="dxa"/>
            <w:vMerge w:val="restart"/>
            <w:vAlign w:val="center"/>
          </w:tcPr>
          <w:p>
            <w:pPr>
              <w:jc w:val="center"/>
              <w:rPr>
                <w:rFonts w:ascii="Times New Roman" w:hAnsi="Times New Roman"/>
                <w:sz w:val="18"/>
                <w:szCs w:val="18"/>
              </w:rPr>
            </w:pPr>
            <w:r>
              <w:rPr>
                <w:rFonts w:hint="eastAsia" w:ascii="Times New Roman" w:hAnsi="Times New Roman"/>
                <w:sz w:val="18"/>
                <w:szCs w:val="18"/>
              </w:rPr>
              <w:t>课程名称</w:t>
            </w:r>
          </w:p>
        </w:tc>
        <w:tc>
          <w:tcPr>
            <w:tcW w:w="710" w:type="dxa"/>
            <w:vMerge w:val="restart"/>
            <w:vAlign w:val="center"/>
          </w:tcPr>
          <w:p>
            <w:pPr>
              <w:jc w:val="center"/>
              <w:rPr>
                <w:rFonts w:ascii="Times New Roman" w:hAnsi="Times New Roman"/>
                <w:sz w:val="18"/>
                <w:szCs w:val="18"/>
              </w:rPr>
            </w:pPr>
            <w:r>
              <w:rPr>
                <w:rFonts w:hint="eastAsia" w:ascii="Times New Roman" w:hAnsi="Times New Roman"/>
                <w:sz w:val="18"/>
                <w:szCs w:val="18"/>
              </w:rPr>
              <w:t>总学时</w:t>
            </w:r>
          </w:p>
        </w:tc>
        <w:tc>
          <w:tcPr>
            <w:tcW w:w="1136" w:type="dxa"/>
            <w:gridSpan w:val="2"/>
            <w:vAlign w:val="center"/>
          </w:tcPr>
          <w:p>
            <w:pPr>
              <w:jc w:val="center"/>
              <w:rPr>
                <w:rFonts w:ascii="Times New Roman" w:hAnsi="Times New Roman"/>
                <w:sz w:val="18"/>
                <w:szCs w:val="18"/>
              </w:rPr>
            </w:pPr>
            <w:r>
              <w:rPr>
                <w:rFonts w:hint="eastAsia" w:ascii="Times New Roman" w:hAnsi="Times New Roman"/>
                <w:sz w:val="18"/>
                <w:szCs w:val="18"/>
              </w:rPr>
              <w:t>学时分配</w:t>
            </w:r>
          </w:p>
        </w:tc>
        <w:tc>
          <w:tcPr>
            <w:tcW w:w="599" w:type="dxa"/>
            <w:vMerge w:val="restart"/>
            <w:vAlign w:val="center"/>
          </w:tcPr>
          <w:p>
            <w:pPr>
              <w:jc w:val="center"/>
              <w:rPr>
                <w:rFonts w:ascii="Times New Roman" w:hAnsi="Times New Roman"/>
                <w:sz w:val="18"/>
                <w:szCs w:val="18"/>
              </w:rPr>
            </w:pPr>
            <w:r>
              <w:rPr>
                <w:rFonts w:hint="eastAsia" w:ascii="Times New Roman" w:hAnsi="Times New Roman"/>
                <w:sz w:val="18"/>
                <w:szCs w:val="18"/>
              </w:rPr>
              <w:t>学分</w:t>
            </w:r>
          </w:p>
          <w:p>
            <w:pPr>
              <w:jc w:val="center"/>
              <w:rPr>
                <w:rFonts w:ascii="Times New Roman" w:hAnsi="Times New Roman"/>
                <w:sz w:val="18"/>
                <w:szCs w:val="18"/>
              </w:rPr>
            </w:pPr>
            <w:r>
              <w:rPr>
                <w:rFonts w:hint="eastAsia" w:ascii="Times New Roman" w:hAnsi="Times New Roman"/>
                <w:sz w:val="18"/>
                <w:szCs w:val="18"/>
              </w:rPr>
              <w:t>分数</w:t>
            </w:r>
          </w:p>
        </w:tc>
        <w:tc>
          <w:tcPr>
            <w:tcW w:w="4662" w:type="dxa"/>
            <w:gridSpan w:val="7"/>
            <w:vAlign w:val="center"/>
          </w:tcPr>
          <w:p>
            <w:pPr>
              <w:jc w:val="center"/>
              <w:rPr>
                <w:rFonts w:ascii="Times New Roman" w:hAnsi="Times New Roman"/>
                <w:sz w:val="18"/>
                <w:szCs w:val="18"/>
              </w:rPr>
            </w:pPr>
            <w:r>
              <w:rPr>
                <w:rFonts w:hint="eastAsia" w:ascii="Times New Roman" w:hAnsi="Times New Roman"/>
                <w:spacing w:val="-8"/>
                <w:sz w:val="18"/>
                <w:szCs w:val="18"/>
              </w:rPr>
              <w:t>建议开设时间及周学时数</w:t>
            </w:r>
          </w:p>
        </w:tc>
        <w:tc>
          <w:tcPr>
            <w:tcW w:w="549" w:type="dxa"/>
            <w:vMerge w:val="restart"/>
            <w:vAlign w:val="center"/>
          </w:tcPr>
          <w:p>
            <w:pPr>
              <w:jc w:val="center"/>
              <w:rPr>
                <w:rFonts w:ascii="Times New Roman" w:hAnsi="Times New Roman"/>
                <w:sz w:val="18"/>
                <w:szCs w:val="18"/>
              </w:rPr>
            </w:pPr>
            <w:r>
              <w:rPr>
                <w:rFonts w:hint="eastAsia" w:ascii="Times New Roman" w:hAnsi="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Merge w:val="continue"/>
            <w:vAlign w:val="center"/>
          </w:tcPr>
          <w:p>
            <w:pPr>
              <w:jc w:val="center"/>
              <w:rPr>
                <w:rFonts w:ascii="Times New Roman" w:hAnsi="Times New Roman"/>
                <w:sz w:val="18"/>
                <w:szCs w:val="18"/>
              </w:rPr>
            </w:pPr>
          </w:p>
        </w:tc>
        <w:tc>
          <w:tcPr>
            <w:tcW w:w="2271" w:type="dxa"/>
            <w:vMerge w:val="continue"/>
            <w:vAlign w:val="center"/>
          </w:tcPr>
          <w:p>
            <w:pPr>
              <w:jc w:val="center"/>
              <w:rPr>
                <w:rFonts w:ascii="Times New Roman" w:hAnsi="Times New Roman"/>
                <w:sz w:val="18"/>
                <w:szCs w:val="18"/>
              </w:rPr>
            </w:pPr>
          </w:p>
        </w:tc>
        <w:tc>
          <w:tcPr>
            <w:tcW w:w="710" w:type="dxa"/>
            <w:vMerge w:val="continue"/>
            <w:vAlign w:val="center"/>
          </w:tcPr>
          <w:p>
            <w:pPr>
              <w:jc w:val="center"/>
              <w:rPr>
                <w:rFonts w:ascii="Times New Roman" w:hAnsi="Times New Roman"/>
                <w:sz w:val="18"/>
                <w:szCs w:val="18"/>
              </w:rPr>
            </w:pPr>
          </w:p>
        </w:tc>
        <w:tc>
          <w:tcPr>
            <w:tcW w:w="569" w:type="dxa"/>
            <w:vAlign w:val="center"/>
          </w:tcPr>
          <w:p>
            <w:pPr>
              <w:jc w:val="center"/>
              <w:rPr>
                <w:rFonts w:ascii="Times New Roman" w:hAnsi="Times New Roman"/>
                <w:sz w:val="18"/>
                <w:szCs w:val="18"/>
              </w:rPr>
            </w:pPr>
            <w:r>
              <w:rPr>
                <w:rFonts w:hint="eastAsia" w:ascii="Times New Roman" w:hAnsi="Times New Roman"/>
                <w:sz w:val="18"/>
                <w:szCs w:val="18"/>
              </w:rPr>
              <w:t>理论学时</w:t>
            </w:r>
          </w:p>
        </w:tc>
        <w:tc>
          <w:tcPr>
            <w:tcW w:w="567" w:type="dxa"/>
            <w:vAlign w:val="center"/>
          </w:tcPr>
          <w:p>
            <w:pPr>
              <w:jc w:val="center"/>
              <w:rPr>
                <w:rFonts w:ascii="Times New Roman" w:hAnsi="Times New Roman"/>
                <w:sz w:val="18"/>
                <w:szCs w:val="18"/>
              </w:rPr>
            </w:pPr>
            <w:r>
              <w:rPr>
                <w:rFonts w:hint="eastAsia" w:ascii="Times New Roman" w:hAnsi="Times New Roman"/>
                <w:sz w:val="18"/>
                <w:szCs w:val="18"/>
              </w:rPr>
              <w:t>实践学时</w:t>
            </w:r>
          </w:p>
        </w:tc>
        <w:tc>
          <w:tcPr>
            <w:tcW w:w="599" w:type="dxa"/>
            <w:vMerge w:val="continue"/>
            <w:vAlign w:val="center"/>
          </w:tcPr>
          <w:p>
            <w:pPr>
              <w:jc w:val="center"/>
              <w:rPr>
                <w:rFonts w:ascii="Times New Roman" w:hAnsi="Times New Roman"/>
                <w:sz w:val="18"/>
                <w:szCs w:val="18"/>
              </w:rPr>
            </w:pPr>
          </w:p>
        </w:tc>
        <w:tc>
          <w:tcPr>
            <w:tcW w:w="776" w:type="dxa"/>
            <w:vAlign w:val="center"/>
          </w:tcPr>
          <w:p>
            <w:pPr>
              <w:jc w:val="center"/>
              <w:rPr>
                <w:rFonts w:ascii="Times New Roman" w:hAnsi="Times New Roman"/>
                <w:sz w:val="18"/>
                <w:szCs w:val="18"/>
              </w:rPr>
            </w:pPr>
            <w:r>
              <w:rPr>
                <w:rFonts w:hint="eastAsia" w:ascii="Times New Roman" w:hAnsi="Times New Roman"/>
                <w:sz w:val="18"/>
                <w:szCs w:val="18"/>
              </w:rPr>
              <w:t>一</w:t>
            </w:r>
          </w:p>
        </w:tc>
        <w:tc>
          <w:tcPr>
            <w:tcW w:w="775" w:type="dxa"/>
            <w:gridSpan w:val="2"/>
            <w:vAlign w:val="center"/>
          </w:tcPr>
          <w:p>
            <w:pPr>
              <w:ind w:firstLine="70" w:firstLineChars="50"/>
              <w:jc w:val="center"/>
              <w:rPr>
                <w:rFonts w:ascii="Times New Roman" w:hAnsi="Times New Roman"/>
                <w:sz w:val="18"/>
                <w:szCs w:val="18"/>
              </w:rPr>
            </w:pPr>
            <w:r>
              <w:rPr>
                <w:rFonts w:hint="eastAsia" w:ascii="Times New Roman" w:hAnsi="Times New Roman"/>
                <w:spacing w:val="-20"/>
                <w:sz w:val="18"/>
                <w:szCs w:val="18"/>
              </w:rPr>
              <w:t>二</w:t>
            </w:r>
          </w:p>
        </w:tc>
        <w:tc>
          <w:tcPr>
            <w:tcW w:w="775" w:type="dxa"/>
            <w:vAlign w:val="center"/>
          </w:tcPr>
          <w:p>
            <w:pPr>
              <w:jc w:val="center"/>
              <w:rPr>
                <w:rFonts w:ascii="Times New Roman" w:hAnsi="Times New Roman"/>
                <w:sz w:val="18"/>
                <w:szCs w:val="18"/>
              </w:rPr>
            </w:pPr>
            <w:r>
              <w:rPr>
                <w:rFonts w:hint="eastAsia" w:ascii="Times New Roman" w:hAnsi="Times New Roman"/>
                <w:sz w:val="18"/>
                <w:szCs w:val="18"/>
              </w:rPr>
              <w:t>三</w:t>
            </w:r>
          </w:p>
        </w:tc>
        <w:tc>
          <w:tcPr>
            <w:tcW w:w="779" w:type="dxa"/>
            <w:vAlign w:val="center"/>
          </w:tcPr>
          <w:p>
            <w:pPr>
              <w:jc w:val="center"/>
              <w:rPr>
                <w:rFonts w:ascii="Times New Roman" w:hAnsi="Times New Roman"/>
                <w:sz w:val="18"/>
                <w:szCs w:val="18"/>
              </w:rPr>
            </w:pPr>
            <w:r>
              <w:rPr>
                <w:rFonts w:hint="eastAsia" w:ascii="Times New Roman" w:hAnsi="Times New Roman"/>
                <w:sz w:val="18"/>
                <w:szCs w:val="18"/>
              </w:rPr>
              <w:t>四</w:t>
            </w:r>
          </w:p>
        </w:tc>
        <w:tc>
          <w:tcPr>
            <w:tcW w:w="774" w:type="dxa"/>
            <w:vAlign w:val="center"/>
          </w:tcPr>
          <w:p>
            <w:pPr>
              <w:jc w:val="center"/>
              <w:rPr>
                <w:rFonts w:ascii="Times New Roman" w:hAnsi="Times New Roman"/>
                <w:sz w:val="18"/>
                <w:szCs w:val="18"/>
              </w:rPr>
            </w:pPr>
            <w:r>
              <w:rPr>
                <w:rFonts w:hint="eastAsia" w:ascii="Times New Roman" w:hAnsi="Times New Roman"/>
                <w:sz w:val="18"/>
                <w:szCs w:val="18"/>
              </w:rPr>
              <w:t>五</w:t>
            </w:r>
          </w:p>
        </w:tc>
        <w:tc>
          <w:tcPr>
            <w:tcW w:w="783" w:type="dxa"/>
            <w:vAlign w:val="center"/>
          </w:tcPr>
          <w:p>
            <w:pPr>
              <w:jc w:val="center"/>
              <w:rPr>
                <w:rFonts w:ascii="Times New Roman" w:hAnsi="Times New Roman"/>
                <w:sz w:val="18"/>
                <w:szCs w:val="18"/>
              </w:rPr>
            </w:pPr>
            <w:r>
              <w:rPr>
                <w:rFonts w:hint="eastAsia" w:ascii="Times New Roman" w:hAnsi="Times New Roman"/>
                <w:sz w:val="18"/>
                <w:szCs w:val="18"/>
              </w:rPr>
              <w:t>六</w:t>
            </w:r>
          </w:p>
        </w:tc>
        <w:tc>
          <w:tcPr>
            <w:tcW w:w="549" w:type="dxa"/>
            <w:vMerge w:val="continue"/>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7" w:hRule="atLeast"/>
          <w:jc w:val="center"/>
        </w:trPr>
        <w:tc>
          <w:tcPr>
            <w:tcW w:w="516" w:type="dxa"/>
            <w:vMerge w:val="restart"/>
            <w:vAlign w:val="center"/>
          </w:tcPr>
          <w:p>
            <w:pPr>
              <w:jc w:val="center"/>
              <w:rPr>
                <w:rFonts w:ascii="Times New Roman" w:hAnsi="Times New Roman"/>
                <w:sz w:val="18"/>
                <w:szCs w:val="18"/>
              </w:rPr>
            </w:pPr>
            <w:r>
              <w:rPr>
                <w:rFonts w:hint="eastAsia" w:ascii="Times New Roman" w:hAnsi="Times New Roman"/>
                <w:sz w:val="18"/>
                <w:szCs w:val="18"/>
              </w:rPr>
              <w:t>必修课程</w:t>
            </w:r>
          </w:p>
        </w:tc>
        <w:tc>
          <w:tcPr>
            <w:tcW w:w="566" w:type="dxa"/>
            <w:vMerge w:val="restart"/>
            <w:vAlign w:val="center"/>
          </w:tcPr>
          <w:p>
            <w:pPr>
              <w:jc w:val="center"/>
              <w:rPr>
                <w:rFonts w:ascii="Times New Roman" w:hAnsi="Times New Roman"/>
                <w:sz w:val="18"/>
                <w:szCs w:val="18"/>
              </w:rPr>
            </w:pPr>
            <w:r>
              <w:rPr>
                <w:rFonts w:hint="eastAsia" w:ascii="Times New Roman" w:hAnsi="Times New Roman"/>
                <w:sz w:val="18"/>
                <w:szCs w:val="18"/>
              </w:rPr>
              <w:t>公共必修课程</w:t>
            </w: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GG111020</w:t>
            </w:r>
          </w:p>
        </w:tc>
        <w:tc>
          <w:tcPr>
            <w:tcW w:w="2271" w:type="dxa"/>
          </w:tcPr>
          <w:p>
            <w:pPr>
              <w:rPr>
                <w:sz w:val="18"/>
                <w:szCs w:val="18"/>
              </w:rPr>
            </w:pPr>
            <w:r>
              <w:rPr>
                <w:rFonts w:hint="eastAsia"/>
                <w:sz w:val="18"/>
                <w:szCs w:val="18"/>
              </w:rPr>
              <w:t>思想道德与法治（一）</w:t>
            </w:r>
          </w:p>
        </w:tc>
        <w:tc>
          <w:tcPr>
            <w:tcW w:w="710" w:type="dxa"/>
            <w:vAlign w:val="center"/>
          </w:tcPr>
          <w:p>
            <w:pPr>
              <w:rPr>
                <w:sz w:val="18"/>
                <w:szCs w:val="18"/>
              </w:rPr>
            </w:pPr>
            <w:r>
              <w:rPr>
                <w:rFonts w:ascii="Times New Roman" w:hAnsi="Times New Roman"/>
                <w:spacing w:val="-20"/>
                <w:sz w:val="18"/>
                <w:szCs w:val="18"/>
              </w:rPr>
              <w:t>24</w:t>
            </w:r>
          </w:p>
        </w:tc>
        <w:tc>
          <w:tcPr>
            <w:tcW w:w="569" w:type="dxa"/>
            <w:vAlign w:val="center"/>
          </w:tcPr>
          <w:p>
            <w:pPr>
              <w:rPr>
                <w:sz w:val="18"/>
                <w:szCs w:val="18"/>
              </w:rPr>
            </w:pPr>
            <w:r>
              <w:rPr>
                <w:rFonts w:ascii="Times New Roman" w:hAnsi="Times New Roman"/>
                <w:spacing w:val="-20"/>
                <w:sz w:val="18"/>
                <w:szCs w:val="18"/>
              </w:rPr>
              <w:t>20</w:t>
            </w:r>
          </w:p>
        </w:tc>
        <w:tc>
          <w:tcPr>
            <w:tcW w:w="567" w:type="dxa"/>
            <w:vAlign w:val="center"/>
          </w:tcPr>
          <w:p>
            <w:pPr>
              <w:rPr>
                <w:sz w:val="18"/>
                <w:szCs w:val="18"/>
              </w:rPr>
            </w:pPr>
            <w:r>
              <w:rPr>
                <w:rFonts w:ascii="Times New Roman" w:hAnsi="Times New Roman"/>
                <w:spacing w:val="-20"/>
                <w:sz w:val="18"/>
                <w:szCs w:val="18"/>
              </w:rPr>
              <w:t>4</w:t>
            </w:r>
          </w:p>
        </w:tc>
        <w:tc>
          <w:tcPr>
            <w:tcW w:w="599" w:type="dxa"/>
            <w:vAlign w:val="center"/>
          </w:tcPr>
          <w:p>
            <w:pPr>
              <w:rPr>
                <w:sz w:val="18"/>
                <w:szCs w:val="18"/>
              </w:rPr>
            </w:pPr>
            <w:r>
              <w:rPr>
                <w:rFonts w:ascii="Times New Roman" w:hAnsi="Times New Roman"/>
                <w:spacing w:val="-20"/>
                <w:sz w:val="18"/>
                <w:szCs w:val="18"/>
              </w:rPr>
              <w:t>1.5</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b/>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eastAsia="等线"/>
                <w:sz w:val="20"/>
                <w:szCs w:val="20"/>
              </w:rPr>
            </w:pPr>
            <w:r>
              <w:rPr>
                <w:rFonts w:hint="eastAsia" w:ascii="微软雅黑" w:hAnsi="微软雅黑" w:eastAsia="微软雅黑"/>
                <w:sz w:val="18"/>
                <w:szCs w:val="18"/>
              </w:rPr>
              <w:t>GG111021</w:t>
            </w:r>
          </w:p>
        </w:tc>
        <w:tc>
          <w:tcPr>
            <w:tcW w:w="2271" w:type="dxa"/>
          </w:tcPr>
          <w:p>
            <w:pPr>
              <w:rPr>
                <w:sz w:val="18"/>
                <w:szCs w:val="18"/>
              </w:rPr>
            </w:pPr>
            <w:r>
              <w:rPr>
                <w:rFonts w:hint="eastAsia"/>
                <w:sz w:val="18"/>
                <w:szCs w:val="18"/>
              </w:rPr>
              <w:t>思想道德与法治（二）</w:t>
            </w:r>
          </w:p>
        </w:tc>
        <w:tc>
          <w:tcPr>
            <w:tcW w:w="710" w:type="dxa"/>
            <w:vAlign w:val="center"/>
          </w:tcPr>
          <w:p>
            <w:pPr>
              <w:rPr>
                <w:sz w:val="18"/>
                <w:szCs w:val="18"/>
              </w:rPr>
            </w:pPr>
            <w:r>
              <w:rPr>
                <w:rFonts w:ascii="Times New Roman" w:hAnsi="Times New Roman"/>
                <w:spacing w:val="-20"/>
                <w:sz w:val="18"/>
                <w:szCs w:val="18"/>
              </w:rPr>
              <w:t>24</w:t>
            </w:r>
          </w:p>
        </w:tc>
        <w:tc>
          <w:tcPr>
            <w:tcW w:w="569" w:type="dxa"/>
            <w:vAlign w:val="center"/>
          </w:tcPr>
          <w:p>
            <w:pPr>
              <w:rPr>
                <w:sz w:val="18"/>
                <w:szCs w:val="18"/>
              </w:rPr>
            </w:pPr>
            <w:r>
              <w:rPr>
                <w:rFonts w:ascii="Times New Roman" w:hAnsi="Times New Roman"/>
                <w:spacing w:val="-20"/>
                <w:sz w:val="18"/>
                <w:szCs w:val="18"/>
              </w:rPr>
              <w:t>22</w:t>
            </w:r>
          </w:p>
        </w:tc>
        <w:tc>
          <w:tcPr>
            <w:tcW w:w="567" w:type="dxa"/>
            <w:vAlign w:val="center"/>
          </w:tcPr>
          <w:p>
            <w:pPr>
              <w:rPr>
                <w:sz w:val="18"/>
                <w:szCs w:val="18"/>
              </w:rPr>
            </w:pPr>
            <w:r>
              <w:rPr>
                <w:rFonts w:ascii="Times New Roman" w:hAnsi="Times New Roman"/>
                <w:spacing w:val="-20"/>
                <w:sz w:val="18"/>
                <w:szCs w:val="18"/>
              </w:rPr>
              <w:t>2</w:t>
            </w:r>
          </w:p>
        </w:tc>
        <w:tc>
          <w:tcPr>
            <w:tcW w:w="599" w:type="dxa"/>
            <w:vAlign w:val="center"/>
          </w:tcPr>
          <w:p>
            <w:pPr>
              <w:rPr>
                <w:sz w:val="18"/>
                <w:szCs w:val="18"/>
              </w:rPr>
            </w:pPr>
            <w:r>
              <w:rPr>
                <w:rFonts w:ascii="Times New Roman" w:hAnsi="Times New Roman"/>
                <w:spacing w:val="-20"/>
                <w:sz w:val="18"/>
                <w:szCs w:val="18"/>
              </w:rPr>
              <w:t>1.5</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GG111002</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毛泽东思想和中国特色社会主义理论体系概论（一）</w:t>
            </w:r>
          </w:p>
        </w:tc>
        <w:tc>
          <w:tcPr>
            <w:tcW w:w="710" w:type="dxa"/>
            <w:vAlign w:val="center"/>
          </w:tcPr>
          <w:p>
            <w:pPr>
              <w:rPr>
                <w:sz w:val="18"/>
                <w:szCs w:val="18"/>
              </w:rPr>
            </w:pPr>
            <w:r>
              <w:rPr>
                <w:rFonts w:ascii="Times New Roman" w:hAnsi="Times New Roman"/>
                <w:spacing w:val="-20"/>
                <w:sz w:val="18"/>
                <w:szCs w:val="18"/>
              </w:rPr>
              <w:t>32</w:t>
            </w:r>
          </w:p>
        </w:tc>
        <w:tc>
          <w:tcPr>
            <w:tcW w:w="569" w:type="dxa"/>
            <w:vAlign w:val="center"/>
          </w:tcPr>
          <w:p>
            <w:pPr>
              <w:rPr>
                <w:sz w:val="18"/>
                <w:szCs w:val="18"/>
              </w:rPr>
            </w:pPr>
            <w:r>
              <w:rPr>
                <w:rFonts w:ascii="Times New Roman" w:hAnsi="Times New Roman"/>
                <w:spacing w:val="-20"/>
                <w:sz w:val="18"/>
                <w:szCs w:val="18"/>
              </w:rPr>
              <w:t>28</w:t>
            </w:r>
          </w:p>
        </w:tc>
        <w:tc>
          <w:tcPr>
            <w:tcW w:w="567" w:type="dxa"/>
            <w:vAlign w:val="center"/>
          </w:tcPr>
          <w:p>
            <w:pPr>
              <w:rPr>
                <w:sz w:val="18"/>
                <w:szCs w:val="18"/>
              </w:rPr>
            </w:pPr>
            <w:r>
              <w:rPr>
                <w:rFonts w:ascii="Times New Roman" w:hAnsi="Times New Roman"/>
                <w:spacing w:val="-20"/>
                <w:sz w:val="18"/>
                <w:szCs w:val="18"/>
              </w:rPr>
              <w:t>4</w:t>
            </w:r>
          </w:p>
        </w:tc>
        <w:tc>
          <w:tcPr>
            <w:tcW w:w="599" w:type="dxa"/>
            <w:vAlign w:val="center"/>
          </w:tcPr>
          <w:p>
            <w:pPr>
              <w:rPr>
                <w:sz w:val="18"/>
                <w:szCs w:val="18"/>
              </w:rPr>
            </w:pPr>
            <w:r>
              <w:rPr>
                <w:rFonts w:ascii="Times New Roman" w:hAnsi="Times New Roman"/>
                <w:spacing w:val="-20"/>
                <w:sz w:val="18"/>
                <w:szCs w:val="18"/>
              </w:rPr>
              <w:t>2</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GG111029</w:t>
            </w:r>
          </w:p>
        </w:tc>
        <w:tc>
          <w:tcPr>
            <w:tcW w:w="2271" w:type="dxa"/>
            <w:vAlign w:val="center"/>
          </w:tcPr>
          <w:p>
            <w:pPr>
              <w:jc w:val="center"/>
              <w:rPr>
                <w:rFonts w:ascii="Times New Roman" w:hAnsi="Times New Roman"/>
                <w:sz w:val="18"/>
                <w:szCs w:val="18"/>
              </w:rPr>
            </w:pPr>
            <w:r>
              <w:rPr>
                <w:rFonts w:hint="eastAsia" w:ascii="Times New Roman" w:hAnsi="Times New Roman"/>
                <w:sz w:val="18"/>
                <w:szCs w:val="18"/>
              </w:rPr>
              <w:t>习近平新时代中国特色社会主义思想概论（一）</w:t>
            </w:r>
          </w:p>
        </w:tc>
        <w:tc>
          <w:tcPr>
            <w:tcW w:w="710" w:type="dxa"/>
            <w:vAlign w:val="center"/>
          </w:tcPr>
          <w:p>
            <w:pPr>
              <w:rPr>
                <w:sz w:val="18"/>
                <w:szCs w:val="18"/>
              </w:rPr>
            </w:pPr>
            <w:r>
              <w:rPr>
                <w:rFonts w:ascii="Times New Roman" w:hAnsi="Times New Roman"/>
                <w:spacing w:val="-20"/>
                <w:sz w:val="18"/>
                <w:szCs w:val="18"/>
              </w:rPr>
              <w:t>24</w:t>
            </w:r>
          </w:p>
        </w:tc>
        <w:tc>
          <w:tcPr>
            <w:tcW w:w="569" w:type="dxa"/>
            <w:vAlign w:val="center"/>
          </w:tcPr>
          <w:p>
            <w:pPr>
              <w:rPr>
                <w:sz w:val="18"/>
                <w:szCs w:val="18"/>
              </w:rPr>
            </w:pPr>
            <w:r>
              <w:rPr>
                <w:rFonts w:ascii="Times New Roman" w:hAnsi="Times New Roman"/>
                <w:spacing w:val="-20"/>
                <w:sz w:val="18"/>
                <w:szCs w:val="18"/>
              </w:rPr>
              <w:t>18</w:t>
            </w:r>
          </w:p>
        </w:tc>
        <w:tc>
          <w:tcPr>
            <w:tcW w:w="567" w:type="dxa"/>
            <w:vAlign w:val="center"/>
          </w:tcPr>
          <w:p>
            <w:pPr>
              <w:rPr>
                <w:sz w:val="18"/>
                <w:szCs w:val="18"/>
              </w:rPr>
            </w:pPr>
            <w:r>
              <w:rPr>
                <w:rFonts w:ascii="Times New Roman" w:hAnsi="Times New Roman"/>
                <w:spacing w:val="-20"/>
                <w:sz w:val="18"/>
                <w:szCs w:val="18"/>
              </w:rPr>
              <w:t>6</w:t>
            </w:r>
          </w:p>
        </w:tc>
        <w:tc>
          <w:tcPr>
            <w:tcW w:w="599" w:type="dxa"/>
            <w:vAlign w:val="center"/>
          </w:tcPr>
          <w:p>
            <w:pPr>
              <w:rPr>
                <w:sz w:val="18"/>
                <w:szCs w:val="18"/>
              </w:rPr>
            </w:pPr>
            <w:r>
              <w:rPr>
                <w:rFonts w:ascii="Times New Roman" w:hAnsi="Times New Roman"/>
                <w:spacing w:val="-20"/>
                <w:sz w:val="18"/>
                <w:szCs w:val="18"/>
              </w:rPr>
              <w:t>1.5</w:t>
            </w:r>
          </w:p>
        </w:tc>
        <w:tc>
          <w:tcPr>
            <w:tcW w:w="776"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z w:val="18"/>
                <w:szCs w:val="18"/>
              </w:rPr>
            </w:pPr>
          </w:p>
        </w:tc>
        <w:tc>
          <w:tcPr>
            <w:tcW w:w="779" w:type="dxa"/>
            <w:vAlign w:val="center"/>
          </w:tcPr>
          <w:p>
            <w:pPr>
              <w:jc w:val="center"/>
              <w:rPr>
                <w:rFonts w:ascii="Times New Roman" w:hAnsi="Times New Roman"/>
                <w:sz w:val="18"/>
                <w:szCs w:val="18"/>
              </w:rPr>
            </w:pPr>
          </w:p>
        </w:tc>
        <w:tc>
          <w:tcPr>
            <w:tcW w:w="774" w:type="dxa"/>
            <w:vAlign w:val="center"/>
          </w:tcPr>
          <w:p>
            <w:pPr>
              <w:ind w:left="-159" w:leftChars="-76" w:firstLine="161" w:firstLineChars="115"/>
              <w:jc w:val="center"/>
              <w:rPr>
                <w:rFonts w:ascii="Times New Roman" w:hAnsi="Times New Roman"/>
                <w:spacing w:val="-20"/>
                <w:sz w:val="18"/>
                <w:szCs w:val="18"/>
              </w:rPr>
            </w:pPr>
          </w:p>
        </w:tc>
        <w:tc>
          <w:tcPr>
            <w:tcW w:w="783" w:type="dxa"/>
            <w:vAlign w:val="center"/>
          </w:tcPr>
          <w:p>
            <w:pPr>
              <w:ind w:left="-159" w:leftChars="-76" w:firstLine="161" w:firstLineChars="115"/>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GG111030</w:t>
            </w:r>
          </w:p>
        </w:tc>
        <w:tc>
          <w:tcPr>
            <w:tcW w:w="2271" w:type="dxa"/>
            <w:vAlign w:val="center"/>
          </w:tcPr>
          <w:p>
            <w:pPr>
              <w:jc w:val="center"/>
              <w:rPr>
                <w:rFonts w:ascii="Times New Roman" w:hAnsi="Times New Roman"/>
                <w:sz w:val="18"/>
                <w:szCs w:val="18"/>
              </w:rPr>
            </w:pPr>
            <w:r>
              <w:rPr>
                <w:rFonts w:hint="eastAsia" w:ascii="Times New Roman" w:hAnsi="Times New Roman"/>
                <w:sz w:val="18"/>
                <w:szCs w:val="18"/>
              </w:rPr>
              <w:t>习近平新时代中国特色社会主义思想概论（二）</w:t>
            </w:r>
          </w:p>
        </w:tc>
        <w:tc>
          <w:tcPr>
            <w:tcW w:w="710" w:type="dxa"/>
            <w:vAlign w:val="center"/>
          </w:tcPr>
          <w:p>
            <w:pPr>
              <w:rPr>
                <w:sz w:val="18"/>
                <w:szCs w:val="18"/>
              </w:rPr>
            </w:pPr>
            <w:r>
              <w:rPr>
                <w:rFonts w:ascii="Times New Roman" w:hAnsi="Times New Roman"/>
                <w:spacing w:val="-20"/>
                <w:sz w:val="18"/>
                <w:szCs w:val="18"/>
              </w:rPr>
              <w:t>24</w:t>
            </w:r>
          </w:p>
        </w:tc>
        <w:tc>
          <w:tcPr>
            <w:tcW w:w="569" w:type="dxa"/>
            <w:vAlign w:val="center"/>
          </w:tcPr>
          <w:p>
            <w:pPr>
              <w:rPr>
                <w:sz w:val="18"/>
                <w:szCs w:val="18"/>
              </w:rPr>
            </w:pPr>
            <w:r>
              <w:rPr>
                <w:rFonts w:ascii="Times New Roman" w:hAnsi="Times New Roman"/>
                <w:spacing w:val="-20"/>
                <w:sz w:val="18"/>
                <w:szCs w:val="18"/>
              </w:rPr>
              <w:t>18</w:t>
            </w:r>
          </w:p>
        </w:tc>
        <w:tc>
          <w:tcPr>
            <w:tcW w:w="567" w:type="dxa"/>
            <w:vAlign w:val="center"/>
          </w:tcPr>
          <w:p>
            <w:pPr>
              <w:rPr>
                <w:sz w:val="18"/>
                <w:szCs w:val="18"/>
              </w:rPr>
            </w:pPr>
            <w:r>
              <w:rPr>
                <w:rFonts w:ascii="Times New Roman" w:hAnsi="Times New Roman"/>
                <w:spacing w:val="-20"/>
                <w:sz w:val="18"/>
                <w:szCs w:val="18"/>
              </w:rPr>
              <w:t>6</w:t>
            </w:r>
          </w:p>
        </w:tc>
        <w:tc>
          <w:tcPr>
            <w:tcW w:w="599" w:type="dxa"/>
            <w:vAlign w:val="center"/>
          </w:tcPr>
          <w:p>
            <w:pPr>
              <w:rPr>
                <w:sz w:val="18"/>
                <w:szCs w:val="18"/>
              </w:rPr>
            </w:pPr>
            <w:r>
              <w:rPr>
                <w:rFonts w:ascii="Times New Roman" w:hAnsi="Times New Roman"/>
                <w:spacing w:val="-20"/>
                <w:sz w:val="18"/>
                <w:szCs w:val="18"/>
              </w:rPr>
              <w:t>1.5</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5" w:type="dxa"/>
            <w:vAlign w:val="center"/>
          </w:tcPr>
          <w:p>
            <w:pPr>
              <w:jc w:val="center"/>
              <w:rPr>
                <w:rFonts w:ascii="Times New Roman" w:hAnsi="Times New Roman"/>
                <w:sz w:val="18"/>
                <w:szCs w:val="18"/>
              </w:rPr>
            </w:pPr>
          </w:p>
        </w:tc>
        <w:tc>
          <w:tcPr>
            <w:tcW w:w="779" w:type="dxa"/>
            <w:vAlign w:val="center"/>
          </w:tcPr>
          <w:p>
            <w:pPr>
              <w:jc w:val="center"/>
              <w:rPr>
                <w:rFonts w:ascii="Times New Roman" w:hAnsi="Times New Roman"/>
                <w:sz w:val="18"/>
                <w:szCs w:val="18"/>
              </w:rPr>
            </w:pPr>
          </w:p>
        </w:tc>
        <w:tc>
          <w:tcPr>
            <w:tcW w:w="774" w:type="dxa"/>
            <w:vAlign w:val="center"/>
          </w:tcPr>
          <w:p>
            <w:pPr>
              <w:ind w:left="-159" w:leftChars="-76" w:firstLine="161" w:firstLineChars="115"/>
              <w:jc w:val="center"/>
              <w:rPr>
                <w:rFonts w:ascii="Times New Roman" w:hAnsi="Times New Roman"/>
                <w:spacing w:val="-20"/>
                <w:sz w:val="18"/>
                <w:szCs w:val="18"/>
              </w:rPr>
            </w:pPr>
          </w:p>
        </w:tc>
        <w:tc>
          <w:tcPr>
            <w:tcW w:w="783" w:type="dxa"/>
            <w:vAlign w:val="center"/>
          </w:tcPr>
          <w:p>
            <w:pPr>
              <w:ind w:left="-159" w:leftChars="-76" w:firstLine="161" w:firstLineChars="115"/>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GG111012~GG111015</w:t>
            </w:r>
          </w:p>
        </w:tc>
        <w:tc>
          <w:tcPr>
            <w:tcW w:w="2271" w:type="dxa"/>
            <w:vAlign w:val="center"/>
          </w:tcPr>
          <w:p>
            <w:pPr>
              <w:jc w:val="center"/>
              <w:rPr>
                <w:rFonts w:ascii="Times New Roman" w:hAnsi="Times New Roman"/>
                <w:sz w:val="18"/>
                <w:szCs w:val="18"/>
              </w:rPr>
            </w:pPr>
            <w:r>
              <w:rPr>
                <w:rFonts w:hint="eastAsia" w:ascii="Times New Roman" w:hAnsi="Times New Roman"/>
                <w:sz w:val="18"/>
                <w:szCs w:val="18"/>
              </w:rPr>
              <w:t>形势与政策</w:t>
            </w:r>
          </w:p>
        </w:tc>
        <w:tc>
          <w:tcPr>
            <w:tcW w:w="710" w:type="dxa"/>
          </w:tcPr>
          <w:p>
            <w:pPr>
              <w:rPr>
                <w:sz w:val="18"/>
                <w:szCs w:val="18"/>
              </w:rPr>
            </w:pPr>
            <w:r>
              <w:rPr>
                <w:sz w:val="18"/>
                <w:szCs w:val="18"/>
              </w:rPr>
              <w:t>32</w:t>
            </w:r>
          </w:p>
        </w:tc>
        <w:tc>
          <w:tcPr>
            <w:tcW w:w="569" w:type="dxa"/>
          </w:tcPr>
          <w:p>
            <w:pPr>
              <w:rPr>
                <w:sz w:val="18"/>
                <w:szCs w:val="18"/>
              </w:rPr>
            </w:pPr>
            <w:r>
              <w:rPr>
                <w:sz w:val="18"/>
                <w:szCs w:val="18"/>
              </w:rPr>
              <w:t>32</w:t>
            </w:r>
          </w:p>
        </w:tc>
        <w:tc>
          <w:tcPr>
            <w:tcW w:w="567" w:type="dxa"/>
          </w:tcPr>
          <w:p>
            <w:pPr>
              <w:rPr>
                <w:sz w:val="18"/>
                <w:szCs w:val="18"/>
              </w:rPr>
            </w:pPr>
          </w:p>
        </w:tc>
        <w:tc>
          <w:tcPr>
            <w:tcW w:w="599" w:type="dxa"/>
          </w:tcPr>
          <w:p>
            <w:pPr>
              <w:rPr>
                <w:sz w:val="18"/>
                <w:szCs w:val="18"/>
              </w:rPr>
            </w:pPr>
            <w:r>
              <w:rPr>
                <w:sz w:val="18"/>
                <w:szCs w:val="18"/>
              </w:rPr>
              <w:t>1</w:t>
            </w:r>
          </w:p>
        </w:tc>
        <w:tc>
          <w:tcPr>
            <w:tcW w:w="3105" w:type="dxa"/>
            <w:gridSpan w:val="5"/>
            <w:vAlign w:val="center"/>
          </w:tcPr>
          <w:p>
            <w:pPr>
              <w:jc w:val="center"/>
              <w:rPr>
                <w:rFonts w:ascii="Times New Roman" w:hAnsi="Times New Roman"/>
                <w:sz w:val="18"/>
                <w:szCs w:val="18"/>
              </w:rPr>
            </w:pPr>
            <w:r>
              <w:rPr>
                <w:rFonts w:ascii="Times New Roman" w:hAnsi="Times New Roman"/>
                <w:sz w:val="18"/>
                <w:szCs w:val="18"/>
              </w:rPr>
              <w:t>1-4</w:t>
            </w:r>
            <w:r>
              <w:rPr>
                <w:rFonts w:hint="eastAsia" w:ascii="Times New Roman" w:hAnsi="Times New Roman"/>
                <w:sz w:val="18"/>
                <w:szCs w:val="18"/>
              </w:rPr>
              <w:t>学期，每学期8学时</w:t>
            </w:r>
          </w:p>
        </w:tc>
        <w:tc>
          <w:tcPr>
            <w:tcW w:w="774" w:type="dxa"/>
            <w:vAlign w:val="center"/>
          </w:tcPr>
          <w:p>
            <w:pPr>
              <w:ind w:left="-159" w:leftChars="-76" w:firstLine="161" w:firstLineChars="115"/>
              <w:jc w:val="center"/>
              <w:rPr>
                <w:rFonts w:ascii="Times New Roman" w:hAnsi="Times New Roman"/>
                <w:spacing w:val="-20"/>
                <w:sz w:val="18"/>
                <w:szCs w:val="18"/>
              </w:rPr>
            </w:pPr>
          </w:p>
        </w:tc>
        <w:tc>
          <w:tcPr>
            <w:tcW w:w="783" w:type="dxa"/>
            <w:vAlign w:val="center"/>
          </w:tcPr>
          <w:p>
            <w:pPr>
              <w:ind w:left="-159" w:leftChars="-76" w:firstLine="161" w:firstLineChars="115"/>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GG111007</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710" w:type="dxa"/>
          </w:tcPr>
          <w:p>
            <w:pPr>
              <w:rPr>
                <w:sz w:val="18"/>
                <w:szCs w:val="18"/>
              </w:rPr>
            </w:pPr>
            <w:r>
              <w:rPr>
                <w:sz w:val="18"/>
                <w:szCs w:val="18"/>
              </w:rPr>
              <w:t>40</w:t>
            </w:r>
          </w:p>
        </w:tc>
        <w:tc>
          <w:tcPr>
            <w:tcW w:w="569" w:type="dxa"/>
          </w:tcPr>
          <w:p>
            <w:pPr>
              <w:rPr>
                <w:sz w:val="18"/>
                <w:szCs w:val="18"/>
              </w:rPr>
            </w:pPr>
            <w:r>
              <w:rPr>
                <w:sz w:val="18"/>
                <w:szCs w:val="18"/>
              </w:rPr>
              <w:t>2</w:t>
            </w:r>
          </w:p>
        </w:tc>
        <w:tc>
          <w:tcPr>
            <w:tcW w:w="567" w:type="dxa"/>
          </w:tcPr>
          <w:p>
            <w:pPr>
              <w:rPr>
                <w:sz w:val="18"/>
                <w:szCs w:val="18"/>
              </w:rPr>
            </w:pPr>
            <w:r>
              <w:rPr>
                <w:sz w:val="18"/>
                <w:szCs w:val="18"/>
              </w:rPr>
              <w:t>38</w:t>
            </w:r>
          </w:p>
        </w:tc>
        <w:tc>
          <w:tcPr>
            <w:tcW w:w="599" w:type="dxa"/>
          </w:tcPr>
          <w:p>
            <w:pPr>
              <w:rPr>
                <w:sz w:val="18"/>
                <w:szCs w:val="18"/>
              </w:rPr>
            </w:pPr>
            <w:r>
              <w:rPr>
                <w:sz w:val="18"/>
                <w:szCs w:val="18"/>
              </w:rPr>
              <w:t>2.5</w:t>
            </w:r>
          </w:p>
        </w:tc>
        <w:tc>
          <w:tcPr>
            <w:tcW w:w="776"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GG111008</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710" w:type="dxa"/>
          </w:tcPr>
          <w:p>
            <w:pPr>
              <w:rPr>
                <w:sz w:val="18"/>
                <w:szCs w:val="18"/>
              </w:rPr>
            </w:pPr>
            <w:r>
              <w:rPr>
                <w:sz w:val="18"/>
                <w:szCs w:val="18"/>
              </w:rPr>
              <w:t>40</w:t>
            </w:r>
          </w:p>
        </w:tc>
        <w:tc>
          <w:tcPr>
            <w:tcW w:w="569" w:type="dxa"/>
          </w:tcPr>
          <w:p>
            <w:pPr>
              <w:rPr>
                <w:sz w:val="18"/>
                <w:szCs w:val="18"/>
              </w:rPr>
            </w:pPr>
            <w:r>
              <w:rPr>
                <w:sz w:val="18"/>
                <w:szCs w:val="18"/>
              </w:rPr>
              <w:t>2</w:t>
            </w:r>
          </w:p>
        </w:tc>
        <w:tc>
          <w:tcPr>
            <w:tcW w:w="567" w:type="dxa"/>
          </w:tcPr>
          <w:p>
            <w:pPr>
              <w:rPr>
                <w:sz w:val="18"/>
                <w:szCs w:val="18"/>
              </w:rPr>
            </w:pPr>
            <w:r>
              <w:rPr>
                <w:sz w:val="18"/>
                <w:szCs w:val="18"/>
              </w:rPr>
              <w:t>38</w:t>
            </w:r>
          </w:p>
        </w:tc>
        <w:tc>
          <w:tcPr>
            <w:tcW w:w="599" w:type="dxa"/>
          </w:tcPr>
          <w:p>
            <w:pPr>
              <w:rPr>
                <w:sz w:val="18"/>
                <w:szCs w:val="18"/>
              </w:rPr>
            </w:pPr>
            <w:r>
              <w:rPr>
                <w:sz w:val="18"/>
                <w:szCs w:val="18"/>
              </w:rPr>
              <w:t>2.5</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GG111009</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710" w:type="dxa"/>
          </w:tcPr>
          <w:p>
            <w:pPr>
              <w:rPr>
                <w:sz w:val="18"/>
                <w:szCs w:val="18"/>
              </w:rPr>
            </w:pPr>
            <w:r>
              <w:rPr>
                <w:sz w:val="18"/>
                <w:szCs w:val="18"/>
              </w:rPr>
              <w:t>32</w:t>
            </w:r>
          </w:p>
        </w:tc>
        <w:tc>
          <w:tcPr>
            <w:tcW w:w="569" w:type="dxa"/>
          </w:tcPr>
          <w:p>
            <w:pPr>
              <w:rPr>
                <w:sz w:val="18"/>
                <w:szCs w:val="18"/>
              </w:rPr>
            </w:pPr>
            <w:r>
              <w:rPr>
                <w:sz w:val="18"/>
                <w:szCs w:val="18"/>
              </w:rPr>
              <w:t>2</w:t>
            </w:r>
          </w:p>
        </w:tc>
        <w:tc>
          <w:tcPr>
            <w:tcW w:w="567" w:type="dxa"/>
          </w:tcPr>
          <w:p>
            <w:pPr>
              <w:rPr>
                <w:sz w:val="18"/>
                <w:szCs w:val="18"/>
              </w:rPr>
            </w:pPr>
            <w:r>
              <w:rPr>
                <w:sz w:val="18"/>
                <w:szCs w:val="18"/>
              </w:rPr>
              <w:t>30</w:t>
            </w:r>
          </w:p>
        </w:tc>
        <w:tc>
          <w:tcPr>
            <w:tcW w:w="599" w:type="dxa"/>
          </w:tcPr>
          <w:p>
            <w:pPr>
              <w:rPr>
                <w:sz w:val="18"/>
                <w:szCs w:val="18"/>
              </w:rPr>
            </w:pPr>
            <w:r>
              <w:rPr>
                <w:sz w:val="18"/>
                <w:szCs w:val="18"/>
              </w:rPr>
              <w:t>2</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GG111011</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大学生就业指导与创新创业教育</w:t>
            </w:r>
          </w:p>
        </w:tc>
        <w:tc>
          <w:tcPr>
            <w:tcW w:w="710" w:type="dxa"/>
          </w:tcPr>
          <w:p>
            <w:pPr>
              <w:rPr>
                <w:sz w:val="18"/>
                <w:szCs w:val="18"/>
              </w:rPr>
            </w:pPr>
            <w:r>
              <w:rPr>
                <w:sz w:val="18"/>
                <w:szCs w:val="18"/>
              </w:rPr>
              <w:t>32</w:t>
            </w:r>
          </w:p>
        </w:tc>
        <w:tc>
          <w:tcPr>
            <w:tcW w:w="569" w:type="dxa"/>
          </w:tcPr>
          <w:p>
            <w:pPr>
              <w:rPr>
                <w:sz w:val="18"/>
                <w:szCs w:val="18"/>
              </w:rPr>
            </w:pPr>
            <w:r>
              <w:rPr>
                <w:sz w:val="18"/>
                <w:szCs w:val="18"/>
              </w:rPr>
              <w:t>20</w:t>
            </w:r>
          </w:p>
        </w:tc>
        <w:tc>
          <w:tcPr>
            <w:tcW w:w="567" w:type="dxa"/>
          </w:tcPr>
          <w:p>
            <w:pPr>
              <w:rPr>
                <w:sz w:val="18"/>
                <w:szCs w:val="18"/>
              </w:rPr>
            </w:pPr>
            <w:r>
              <w:rPr>
                <w:sz w:val="18"/>
                <w:szCs w:val="18"/>
              </w:rPr>
              <w:t>12</w:t>
            </w:r>
          </w:p>
        </w:tc>
        <w:tc>
          <w:tcPr>
            <w:tcW w:w="599" w:type="dxa"/>
          </w:tcPr>
          <w:p>
            <w:pPr>
              <w:rPr>
                <w:sz w:val="18"/>
                <w:szCs w:val="18"/>
              </w:rPr>
            </w:pPr>
            <w:r>
              <w:rPr>
                <w:sz w:val="18"/>
                <w:szCs w:val="18"/>
              </w:rPr>
              <w:t>2</w:t>
            </w:r>
          </w:p>
        </w:tc>
        <w:tc>
          <w:tcPr>
            <w:tcW w:w="3105" w:type="dxa"/>
            <w:gridSpan w:val="5"/>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774" w:type="dxa"/>
            <w:vAlign w:val="center"/>
          </w:tcPr>
          <w:p>
            <w:pPr>
              <w:jc w:val="center"/>
              <w:rPr>
                <w:rFonts w:ascii="Times New Roman" w:hAnsi="Times New Roman"/>
                <w:spacing w:val="-20"/>
                <w:sz w:val="18"/>
                <w:szCs w:val="18"/>
              </w:rPr>
            </w:pPr>
          </w:p>
        </w:tc>
        <w:tc>
          <w:tcPr>
            <w:tcW w:w="783" w:type="dxa"/>
            <w:vAlign w:val="center"/>
          </w:tcPr>
          <w:p>
            <w:pPr>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GG111010</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710" w:type="dxa"/>
          </w:tcPr>
          <w:p>
            <w:pPr>
              <w:rPr>
                <w:sz w:val="18"/>
                <w:szCs w:val="18"/>
              </w:rPr>
            </w:pPr>
            <w:r>
              <w:rPr>
                <w:sz w:val="18"/>
                <w:szCs w:val="18"/>
              </w:rPr>
              <w:t>32</w:t>
            </w:r>
          </w:p>
        </w:tc>
        <w:tc>
          <w:tcPr>
            <w:tcW w:w="569" w:type="dxa"/>
          </w:tcPr>
          <w:p>
            <w:pPr>
              <w:rPr>
                <w:sz w:val="18"/>
                <w:szCs w:val="18"/>
              </w:rPr>
            </w:pPr>
            <w:r>
              <w:rPr>
                <w:sz w:val="18"/>
                <w:szCs w:val="18"/>
              </w:rPr>
              <w:t>32</w:t>
            </w:r>
          </w:p>
        </w:tc>
        <w:tc>
          <w:tcPr>
            <w:tcW w:w="567" w:type="dxa"/>
          </w:tcPr>
          <w:p>
            <w:pPr>
              <w:rPr>
                <w:sz w:val="18"/>
                <w:szCs w:val="18"/>
              </w:rPr>
            </w:pPr>
          </w:p>
        </w:tc>
        <w:tc>
          <w:tcPr>
            <w:tcW w:w="599" w:type="dxa"/>
          </w:tcPr>
          <w:p>
            <w:pPr>
              <w:rPr>
                <w:sz w:val="18"/>
                <w:szCs w:val="18"/>
              </w:rPr>
            </w:pPr>
            <w:r>
              <w:rPr>
                <w:sz w:val="18"/>
                <w:szCs w:val="18"/>
              </w:rPr>
              <w:t>2</w:t>
            </w:r>
          </w:p>
        </w:tc>
        <w:tc>
          <w:tcPr>
            <w:tcW w:w="3105" w:type="dxa"/>
            <w:gridSpan w:val="5"/>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774" w:type="dxa"/>
            <w:vAlign w:val="center"/>
          </w:tcPr>
          <w:p>
            <w:pPr>
              <w:jc w:val="center"/>
              <w:rPr>
                <w:rFonts w:ascii="Times New Roman" w:hAnsi="Times New Roman"/>
                <w:spacing w:val="-20"/>
                <w:sz w:val="18"/>
                <w:szCs w:val="18"/>
              </w:rPr>
            </w:pPr>
          </w:p>
        </w:tc>
        <w:tc>
          <w:tcPr>
            <w:tcW w:w="783" w:type="dxa"/>
            <w:vAlign w:val="center"/>
          </w:tcPr>
          <w:p>
            <w:pPr>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GG111016</w:t>
            </w:r>
          </w:p>
        </w:tc>
        <w:tc>
          <w:tcPr>
            <w:tcW w:w="2271" w:type="dxa"/>
            <w:vAlign w:val="center"/>
          </w:tcPr>
          <w:p>
            <w:pPr>
              <w:jc w:val="center"/>
              <w:rPr>
                <w:rFonts w:ascii="Times New Roman" w:hAnsi="Times New Roman"/>
                <w:sz w:val="18"/>
                <w:szCs w:val="18"/>
              </w:rPr>
            </w:pPr>
            <w:r>
              <w:rPr>
                <w:rFonts w:hint="eastAsia" w:ascii="Times New Roman" w:hAnsi="Times New Roman"/>
                <w:sz w:val="18"/>
                <w:szCs w:val="18"/>
              </w:rPr>
              <w:t>军事理论</w:t>
            </w:r>
          </w:p>
        </w:tc>
        <w:tc>
          <w:tcPr>
            <w:tcW w:w="710" w:type="dxa"/>
            <w:tcBorders>
              <w:bottom w:val="single" w:color="auto" w:sz="4" w:space="0"/>
            </w:tcBorders>
          </w:tcPr>
          <w:p>
            <w:pPr>
              <w:rPr>
                <w:sz w:val="18"/>
                <w:szCs w:val="18"/>
              </w:rPr>
            </w:pPr>
            <w:r>
              <w:rPr>
                <w:sz w:val="18"/>
                <w:szCs w:val="18"/>
              </w:rPr>
              <w:t>32</w:t>
            </w:r>
          </w:p>
        </w:tc>
        <w:tc>
          <w:tcPr>
            <w:tcW w:w="569" w:type="dxa"/>
            <w:tcBorders>
              <w:bottom w:val="single" w:color="auto" w:sz="4" w:space="0"/>
            </w:tcBorders>
          </w:tcPr>
          <w:p>
            <w:pPr>
              <w:rPr>
                <w:sz w:val="18"/>
                <w:szCs w:val="18"/>
              </w:rPr>
            </w:pPr>
            <w:r>
              <w:rPr>
                <w:sz w:val="18"/>
                <w:szCs w:val="18"/>
              </w:rPr>
              <w:t>32</w:t>
            </w:r>
          </w:p>
        </w:tc>
        <w:tc>
          <w:tcPr>
            <w:tcW w:w="567" w:type="dxa"/>
            <w:tcBorders>
              <w:bottom w:val="single" w:color="auto" w:sz="4" w:space="0"/>
            </w:tcBorders>
          </w:tcPr>
          <w:p>
            <w:pPr>
              <w:rPr>
                <w:sz w:val="18"/>
                <w:szCs w:val="18"/>
              </w:rPr>
            </w:pPr>
          </w:p>
        </w:tc>
        <w:tc>
          <w:tcPr>
            <w:tcW w:w="599" w:type="dxa"/>
            <w:tcBorders>
              <w:bottom w:val="single" w:color="auto" w:sz="4" w:space="0"/>
            </w:tcBorders>
          </w:tcPr>
          <w:p>
            <w:pPr>
              <w:rPr>
                <w:sz w:val="18"/>
                <w:szCs w:val="18"/>
              </w:rPr>
            </w:pPr>
            <w:r>
              <w:rPr>
                <w:sz w:val="18"/>
                <w:szCs w:val="18"/>
              </w:rPr>
              <w:t>2</w:t>
            </w:r>
          </w:p>
        </w:tc>
        <w:tc>
          <w:tcPr>
            <w:tcW w:w="77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GG111004</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710" w:type="dxa"/>
            <w:tcBorders>
              <w:bottom w:val="single" w:color="auto" w:sz="4" w:space="0"/>
            </w:tcBorders>
          </w:tcPr>
          <w:p>
            <w:pPr>
              <w:rPr>
                <w:sz w:val="18"/>
                <w:szCs w:val="18"/>
              </w:rPr>
            </w:pPr>
            <w:r>
              <w:rPr>
                <w:sz w:val="18"/>
                <w:szCs w:val="18"/>
              </w:rPr>
              <w:t>64</w:t>
            </w:r>
          </w:p>
        </w:tc>
        <w:tc>
          <w:tcPr>
            <w:tcW w:w="569" w:type="dxa"/>
            <w:tcBorders>
              <w:bottom w:val="single" w:color="auto" w:sz="4" w:space="0"/>
            </w:tcBorders>
          </w:tcPr>
          <w:p>
            <w:pPr>
              <w:rPr>
                <w:sz w:val="18"/>
                <w:szCs w:val="18"/>
              </w:rPr>
            </w:pPr>
            <w:r>
              <w:rPr>
                <w:sz w:val="18"/>
                <w:szCs w:val="18"/>
              </w:rPr>
              <w:t>44</w:t>
            </w:r>
          </w:p>
        </w:tc>
        <w:tc>
          <w:tcPr>
            <w:tcW w:w="567" w:type="dxa"/>
            <w:tcBorders>
              <w:bottom w:val="single" w:color="auto" w:sz="4" w:space="0"/>
            </w:tcBorders>
          </w:tcPr>
          <w:p>
            <w:pPr>
              <w:rPr>
                <w:sz w:val="18"/>
                <w:szCs w:val="18"/>
              </w:rPr>
            </w:pPr>
            <w:r>
              <w:rPr>
                <w:sz w:val="18"/>
                <w:szCs w:val="18"/>
              </w:rPr>
              <w:t>20</w:t>
            </w:r>
          </w:p>
        </w:tc>
        <w:tc>
          <w:tcPr>
            <w:tcW w:w="599" w:type="dxa"/>
            <w:tcBorders>
              <w:bottom w:val="single" w:color="auto" w:sz="4" w:space="0"/>
            </w:tcBorders>
          </w:tcPr>
          <w:p>
            <w:pPr>
              <w:rPr>
                <w:sz w:val="18"/>
                <w:szCs w:val="18"/>
              </w:rPr>
            </w:pPr>
            <w:r>
              <w:rPr>
                <w:sz w:val="18"/>
                <w:szCs w:val="18"/>
              </w:rPr>
              <w:t>4</w:t>
            </w:r>
          </w:p>
        </w:tc>
        <w:tc>
          <w:tcPr>
            <w:tcW w:w="77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2"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GG111005</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710" w:type="dxa"/>
            <w:tcBorders>
              <w:bottom w:val="single" w:color="auto" w:sz="4" w:space="0"/>
            </w:tcBorders>
          </w:tcPr>
          <w:p>
            <w:pPr>
              <w:rPr>
                <w:sz w:val="18"/>
                <w:szCs w:val="18"/>
              </w:rPr>
            </w:pPr>
            <w:r>
              <w:rPr>
                <w:sz w:val="18"/>
                <w:szCs w:val="18"/>
              </w:rPr>
              <w:t>64</w:t>
            </w:r>
          </w:p>
        </w:tc>
        <w:tc>
          <w:tcPr>
            <w:tcW w:w="569" w:type="dxa"/>
            <w:tcBorders>
              <w:bottom w:val="single" w:color="auto" w:sz="4" w:space="0"/>
            </w:tcBorders>
          </w:tcPr>
          <w:p>
            <w:pPr>
              <w:rPr>
                <w:sz w:val="18"/>
                <w:szCs w:val="18"/>
              </w:rPr>
            </w:pPr>
            <w:r>
              <w:rPr>
                <w:sz w:val="18"/>
                <w:szCs w:val="18"/>
              </w:rPr>
              <w:t>44</w:t>
            </w:r>
          </w:p>
        </w:tc>
        <w:tc>
          <w:tcPr>
            <w:tcW w:w="567" w:type="dxa"/>
            <w:tcBorders>
              <w:bottom w:val="single" w:color="auto" w:sz="4" w:space="0"/>
            </w:tcBorders>
          </w:tcPr>
          <w:p>
            <w:pPr>
              <w:rPr>
                <w:sz w:val="18"/>
                <w:szCs w:val="18"/>
              </w:rPr>
            </w:pPr>
            <w:r>
              <w:rPr>
                <w:sz w:val="18"/>
                <w:szCs w:val="18"/>
              </w:rPr>
              <w:t>20</w:t>
            </w:r>
          </w:p>
        </w:tc>
        <w:tc>
          <w:tcPr>
            <w:tcW w:w="599" w:type="dxa"/>
            <w:tcBorders>
              <w:bottom w:val="single" w:color="auto" w:sz="4" w:space="0"/>
            </w:tcBorders>
          </w:tcPr>
          <w:p>
            <w:pPr>
              <w:rPr>
                <w:sz w:val="18"/>
                <w:szCs w:val="18"/>
              </w:rPr>
            </w:pPr>
            <w:r>
              <w:rPr>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GG111006</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710" w:type="dxa"/>
            <w:tcBorders>
              <w:bottom w:val="single" w:color="auto" w:sz="4" w:space="0"/>
            </w:tcBorders>
          </w:tcPr>
          <w:p>
            <w:pPr>
              <w:rPr>
                <w:sz w:val="18"/>
                <w:szCs w:val="18"/>
              </w:rPr>
            </w:pPr>
            <w:r>
              <w:rPr>
                <w:sz w:val="18"/>
                <w:szCs w:val="18"/>
              </w:rPr>
              <w:t>64</w:t>
            </w:r>
          </w:p>
        </w:tc>
        <w:tc>
          <w:tcPr>
            <w:tcW w:w="569" w:type="dxa"/>
            <w:tcBorders>
              <w:bottom w:val="single" w:color="auto" w:sz="4" w:space="0"/>
            </w:tcBorders>
          </w:tcPr>
          <w:p>
            <w:pPr>
              <w:rPr>
                <w:sz w:val="18"/>
                <w:szCs w:val="18"/>
              </w:rPr>
            </w:pPr>
            <w:r>
              <w:rPr>
                <w:sz w:val="18"/>
                <w:szCs w:val="18"/>
              </w:rPr>
              <w:t>32</w:t>
            </w:r>
          </w:p>
        </w:tc>
        <w:tc>
          <w:tcPr>
            <w:tcW w:w="567" w:type="dxa"/>
            <w:tcBorders>
              <w:bottom w:val="single" w:color="auto" w:sz="4" w:space="0"/>
            </w:tcBorders>
          </w:tcPr>
          <w:p>
            <w:pPr>
              <w:rPr>
                <w:sz w:val="18"/>
                <w:szCs w:val="18"/>
              </w:rPr>
            </w:pPr>
            <w:r>
              <w:rPr>
                <w:sz w:val="18"/>
                <w:szCs w:val="18"/>
              </w:rPr>
              <w:t>32</w:t>
            </w:r>
          </w:p>
        </w:tc>
        <w:tc>
          <w:tcPr>
            <w:tcW w:w="599" w:type="dxa"/>
            <w:tcBorders>
              <w:bottom w:val="single" w:color="auto" w:sz="4" w:space="0"/>
            </w:tcBorders>
          </w:tcPr>
          <w:p>
            <w:pPr>
              <w:rPr>
                <w:sz w:val="18"/>
                <w:szCs w:val="18"/>
              </w:rPr>
            </w:pPr>
            <w:r>
              <w:rPr>
                <w:sz w:val="18"/>
                <w:szCs w:val="18"/>
              </w:rPr>
              <w:t>4</w:t>
            </w:r>
          </w:p>
        </w:tc>
        <w:tc>
          <w:tcPr>
            <w:tcW w:w="776" w:type="dxa"/>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GG111017</w:t>
            </w:r>
          </w:p>
        </w:tc>
        <w:tc>
          <w:tcPr>
            <w:tcW w:w="2271" w:type="dxa"/>
            <w:vAlign w:val="center"/>
          </w:tcPr>
          <w:p>
            <w:pPr>
              <w:jc w:val="center"/>
              <w:rPr>
                <w:rFonts w:ascii="Times New Roman" w:hAnsi="Times New Roman"/>
                <w:bCs/>
                <w:sz w:val="18"/>
                <w:szCs w:val="18"/>
              </w:rPr>
            </w:pPr>
            <w:r>
              <w:rPr>
                <w:rFonts w:hint="eastAsia" w:ascii="Times New Roman" w:hAnsi="Times New Roman"/>
                <w:spacing w:val="-20"/>
                <w:sz w:val="18"/>
                <w:szCs w:val="18"/>
              </w:rPr>
              <w:t>中华传统文化</w:t>
            </w:r>
          </w:p>
        </w:tc>
        <w:tc>
          <w:tcPr>
            <w:tcW w:w="710" w:type="dxa"/>
            <w:tcBorders>
              <w:bottom w:val="single" w:color="auto" w:sz="4" w:space="0"/>
            </w:tcBorders>
          </w:tcPr>
          <w:p>
            <w:pPr>
              <w:rPr>
                <w:sz w:val="18"/>
                <w:szCs w:val="18"/>
              </w:rPr>
            </w:pPr>
            <w:r>
              <w:rPr>
                <w:sz w:val="18"/>
                <w:szCs w:val="18"/>
              </w:rPr>
              <w:t>32</w:t>
            </w:r>
          </w:p>
        </w:tc>
        <w:tc>
          <w:tcPr>
            <w:tcW w:w="569" w:type="dxa"/>
            <w:tcBorders>
              <w:bottom w:val="single" w:color="auto" w:sz="4" w:space="0"/>
            </w:tcBorders>
          </w:tcPr>
          <w:p>
            <w:pPr>
              <w:rPr>
                <w:sz w:val="18"/>
                <w:szCs w:val="18"/>
              </w:rPr>
            </w:pPr>
            <w:r>
              <w:rPr>
                <w:sz w:val="18"/>
                <w:szCs w:val="18"/>
              </w:rPr>
              <w:t>32</w:t>
            </w:r>
          </w:p>
        </w:tc>
        <w:tc>
          <w:tcPr>
            <w:tcW w:w="567" w:type="dxa"/>
            <w:tcBorders>
              <w:bottom w:val="single" w:color="auto" w:sz="4" w:space="0"/>
            </w:tcBorders>
          </w:tcPr>
          <w:p>
            <w:pPr>
              <w:rPr>
                <w:sz w:val="18"/>
                <w:szCs w:val="18"/>
              </w:rPr>
            </w:pPr>
          </w:p>
        </w:tc>
        <w:tc>
          <w:tcPr>
            <w:tcW w:w="599" w:type="dxa"/>
            <w:tcBorders>
              <w:bottom w:val="single" w:color="auto" w:sz="4" w:space="0"/>
            </w:tcBorders>
          </w:tcPr>
          <w:p>
            <w:pPr>
              <w:rPr>
                <w:sz w:val="18"/>
                <w:szCs w:val="18"/>
              </w:rPr>
            </w:pPr>
            <w:r>
              <w:rPr>
                <w:sz w:val="18"/>
                <w:szCs w:val="18"/>
              </w:rPr>
              <w:t>2</w:t>
            </w:r>
          </w:p>
        </w:tc>
        <w:tc>
          <w:tcPr>
            <w:tcW w:w="77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GG111025~ GG111028</w:t>
            </w:r>
          </w:p>
        </w:tc>
        <w:tc>
          <w:tcPr>
            <w:tcW w:w="2271" w:type="dxa"/>
            <w:vAlign w:val="center"/>
          </w:tcPr>
          <w:p>
            <w:pPr>
              <w:jc w:val="center"/>
              <w:rPr>
                <w:rFonts w:ascii="Times New Roman" w:hAnsi="Times New Roman"/>
                <w:bCs/>
                <w:sz w:val="18"/>
                <w:szCs w:val="18"/>
              </w:rPr>
            </w:pPr>
            <w:r>
              <w:rPr>
                <w:rFonts w:hint="eastAsia" w:ascii="Times New Roman" w:hAnsi="Times New Roman"/>
                <w:spacing w:val="-20"/>
                <w:sz w:val="18"/>
                <w:szCs w:val="18"/>
              </w:rPr>
              <w:t>劳动教育</w:t>
            </w:r>
          </w:p>
        </w:tc>
        <w:tc>
          <w:tcPr>
            <w:tcW w:w="710" w:type="dxa"/>
            <w:tcBorders>
              <w:bottom w:val="single" w:color="auto" w:sz="4" w:space="0"/>
            </w:tcBorders>
          </w:tcPr>
          <w:p>
            <w:pPr>
              <w:rPr>
                <w:sz w:val="18"/>
                <w:szCs w:val="18"/>
              </w:rPr>
            </w:pPr>
            <w:r>
              <w:rPr>
                <w:sz w:val="18"/>
                <w:szCs w:val="18"/>
              </w:rPr>
              <w:t>32</w:t>
            </w:r>
          </w:p>
        </w:tc>
        <w:tc>
          <w:tcPr>
            <w:tcW w:w="569" w:type="dxa"/>
            <w:tcBorders>
              <w:bottom w:val="single" w:color="auto" w:sz="4" w:space="0"/>
            </w:tcBorders>
          </w:tcPr>
          <w:p>
            <w:pPr>
              <w:rPr>
                <w:sz w:val="18"/>
                <w:szCs w:val="18"/>
              </w:rPr>
            </w:pPr>
          </w:p>
        </w:tc>
        <w:tc>
          <w:tcPr>
            <w:tcW w:w="567" w:type="dxa"/>
            <w:tcBorders>
              <w:bottom w:val="single" w:color="auto" w:sz="4" w:space="0"/>
            </w:tcBorders>
          </w:tcPr>
          <w:p>
            <w:pPr>
              <w:rPr>
                <w:sz w:val="18"/>
                <w:szCs w:val="18"/>
              </w:rPr>
            </w:pPr>
            <w:r>
              <w:rPr>
                <w:sz w:val="18"/>
                <w:szCs w:val="18"/>
              </w:rPr>
              <w:t>32</w:t>
            </w:r>
          </w:p>
        </w:tc>
        <w:tc>
          <w:tcPr>
            <w:tcW w:w="599" w:type="dxa"/>
            <w:tcBorders>
              <w:bottom w:val="single" w:color="auto" w:sz="4" w:space="0"/>
            </w:tcBorders>
          </w:tcPr>
          <w:p>
            <w:pPr>
              <w:rPr>
                <w:sz w:val="18"/>
                <w:szCs w:val="18"/>
              </w:rPr>
            </w:pPr>
            <w:r>
              <w:rPr>
                <w:sz w:val="18"/>
                <w:szCs w:val="18"/>
              </w:rPr>
              <w:t>2</w:t>
            </w:r>
          </w:p>
        </w:tc>
        <w:tc>
          <w:tcPr>
            <w:tcW w:w="3105" w:type="dxa"/>
            <w:gridSpan w:val="5"/>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GG111018</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高等数学（一）</w:t>
            </w:r>
          </w:p>
        </w:tc>
        <w:tc>
          <w:tcPr>
            <w:tcW w:w="710" w:type="dxa"/>
            <w:tcBorders>
              <w:bottom w:val="single" w:color="auto" w:sz="4" w:space="0"/>
            </w:tcBorders>
          </w:tcPr>
          <w:p>
            <w:pPr>
              <w:rPr>
                <w:sz w:val="18"/>
                <w:szCs w:val="18"/>
              </w:rPr>
            </w:pPr>
            <w:r>
              <w:rPr>
                <w:sz w:val="18"/>
                <w:szCs w:val="18"/>
              </w:rPr>
              <w:t>64</w:t>
            </w:r>
          </w:p>
        </w:tc>
        <w:tc>
          <w:tcPr>
            <w:tcW w:w="569" w:type="dxa"/>
            <w:tcBorders>
              <w:bottom w:val="single" w:color="auto" w:sz="4" w:space="0"/>
            </w:tcBorders>
          </w:tcPr>
          <w:p>
            <w:pPr>
              <w:rPr>
                <w:sz w:val="18"/>
                <w:szCs w:val="18"/>
              </w:rPr>
            </w:pPr>
            <w:r>
              <w:rPr>
                <w:sz w:val="18"/>
                <w:szCs w:val="18"/>
              </w:rPr>
              <w:t>56</w:t>
            </w:r>
          </w:p>
        </w:tc>
        <w:tc>
          <w:tcPr>
            <w:tcW w:w="567" w:type="dxa"/>
            <w:tcBorders>
              <w:bottom w:val="single" w:color="auto" w:sz="4" w:space="0"/>
            </w:tcBorders>
          </w:tcPr>
          <w:p>
            <w:pPr>
              <w:rPr>
                <w:sz w:val="18"/>
                <w:szCs w:val="18"/>
              </w:rPr>
            </w:pPr>
            <w:r>
              <w:rPr>
                <w:sz w:val="18"/>
                <w:szCs w:val="18"/>
              </w:rPr>
              <w:t>8</w:t>
            </w:r>
          </w:p>
        </w:tc>
        <w:tc>
          <w:tcPr>
            <w:tcW w:w="599" w:type="dxa"/>
            <w:tcBorders>
              <w:bottom w:val="single" w:color="auto" w:sz="4" w:space="0"/>
            </w:tcBorders>
          </w:tcPr>
          <w:p>
            <w:pPr>
              <w:rPr>
                <w:sz w:val="18"/>
                <w:szCs w:val="18"/>
              </w:rPr>
            </w:pPr>
            <w:r>
              <w:rPr>
                <w:sz w:val="18"/>
                <w:szCs w:val="18"/>
              </w:rPr>
              <w:t>4</w:t>
            </w:r>
          </w:p>
        </w:tc>
        <w:tc>
          <w:tcPr>
            <w:tcW w:w="77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2123" w:type="dxa"/>
            <w:gridSpan w:val="2"/>
            <w:vAlign w:val="center"/>
          </w:tcPr>
          <w:p>
            <w:pPr>
              <w:jc w:val="center"/>
              <w:rPr>
                <w:rFonts w:ascii="微软雅黑" w:hAnsi="微软雅黑" w:eastAsia="微软雅黑" w:cs="Segoe UI"/>
                <w:sz w:val="18"/>
                <w:szCs w:val="18"/>
              </w:rPr>
            </w:pPr>
            <w:r>
              <w:rPr>
                <w:rFonts w:hint="eastAsia" w:ascii="微软雅黑" w:hAnsi="微软雅黑" w:eastAsia="微软雅黑" w:cs="Segoe UI"/>
                <w:sz w:val="18"/>
                <w:szCs w:val="18"/>
              </w:rPr>
              <w:t>GG111019</w:t>
            </w:r>
          </w:p>
        </w:tc>
        <w:tc>
          <w:tcPr>
            <w:tcW w:w="2271"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高等数学（二）</w:t>
            </w:r>
          </w:p>
        </w:tc>
        <w:tc>
          <w:tcPr>
            <w:tcW w:w="710" w:type="dxa"/>
            <w:tcBorders>
              <w:bottom w:val="single" w:color="auto" w:sz="4" w:space="0"/>
            </w:tcBorders>
          </w:tcPr>
          <w:p>
            <w:pPr>
              <w:rPr>
                <w:sz w:val="18"/>
                <w:szCs w:val="18"/>
              </w:rPr>
            </w:pPr>
            <w:r>
              <w:rPr>
                <w:sz w:val="18"/>
                <w:szCs w:val="18"/>
              </w:rPr>
              <w:t>32</w:t>
            </w:r>
          </w:p>
        </w:tc>
        <w:tc>
          <w:tcPr>
            <w:tcW w:w="569" w:type="dxa"/>
            <w:tcBorders>
              <w:bottom w:val="single" w:color="auto" w:sz="4" w:space="0"/>
            </w:tcBorders>
          </w:tcPr>
          <w:p>
            <w:pPr>
              <w:rPr>
                <w:sz w:val="18"/>
                <w:szCs w:val="18"/>
              </w:rPr>
            </w:pPr>
            <w:r>
              <w:rPr>
                <w:sz w:val="18"/>
                <w:szCs w:val="18"/>
              </w:rPr>
              <w:t>24</w:t>
            </w:r>
          </w:p>
        </w:tc>
        <w:tc>
          <w:tcPr>
            <w:tcW w:w="567" w:type="dxa"/>
            <w:tcBorders>
              <w:bottom w:val="single" w:color="auto" w:sz="4" w:space="0"/>
            </w:tcBorders>
          </w:tcPr>
          <w:p>
            <w:pPr>
              <w:rPr>
                <w:sz w:val="18"/>
                <w:szCs w:val="18"/>
              </w:rPr>
            </w:pPr>
            <w:r>
              <w:rPr>
                <w:sz w:val="18"/>
                <w:szCs w:val="18"/>
              </w:rPr>
              <w:t>8</w:t>
            </w:r>
          </w:p>
        </w:tc>
        <w:tc>
          <w:tcPr>
            <w:tcW w:w="599" w:type="dxa"/>
            <w:tcBorders>
              <w:bottom w:val="single" w:color="auto" w:sz="4" w:space="0"/>
            </w:tcBorders>
          </w:tcPr>
          <w:p>
            <w:pPr>
              <w:rPr>
                <w:sz w:val="18"/>
                <w:szCs w:val="18"/>
              </w:rPr>
            </w:pPr>
            <w:r>
              <w:rPr>
                <w:sz w:val="18"/>
                <w:szCs w:val="18"/>
              </w:rPr>
              <w:t>2</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775" w:type="dxa"/>
            <w:vAlign w:val="center"/>
          </w:tcPr>
          <w:p>
            <w:pPr>
              <w:jc w:val="center"/>
              <w:rPr>
                <w:rFonts w:ascii="Times New Roman" w:hAnsi="Times New Roman"/>
                <w:spacing w:val="-20"/>
                <w:sz w:val="18"/>
                <w:szCs w:val="18"/>
              </w:rPr>
            </w:pPr>
          </w:p>
        </w:tc>
        <w:tc>
          <w:tcPr>
            <w:tcW w:w="779" w:type="dxa"/>
            <w:vAlign w:val="center"/>
          </w:tcPr>
          <w:p>
            <w:pPr>
              <w:jc w:val="center"/>
              <w:rPr>
                <w:rFonts w:ascii="Times New Roman" w:hAnsi="Times New Roman"/>
                <w:spacing w:val="-20"/>
                <w:sz w:val="18"/>
                <w:szCs w:val="18"/>
              </w:rPr>
            </w:pPr>
          </w:p>
        </w:tc>
        <w:tc>
          <w:tcPr>
            <w:tcW w:w="774" w:type="dxa"/>
            <w:vAlign w:val="center"/>
          </w:tcPr>
          <w:p>
            <w:pPr>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6" w:type="dxa"/>
            <w:vMerge w:val="continue"/>
            <w:vAlign w:val="center"/>
          </w:tcPr>
          <w:p>
            <w:pPr>
              <w:autoSpaceDE w:val="0"/>
              <w:autoSpaceDN w:val="0"/>
              <w:jc w:val="center"/>
              <w:rPr>
                <w:rFonts w:ascii="Times New Roman" w:hAnsi="Times New Roman"/>
                <w:bCs/>
                <w:sz w:val="24"/>
                <w:szCs w:val="24"/>
              </w:rPr>
            </w:pPr>
          </w:p>
        </w:tc>
        <w:tc>
          <w:tcPr>
            <w:tcW w:w="4394"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1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7</w:t>
            </w:r>
            <w:r>
              <w:rPr>
                <w:rFonts w:ascii="Times New Roman" w:hAnsi="Times New Roman"/>
                <w:b/>
                <w:bCs/>
                <w:kern w:val="0"/>
                <w:sz w:val="18"/>
                <w:szCs w:val="18"/>
              </w:rPr>
              <w:t>20</w:t>
            </w:r>
          </w:p>
        </w:tc>
        <w:tc>
          <w:tcPr>
            <w:tcW w:w="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4</w:t>
            </w:r>
            <w:r>
              <w:rPr>
                <w:rFonts w:ascii="Times New Roman" w:hAnsi="Times New Roman"/>
                <w:b/>
                <w:bCs/>
                <w:kern w:val="0"/>
                <w:sz w:val="18"/>
                <w:szCs w:val="18"/>
              </w:rPr>
              <w:t>66</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w:t>
            </w:r>
            <w:r>
              <w:rPr>
                <w:rFonts w:ascii="Times New Roman" w:hAnsi="Times New Roman"/>
                <w:b/>
                <w:bCs/>
                <w:kern w:val="0"/>
                <w:sz w:val="18"/>
                <w:szCs w:val="18"/>
              </w:rPr>
              <w:t>54</w:t>
            </w:r>
          </w:p>
        </w:tc>
        <w:tc>
          <w:tcPr>
            <w:tcW w:w="599" w:type="dxa"/>
            <w:tcBorders>
              <w:top w:val="single" w:color="auto" w:sz="4" w:space="0"/>
              <w:left w:val="single" w:color="auto" w:sz="4" w:space="0"/>
              <w:bottom w:val="single" w:color="auto" w:sz="4" w:space="0"/>
              <w:right w:val="nil"/>
            </w:tcBorders>
            <w:shd w:val="clear" w:color="auto" w:fill="auto"/>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4</w:t>
            </w:r>
            <w:r>
              <w:rPr>
                <w:rFonts w:ascii="Times New Roman" w:hAnsi="Times New Roman"/>
                <w:b/>
                <w:bCs/>
                <w:kern w:val="0"/>
                <w:sz w:val="18"/>
                <w:szCs w:val="18"/>
              </w:rPr>
              <w:t>4</w:t>
            </w:r>
          </w:p>
        </w:tc>
        <w:tc>
          <w:tcPr>
            <w:tcW w:w="776" w:type="dxa"/>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w:t>
            </w:r>
            <w:r>
              <w:rPr>
                <w:rFonts w:ascii="Times New Roman" w:hAnsi="Times New Roman"/>
                <w:b/>
                <w:bCs/>
                <w:kern w:val="0"/>
                <w:sz w:val="18"/>
                <w:szCs w:val="18"/>
              </w:rPr>
              <w:t>0</w:t>
            </w:r>
          </w:p>
        </w:tc>
        <w:tc>
          <w:tcPr>
            <w:tcW w:w="775" w:type="dxa"/>
            <w:gridSpan w:val="2"/>
          </w:tcPr>
          <w:p>
            <w:pPr>
              <w:widowControl/>
              <w:jc w:val="center"/>
              <w:textAlignment w:val="center"/>
              <w:rPr>
                <w:rFonts w:ascii="Times New Roman" w:hAnsi="Times New Roman"/>
                <w:b/>
                <w:bCs/>
                <w:kern w:val="0"/>
                <w:sz w:val="18"/>
                <w:szCs w:val="18"/>
              </w:rPr>
            </w:pPr>
            <w:r>
              <w:rPr>
                <w:rFonts w:ascii="Times New Roman" w:hAnsi="Times New Roman"/>
                <w:b/>
                <w:bCs/>
                <w:kern w:val="0"/>
                <w:sz w:val="18"/>
                <w:szCs w:val="18"/>
              </w:rPr>
              <w:t>10</w:t>
            </w:r>
          </w:p>
        </w:tc>
        <w:tc>
          <w:tcPr>
            <w:tcW w:w="775" w:type="dxa"/>
          </w:tcPr>
          <w:p>
            <w:pPr>
              <w:widowControl/>
              <w:jc w:val="center"/>
              <w:textAlignment w:val="center"/>
              <w:rPr>
                <w:rFonts w:ascii="Times New Roman" w:hAnsi="Times New Roman"/>
                <w:b/>
                <w:bCs/>
                <w:kern w:val="0"/>
                <w:sz w:val="18"/>
                <w:szCs w:val="18"/>
              </w:rPr>
            </w:pPr>
            <w:r>
              <w:rPr>
                <w:rFonts w:ascii="Times New Roman" w:hAnsi="Times New Roman"/>
                <w:b/>
                <w:bCs/>
                <w:kern w:val="0"/>
                <w:sz w:val="18"/>
                <w:szCs w:val="18"/>
              </w:rPr>
              <w:t>6</w:t>
            </w:r>
          </w:p>
        </w:tc>
        <w:tc>
          <w:tcPr>
            <w:tcW w:w="779" w:type="dxa"/>
          </w:tcPr>
          <w:p>
            <w:pPr>
              <w:widowControl/>
              <w:jc w:val="center"/>
              <w:textAlignment w:val="center"/>
              <w:rPr>
                <w:rFonts w:ascii="Times New Roman" w:hAnsi="Times New Roman"/>
                <w:b/>
                <w:bCs/>
                <w:kern w:val="0"/>
                <w:sz w:val="18"/>
                <w:szCs w:val="18"/>
              </w:rPr>
            </w:pPr>
            <w:r>
              <w:rPr>
                <w:rFonts w:ascii="Times New Roman" w:hAnsi="Times New Roman"/>
                <w:b/>
                <w:bCs/>
                <w:kern w:val="0"/>
                <w:sz w:val="18"/>
                <w:szCs w:val="18"/>
              </w:rPr>
              <w:t>2</w:t>
            </w:r>
          </w:p>
        </w:tc>
        <w:tc>
          <w:tcPr>
            <w:tcW w:w="774" w:type="dxa"/>
          </w:tcPr>
          <w:p/>
        </w:tc>
        <w:tc>
          <w:tcPr>
            <w:tcW w:w="783" w:type="dxa"/>
          </w:tcPr>
          <w:p/>
        </w:tc>
        <w:tc>
          <w:tcPr>
            <w:tcW w:w="549"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sz w:val="18"/>
                <w:szCs w:val="18"/>
              </w:rPr>
            </w:pPr>
          </w:p>
        </w:tc>
        <w:tc>
          <w:tcPr>
            <w:tcW w:w="566"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基础课程</w:t>
            </w: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QJZ121001</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建筑工程制图</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ascii="Times New Roman" w:hAnsi="Times New Roman"/>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w:t>
            </w:r>
          </w:p>
        </w:tc>
        <w:tc>
          <w:tcPr>
            <w:tcW w:w="776"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9"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QJZ121002</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建筑材料与检测</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48</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16</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w:t>
            </w:r>
          </w:p>
        </w:tc>
        <w:tc>
          <w:tcPr>
            <w:tcW w:w="776"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QJZ121003</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建筑构造与识图</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QJZ121006</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建筑CAD</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40</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w:t>
            </w:r>
            <w:r>
              <w:rPr>
                <w:rFonts w:hint="eastAsia" w:ascii="微软雅黑" w:hAnsi="微软雅黑" w:eastAsia="微软雅黑"/>
                <w:sz w:val="18"/>
                <w:szCs w:val="18"/>
              </w:rPr>
              <w:t>2</w:t>
            </w:r>
            <w:r>
              <w:rPr>
                <w:rFonts w:ascii="微软雅黑" w:hAnsi="微软雅黑" w:eastAsia="微软雅黑"/>
                <w:sz w:val="18"/>
                <w:szCs w:val="18"/>
              </w:rPr>
              <w:t>1</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建筑工程测量</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QJZ121005</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BIM建模及应用基础</w:t>
            </w:r>
          </w:p>
        </w:tc>
        <w:tc>
          <w:tcPr>
            <w:tcW w:w="710" w:type="dxa"/>
            <w:vAlign w:val="center"/>
          </w:tcPr>
          <w:p>
            <w:pPr>
              <w:jc w:val="center"/>
              <w:rPr>
                <w:rFonts w:ascii="Times New Roman" w:hAnsi="Times New Roman" w:eastAsiaTheme="minorEastAsia"/>
                <w:spacing w:val="-20"/>
                <w:sz w:val="18"/>
                <w:szCs w:val="18"/>
              </w:rPr>
            </w:pPr>
            <w:r>
              <w:rPr>
                <w:rFonts w:ascii="Times New Roman" w:hAnsi="Times New Roman"/>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ascii="Times New Roman" w:hAnsi="Times New Roman"/>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ascii="Times New Roman" w:hAnsi="Times New Roman"/>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eastAsiaTheme="minorEastAsia"/>
                <w:spacing w:val="-20"/>
                <w:sz w:val="18"/>
                <w:szCs w:val="18"/>
              </w:rPr>
            </w:pPr>
          </w:p>
        </w:tc>
        <w:tc>
          <w:tcPr>
            <w:tcW w:w="775" w:type="dxa"/>
            <w:vAlign w:val="center"/>
          </w:tcPr>
          <w:p>
            <w:pPr>
              <w:ind w:right="280"/>
              <w:jc w:val="center"/>
              <w:rPr>
                <w:rFonts w:ascii="Times New Roman" w:hAnsi="Times New Roman"/>
                <w:spacing w:val="-20"/>
                <w:sz w:val="18"/>
                <w:szCs w:val="18"/>
              </w:rPr>
            </w:pPr>
            <w:r>
              <w:rPr>
                <w:rFonts w:hint="eastAsia" w:ascii="Times New Roman" w:hAnsi="Times New Roman"/>
                <w:spacing w:val="-20"/>
                <w:sz w:val="18"/>
                <w:szCs w:val="18"/>
              </w:rPr>
              <w:t>4</w:t>
            </w: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w:t>
            </w:r>
            <w:r>
              <w:rPr>
                <w:rFonts w:hint="eastAsia" w:ascii="微软雅黑" w:hAnsi="微软雅黑" w:eastAsia="微软雅黑"/>
                <w:sz w:val="18"/>
                <w:szCs w:val="18"/>
              </w:rPr>
              <w:t>2</w:t>
            </w:r>
            <w:r>
              <w:rPr>
                <w:rFonts w:ascii="微软雅黑" w:hAnsi="微软雅黑" w:eastAsia="微软雅黑"/>
                <w:sz w:val="18"/>
                <w:szCs w:val="18"/>
              </w:rPr>
              <w:t>2</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建筑力学与结构</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52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12</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10"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448</w:t>
            </w:r>
          </w:p>
        </w:tc>
        <w:tc>
          <w:tcPr>
            <w:tcW w:w="56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232</w:t>
            </w:r>
          </w:p>
        </w:tc>
        <w:tc>
          <w:tcPr>
            <w:tcW w:w="567"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216</w:t>
            </w:r>
          </w:p>
        </w:tc>
        <w:tc>
          <w:tcPr>
            <w:tcW w:w="59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28</w:t>
            </w:r>
          </w:p>
        </w:tc>
        <w:tc>
          <w:tcPr>
            <w:tcW w:w="776"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4</w:t>
            </w:r>
          </w:p>
        </w:tc>
        <w:tc>
          <w:tcPr>
            <w:tcW w:w="775" w:type="dxa"/>
            <w:gridSpan w:val="2"/>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12</w:t>
            </w:r>
          </w:p>
        </w:tc>
        <w:tc>
          <w:tcPr>
            <w:tcW w:w="775" w:type="dxa"/>
            <w:vAlign w:val="center"/>
          </w:tcPr>
          <w:p>
            <w:pPr>
              <w:widowControl/>
              <w:jc w:val="center"/>
              <w:textAlignment w:val="center"/>
              <w:rPr>
                <w:rFonts w:ascii="Times New Roman" w:hAnsi="Times New Roman"/>
                <w:b/>
                <w:bCs/>
                <w:kern w:val="0"/>
                <w:sz w:val="18"/>
                <w:szCs w:val="18"/>
              </w:rPr>
            </w:pPr>
            <w:r>
              <w:rPr>
                <w:rFonts w:ascii="Times New Roman" w:hAnsi="Times New Roman"/>
                <w:b/>
                <w:bCs/>
                <w:kern w:val="0"/>
                <w:sz w:val="18"/>
                <w:szCs w:val="18"/>
              </w:rPr>
              <w:t>8</w:t>
            </w:r>
          </w:p>
        </w:tc>
        <w:tc>
          <w:tcPr>
            <w:tcW w:w="779" w:type="dxa"/>
            <w:vAlign w:val="center"/>
          </w:tcPr>
          <w:p>
            <w:pPr>
              <w:widowControl/>
              <w:jc w:val="center"/>
              <w:textAlignment w:val="center"/>
              <w:rPr>
                <w:rFonts w:ascii="Times New Roman" w:hAnsi="Times New Roman"/>
                <w:b/>
                <w:bCs/>
                <w:kern w:val="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6"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核心课程</w:t>
            </w: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QJZ121008</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工程招投标与合同管理</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eastAsia="等线"/>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eastAsia="等线"/>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eastAsia="等线"/>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eastAsia="等线"/>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eastAsiaTheme="minorEastAsia"/>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4</w:t>
            </w: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QJZ121009</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建筑施工技术</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96</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48</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48</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eastAsiaTheme="minorEastAsia"/>
                <w:spacing w:val="-20"/>
                <w:sz w:val="18"/>
                <w:szCs w:val="18"/>
              </w:rPr>
            </w:pPr>
            <w:r>
              <w:rPr>
                <w:rFonts w:hint="eastAsia" w:ascii="Times New Roman" w:hAnsi="Times New Roman"/>
                <w:spacing w:val="-20"/>
                <w:sz w:val="18"/>
                <w:szCs w:val="18"/>
              </w:rPr>
              <w:t xml:space="preserve"> 6</w:t>
            </w: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QJZ12101</w:t>
            </w:r>
            <w:r>
              <w:rPr>
                <w:rFonts w:hint="eastAsia" w:ascii="微软雅黑" w:hAnsi="微软雅黑" w:eastAsia="微软雅黑"/>
                <w:sz w:val="18"/>
                <w:szCs w:val="18"/>
              </w:rPr>
              <w:t>7</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建筑施工组织与管理</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96</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48</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48</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eastAsiaTheme="minorEastAsia"/>
                <w:spacing w:val="-20"/>
                <w:sz w:val="18"/>
                <w:szCs w:val="18"/>
              </w:rPr>
            </w:pPr>
          </w:p>
        </w:tc>
        <w:tc>
          <w:tcPr>
            <w:tcW w:w="779" w:type="dxa"/>
            <w:vAlign w:val="center"/>
          </w:tcPr>
          <w:p>
            <w:pPr>
              <w:ind w:right="280"/>
              <w:jc w:val="center"/>
              <w:rPr>
                <w:rFonts w:ascii="Times New Roman" w:hAnsi="Times New Roman"/>
                <w:spacing w:val="-20"/>
                <w:sz w:val="18"/>
                <w:szCs w:val="18"/>
              </w:rPr>
            </w:pPr>
            <w:r>
              <w:rPr>
                <w:rFonts w:hint="eastAsia" w:ascii="Times New Roman" w:hAnsi="Times New Roman"/>
                <w:spacing w:val="-20"/>
                <w:sz w:val="18"/>
                <w:szCs w:val="18"/>
              </w:rPr>
              <w:t>6</w:t>
            </w: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w:t>
            </w:r>
            <w:r>
              <w:rPr>
                <w:rFonts w:hint="eastAsia" w:ascii="微软雅黑" w:hAnsi="微软雅黑" w:eastAsia="微软雅黑"/>
                <w:sz w:val="18"/>
                <w:szCs w:val="18"/>
              </w:rPr>
              <w:t>2</w:t>
            </w:r>
            <w:r>
              <w:rPr>
                <w:rFonts w:ascii="微软雅黑" w:hAnsi="微软雅黑" w:eastAsia="微软雅黑"/>
                <w:sz w:val="18"/>
                <w:szCs w:val="18"/>
              </w:rPr>
              <w:t>3</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土力学与地基基础</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48</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16</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eastAsiaTheme="minorEastAsia"/>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4</w:t>
            </w: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QJZ12101</w:t>
            </w:r>
            <w:r>
              <w:rPr>
                <w:rFonts w:hint="eastAsia" w:ascii="微软雅黑" w:hAnsi="微软雅黑" w:eastAsia="微软雅黑"/>
                <w:sz w:val="18"/>
                <w:szCs w:val="18"/>
              </w:rPr>
              <w:t>8</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建筑设备与识图</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eastAsiaTheme="minorEastAsia"/>
                <w:spacing w:val="-20"/>
                <w:sz w:val="18"/>
                <w:szCs w:val="18"/>
              </w:rPr>
            </w:pPr>
          </w:p>
        </w:tc>
        <w:tc>
          <w:tcPr>
            <w:tcW w:w="779" w:type="dxa"/>
            <w:vAlign w:val="center"/>
          </w:tcPr>
          <w:p>
            <w:pPr>
              <w:ind w:right="280"/>
              <w:jc w:val="center"/>
              <w:rPr>
                <w:rFonts w:ascii="Times New Roman" w:hAnsi="Times New Roman"/>
                <w:spacing w:val="-20"/>
                <w:sz w:val="18"/>
                <w:szCs w:val="18"/>
              </w:rPr>
            </w:pPr>
            <w:r>
              <w:rPr>
                <w:rFonts w:hint="eastAsia" w:ascii="Times New Roman" w:hAnsi="Times New Roman"/>
                <w:spacing w:val="-20"/>
                <w:sz w:val="18"/>
                <w:szCs w:val="18"/>
              </w:rPr>
              <w:t>4</w:t>
            </w: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QJZ121014</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建筑工程项目管理</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eastAsiaTheme="minorEastAsia"/>
                <w:spacing w:val="-20"/>
                <w:sz w:val="18"/>
                <w:szCs w:val="18"/>
              </w:rPr>
            </w:pPr>
            <w:r>
              <w:rPr>
                <w:rFonts w:hint="eastAsia" w:ascii="Times New Roman" w:hAnsi="Times New Roman" w:eastAsiaTheme="minorEastAsia"/>
                <w:spacing w:val="-20"/>
                <w:sz w:val="18"/>
                <w:szCs w:val="18"/>
              </w:rPr>
              <w:t>4</w:t>
            </w: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r>
              <w:rPr>
                <w:rFonts w:ascii="微软雅黑" w:hAnsi="微软雅黑" w:eastAsia="微软雅黑"/>
                <w:sz w:val="18"/>
                <w:szCs w:val="18"/>
              </w:rPr>
              <w:t>QJZ1210</w:t>
            </w:r>
            <w:r>
              <w:rPr>
                <w:rFonts w:hint="eastAsia" w:ascii="微软雅黑" w:hAnsi="微软雅黑" w:eastAsia="微软雅黑"/>
                <w:sz w:val="18"/>
                <w:szCs w:val="18"/>
              </w:rPr>
              <w:t>20</w:t>
            </w:r>
          </w:p>
        </w:tc>
        <w:tc>
          <w:tcPr>
            <w:tcW w:w="2271" w:type="dxa"/>
            <w:vAlign w:val="center"/>
          </w:tcPr>
          <w:p>
            <w:pPr>
              <w:jc w:val="center"/>
              <w:rPr>
                <w:rFonts w:ascii="Times New Roman" w:hAnsi="Times New Roman"/>
                <w:bCs/>
                <w:sz w:val="18"/>
                <w:szCs w:val="18"/>
              </w:rPr>
            </w:pPr>
            <w:r>
              <w:rPr>
                <w:rFonts w:hint="eastAsia" w:ascii="Times New Roman" w:hAnsi="Times New Roman"/>
                <w:bCs/>
                <w:sz w:val="18"/>
                <w:szCs w:val="18"/>
              </w:rPr>
              <w:t>建筑工程计量与计价</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96</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48</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48</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w:t>
            </w:r>
          </w:p>
        </w:tc>
        <w:tc>
          <w:tcPr>
            <w:tcW w:w="776" w:type="dxa"/>
            <w:vAlign w:val="center"/>
          </w:tcPr>
          <w:p>
            <w:pPr>
              <w:jc w:val="center"/>
              <w:rPr>
                <w:rFonts w:ascii="Times New Roman" w:hAnsi="Times New Roman"/>
                <w:spacing w:val="-20"/>
                <w:sz w:val="18"/>
                <w:szCs w:val="18"/>
              </w:rPr>
            </w:pPr>
          </w:p>
        </w:tc>
        <w:tc>
          <w:tcPr>
            <w:tcW w:w="775" w:type="dxa"/>
            <w:gridSpan w:val="2"/>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eastAsiaTheme="minorEastAsia"/>
                <w:spacing w:val="-20"/>
                <w:sz w:val="18"/>
                <w:szCs w:val="18"/>
              </w:rPr>
            </w:pPr>
            <w:r>
              <w:rPr>
                <w:rFonts w:hint="eastAsia" w:ascii="Times New Roman" w:hAnsi="Times New Roman"/>
                <w:spacing w:val="-20"/>
                <w:sz w:val="18"/>
                <w:szCs w:val="18"/>
              </w:rPr>
              <w:t>6</w:t>
            </w: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10"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544</w:t>
            </w:r>
          </w:p>
        </w:tc>
        <w:tc>
          <w:tcPr>
            <w:tcW w:w="56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288</w:t>
            </w:r>
          </w:p>
        </w:tc>
        <w:tc>
          <w:tcPr>
            <w:tcW w:w="567"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256</w:t>
            </w:r>
          </w:p>
        </w:tc>
        <w:tc>
          <w:tcPr>
            <w:tcW w:w="59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34</w:t>
            </w:r>
          </w:p>
        </w:tc>
        <w:tc>
          <w:tcPr>
            <w:tcW w:w="776" w:type="dxa"/>
            <w:vAlign w:val="center"/>
          </w:tcPr>
          <w:p>
            <w:pPr>
              <w:widowControl/>
              <w:jc w:val="center"/>
              <w:textAlignment w:val="center"/>
              <w:rPr>
                <w:rFonts w:ascii="Times New Roman" w:hAnsi="Times New Roman"/>
                <w:b/>
                <w:bCs/>
                <w:kern w:val="0"/>
                <w:sz w:val="18"/>
                <w:szCs w:val="18"/>
              </w:rPr>
            </w:pPr>
          </w:p>
        </w:tc>
        <w:tc>
          <w:tcPr>
            <w:tcW w:w="775" w:type="dxa"/>
            <w:gridSpan w:val="2"/>
            <w:vAlign w:val="center"/>
          </w:tcPr>
          <w:p>
            <w:pPr>
              <w:widowControl/>
              <w:jc w:val="center"/>
              <w:textAlignment w:val="center"/>
              <w:rPr>
                <w:rFonts w:ascii="Times New Roman" w:hAnsi="Times New Roman"/>
                <w:b/>
                <w:bCs/>
                <w:kern w:val="0"/>
                <w:sz w:val="18"/>
                <w:szCs w:val="18"/>
              </w:rPr>
            </w:pPr>
          </w:p>
        </w:tc>
        <w:tc>
          <w:tcPr>
            <w:tcW w:w="775"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10</w:t>
            </w:r>
          </w:p>
        </w:tc>
        <w:tc>
          <w:tcPr>
            <w:tcW w:w="779" w:type="dxa"/>
            <w:vAlign w:val="center"/>
          </w:tcPr>
          <w:p>
            <w:pPr>
              <w:widowControl/>
              <w:jc w:val="center"/>
              <w:textAlignment w:val="center"/>
              <w:rPr>
                <w:rFonts w:ascii="Times New Roman" w:hAnsi="Times New Roman"/>
                <w:b/>
                <w:bCs/>
                <w:kern w:val="0"/>
                <w:sz w:val="18"/>
                <w:szCs w:val="18"/>
              </w:rPr>
            </w:pPr>
            <w:r>
              <w:rPr>
                <w:rFonts w:ascii="Times New Roman" w:hAnsi="Times New Roman"/>
                <w:b/>
                <w:bCs/>
                <w:kern w:val="0"/>
                <w:sz w:val="18"/>
                <w:szCs w:val="18"/>
              </w:rPr>
              <w:t>16</w:t>
            </w:r>
          </w:p>
        </w:tc>
        <w:tc>
          <w:tcPr>
            <w:tcW w:w="774" w:type="dxa"/>
            <w:vAlign w:val="center"/>
          </w:tcPr>
          <w:p>
            <w:pPr>
              <w:widowControl/>
              <w:jc w:val="center"/>
              <w:textAlignment w:val="center"/>
              <w:rPr>
                <w:rFonts w:ascii="Times New Roman" w:hAnsi="Times New Roman"/>
                <w:b/>
                <w:bCs/>
                <w:kern w:val="0"/>
                <w:sz w:val="18"/>
                <w:szCs w:val="18"/>
              </w:rPr>
            </w:pPr>
            <w:r>
              <w:rPr>
                <w:rFonts w:ascii="Times New Roman" w:hAnsi="Times New Roman"/>
                <w:b/>
                <w:bCs/>
                <w:kern w:val="0"/>
                <w:sz w:val="18"/>
                <w:szCs w:val="18"/>
              </w:rPr>
              <w:t>8</w:t>
            </w:r>
          </w:p>
        </w:tc>
        <w:tc>
          <w:tcPr>
            <w:tcW w:w="783" w:type="dxa"/>
            <w:vAlign w:val="center"/>
          </w:tcPr>
          <w:p>
            <w:pPr>
              <w:widowControl/>
              <w:jc w:val="center"/>
              <w:textAlignment w:val="center"/>
              <w:rPr>
                <w:rFonts w:ascii="Times New Roman" w:hAnsi="Times New Roman"/>
                <w:b/>
                <w:bCs/>
                <w:kern w:val="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restart"/>
            <w:vAlign w:val="center"/>
          </w:tcPr>
          <w:p>
            <w:pPr>
              <w:rPr>
                <w:rFonts w:ascii="Times New Roman" w:hAnsi="Times New Roman"/>
                <w:sz w:val="18"/>
                <w:szCs w:val="18"/>
              </w:rPr>
            </w:pPr>
            <w:r>
              <w:rPr>
                <w:rFonts w:hint="eastAsia" w:ascii="Times New Roman" w:hAnsi="Times New Roman"/>
                <w:sz w:val="18"/>
                <w:szCs w:val="18"/>
              </w:rPr>
              <w:t>选修课程</w:t>
            </w:r>
          </w:p>
        </w:tc>
        <w:tc>
          <w:tcPr>
            <w:tcW w:w="566" w:type="dxa"/>
            <w:vMerge w:val="restart"/>
            <w:vAlign w:val="center"/>
          </w:tcPr>
          <w:p>
            <w:pPr>
              <w:rPr>
                <w:rFonts w:ascii="Times New Roman" w:hAnsi="Times New Roman"/>
                <w:sz w:val="18"/>
                <w:szCs w:val="18"/>
              </w:rPr>
            </w:pPr>
            <w:r>
              <w:rPr>
                <w:rFonts w:hint="eastAsia" w:ascii="Times New Roman" w:hAnsi="Times New Roman"/>
                <w:sz w:val="18"/>
                <w:szCs w:val="18"/>
              </w:rPr>
              <w:t>公共任选课程</w:t>
            </w:r>
          </w:p>
        </w:tc>
        <w:tc>
          <w:tcPr>
            <w:tcW w:w="4394" w:type="dxa"/>
            <w:gridSpan w:val="3"/>
            <w:vAlign w:val="center"/>
          </w:tcPr>
          <w:p>
            <w:pPr>
              <w:widowControl/>
              <w:jc w:val="center"/>
              <w:rPr>
                <w:rFonts w:ascii="宋体"/>
                <w:sz w:val="18"/>
                <w:szCs w:val="18"/>
              </w:rPr>
            </w:pPr>
            <w:r>
              <w:rPr>
                <w:rFonts w:hint="eastAsia" w:ascii="宋体" w:cs="宋体"/>
                <w:sz w:val="18"/>
                <w:szCs w:val="18"/>
              </w:rPr>
              <w:t>国家安全教育</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restart"/>
            <w:vAlign w:val="center"/>
          </w:tcPr>
          <w:p>
            <w:pPr>
              <w:autoSpaceDE w:val="0"/>
              <w:autoSpaceDN w:val="0"/>
              <w:jc w:val="center"/>
              <w:rPr>
                <w:rFonts w:ascii="Times New Roman" w:hAnsi="Times New Roman"/>
                <w:bCs/>
                <w:spacing w:val="-20"/>
                <w:sz w:val="18"/>
                <w:szCs w:val="18"/>
              </w:rPr>
            </w:pPr>
            <w:r>
              <w:rPr>
                <w:rFonts w:hint="eastAsia" w:ascii="宋体"/>
                <w:bCs/>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文学鉴赏</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影视鉴赏</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创新中国</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企业绿色管理</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文献信息检索与利用</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艺术鉴赏</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sz w:val="18"/>
                <w:szCs w:val="18"/>
              </w:rPr>
            </w:pPr>
            <w:r>
              <w:rPr>
                <w:rFonts w:hint="eastAsia" w:ascii="宋体" w:cs="宋体"/>
                <w:sz w:val="18"/>
                <w:szCs w:val="18"/>
              </w:rPr>
              <w:t>常见病的健康管理</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语言学（普通话）</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中国文化概论</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论文写作初阶</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left"/>
              <w:rPr>
                <w:rFonts w:ascii="Times New Roman" w:hAnsi="Times New Roman"/>
                <w:b/>
                <w:bCs/>
                <w:sz w:val="18"/>
                <w:szCs w:val="18"/>
              </w:rPr>
            </w:pPr>
          </w:p>
        </w:tc>
        <w:tc>
          <w:tcPr>
            <w:tcW w:w="775" w:type="dxa"/>
            <w:gridSpan w:val="2"/>
            <w:vAlign w:val="center"/>
          </w:tcPr>
          <w:p>
            <w:pPr>
              <w:autoSpaceDE w:val="0"/>
              <w:autoSpaceDN w:val="0"/>
              <w:jc w:val="left"/>
              <w:rPr>
                <w:rFonts w:ascii="Times New Roman" w:hAnsi="Times New Roman"/>
                <w:b/>
                <w:bCs/>
                <w:sz w:val="18"/>
                <w:szCs w:val="18"/>
              </w:rPr>
            </w:pPr>
          </w:p>
        </w:tc>
        <w:tc>
          <w:tcPr>
            <w:tcW w:w="775" w:type="dxa"/>
            <w:vAlign w:val="center"/>
          </w:tcPr>
          <w:p>
            <w:pPr>
              <w:autoSpaceDE w:val="0"/>
              <w:autoSpaceDN w:val="0"/>
              <w:jc w:val="left"/>
              <w:rPr>
                <w:rFonts w:ascii="Times New Roman" w:hAnsi="Times New Roman"/>
                <w:b/>
                <w:bCs/>
                <w:sz w:val="18"/>
                <w:szCs w:val="18"/>
              </w:rPr>
            </w:pPr>
          </w:p>
        </w:tc>
        <w:tc>
          <w:tcPr>
            <w:tcW w:w="779" w:type="dxa"/>
            <w:vAlign w:val="center"/>
          </w:tcPr>
          <w:p>
            <w:pPr>
              <w:autoSpaceDE w:val="0"/>
              <w:autoSpaceDN w:val="0"/>
              <w:jc w:val="left"/>
              <w:rPr>
                <w:rFonts w:ascii="Times New Roman" w:hAnsi="Times New Roman"/>
                <w:b/>
                <w:bCs/>
                <w:sz w:val="18"/>
                <w:szCs w:val="18"/>
              </w:rPr>
            </w:pPr>
          </w:p>
        </w:tc>
        <w:tc>
          <w:tcPr>
            <w:tcW w:w="774" w:type="dxa"/>
            <w:vAlign w:val="center"/>
          </w:tcPr>
          <w:p>
            <w:pPr>
              <w:autoSpaceDE w:val="0"/>
              <w:autoSpaceDN w:val="0"/>
              <w:jc w:val="left"/>
              <w:rPr>
                <w:rFonts w:ascii="Times New Roman" w:hAnsi="Times New Roman"/>
                <w:b/>
                <w:bCs/>
                <w:sz w:val="18"/>
                <w:szCs w:val="18"/>
              </w:rPr>
            </w:pPr>
          </w:p>
        </w:tc>
        <w:tc>
          <w:tcPr>
            <w:tcW w:w="783" w:type="dxa"/>
            <w:vAlign w:val="center"/>
          </w:tcPr>
          <w:p>
            <w:pPr>
              <w:autoSpaceDE w:val="0"/>
              <w:autoSpaceDN w:val="0"/>
              <w:jc w:val="left"/>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710"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sz w:val="18"/>
                <w:szCs w:val="18"/>
              </w:rPr>
            </w:pPr>
          </w:p>
        </w:tc>
        <w:tc>
          <w:tcPr>
            <w:tcW w:w="59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Align w:val="center"/>
          </w:tcPr>
          <w:p>
            <w:pPr>
              <w:autoSpaceDE w:val="0"/>
              <w:autoSpaceDN w:val="0"/>
              <w:jc w:val="center"/>
              <w:rPr>
                <w:rFonts w:ascii="Times New Roman" w:hAnsi="Times New Roman"/>
                <w:bCs/>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restart"/>
            <w:vAlign w:val="center"/>
          </w:tcPr>
          <w:p>
            <w:pPr>
              <w:jc w:val="center"/>
              <w:rPr>
                <w:rFonts w:ascii="Times New Roman" w:hAnsi="Times New Roman"/>
                <w:sz w:val="18"/>
                <w:szCs w:val="18"/>
              </w:rPr>
            </w:pPr>
            <w:r>
              <w:rPr>
                <w:rFonts w:hint="eastAsia" w:ascii="Times New Roman" w:hAnsi="Times New Roman"/>
                <w:sz w:val="18"/>
                <w:szCs w:val="18"/>
              </w:rPr>
              <w:t>公共限选课程</w:t>
            </w:r>
          </w:p>
        </w:tc>
        <w:tc>
          <w:tcPr>
            <w:tcW w:w="4394" w:type="dxa"/>
            <w:gridSpan w:val="3"/>
            <w:vAlign w:val="center"/>
          </w:tcPr>
          <w:p>
            <w:pPr>
              <w:widowControl/>
              <w:jc w:val="center"/>
              <w:rPr>
                <w:rFonts w:ascii="宋体" w:cs="宋体"/>
                <w:sz w:val="18"/>
                <w:szCs w:val="18"/>
              </w:rPr>
            </w:pPr>
            <w:r>
              <w:rPr>
                <w:rFonts w:hint="eastAsia" w:ascii="宋体" w:cs="宋体"/>
                <w:sz w:val="18"/>
                <w:szCs w:val="18"/>
              </w:rPr>
              <w:t>人文素养类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restart"/>
            <w:vAlign w:val="center"/>
          </w:tcPr>
          <w:p>
            <w:pPr>
              <w:autoSpaceDE w:val="0"/>
              <w:autoSpaceDN w:val="0"/>
              <w:jc w:val="center"/>
              <w:rPr>
                <w:rFonts w:ascii="Times New Roman" w:hAnsi="Times New Roman"/>
                <w:bCs/>
                <w:spacing w:val="-20"/>
                <w:sz w:val="18"/>
                <w:szCs w:val="18"/>
              </w:rPr>
            </w:pPr>
            <w:r>
              <w:rPr>
                <w:rFonts w:hint="eastAsia" w:ascii="宋体"/>
                <w:bCs/>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前沿科技类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马克思主义理论类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党史国史类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传统文化类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职业素养类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身心健康类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widowControl/>
              <w:jc w:val="center"/>
              <w:rPr>
                <w:rFonts w:ascii="宋体" w:cs="宋体"/>
                <w:sz w:val="18"/>
                <w:szCs w:val="18"/>
              </w:rPr>
            </w:pPr>
            <w:r>
              <w:rPr>
                <w:rFonts w:hint="eastAsia" w:ascii="宋体" w:cs="宋体"/>
                <w:sz w:val="18"/>
                <w:szCs w:val="18"/>
              </w:rPr>
              <w:t>美育教育类</w:t>
            </w:r>
          </w:p>
        </w:tc>
        <w:tc>
          <w:tcPr>
            <w:tcW w:w="710"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32</w:t>
            </w:r>
          </w:p>
        </w:tc>
        <w:tc>
          <w:tcPr>
            <w:tcW w:w="567" w:type="dxa"/>
            <w:vAlign w:val="center"/>
          </w:tcPr>
          <w:p>
            <w:pPr>
              <w:autoSpaceDE w:val="0"/>
              <w:autoSpaceDN w:val="0"/>
              <w:jc w:val="left"/>
              <w:rPr>
                <w:rFonts w:ascii="Times New Roman" w:hAnsi="Times New Roman"/>
                <w:sz w:val="18"/>
                <w:szCs w:val="18"/>
              </w:rPr>
            </w:pPr>
          </w:p>
        </w:tc>
        <w:tc>
          <w:tcPr>
            <w:tcW w:w="599" w:type="dxa"/>
            <w:vAlign w:val="center"/>
          </w:tcPr>
          <w:p>
            <w:pPr>
              <w:autoSpaceDE w:val="0"/>
              <w:autoSpaceDN w:val="0"/>
              <w:ind w:firstLine="180" w:firstLineChars="100"/>
              <w:jc w:val="left"/>
              <w:rPr>
                <w:rFonts w:ascii="Times New Roman" w:hAnsi="Times New Roman"/>
                <w:sz w:val="18"/>
                <w:szCs w:val="18"/>
              </w:rPr>
            </w:pPr>
            <w:r>
              <w:rPr>
                <w:rFonts w:hint="eastAsia" w:ascii="Times New Roman" w:hAnsi="Times New Roman"/>
                <w:sz w:val="18"/>
                <w:szCs w:val="18"/>
              </w:rPr>
              <w:t>1</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710"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sz w:val="18"/>
                <w:szCs w:val="18"/>
              </w:rPr>
            </w:pPr>
          </w:p>
        </w:tc>
        <w:tc>
          <w:tcPr>
            <w:tcW w:w="599"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76" w:type="dxa"/>
            <w:vAlign w:val="center"/>
          </w:tcPr>
          <w:p>
            <w:pPr>
              <w:autoSpaceDE w:val="0"/>
              <w:autoSpaceDN w:val="0"/>
              <w:jc w:val="center"/>
              <w:rPr>
                <w:rFonts w:ascii="Times New Roman" w:hAnsi="Times New Roman"/>
                <w:b/>
                <w:bCs/>
                <w:sz w:val="18"/>
                <w:szCs w:val="18"/>
              </w:rPr>
            </w:pPr>
          </w:p>
        </w:tc>
        <w:tc>
          <w:tcPr>
            <w:tcW w:w="775" w:type="dxa"/>
            <w:gridSpan w:val="2"/>
            <w:vAlign w:val="center"/>
          </w:tcPr>
          <w:p>
            <w:pPr>
              <w:autoSpaceDE w:val="0"/>
              <w:autoSpaceDN w:val="0"/>
              <w:jc w:val="center"/>
              <w:rPr>
                <w:rFonts w:ascii="Times New Roman" w:hAnsi="Times New Roman"/>
                <w:b/>
                <w:bCs/>
                <w:sz w:val="18"/>
                <w:szCs w:val="18"/>
              </w:rPr>
            </w:pPr>
          </w:p>
        </w:tc>
        <w:tc>
          <w:tcPr>
            <w:tcW w:w="775" w:type="dxa"/>
            <w:vAlign w:val="center"/>
          </w:tcPr>
          <w:p>
            <w:pPr>
              <w:autoSpaceDE w:val="0"/>
              <w:autoSpaceDN w:val="0"/>
              <w:jc w:val="center"/>
              <w:rPr>
                <w:rFonts w:ascii="Times New Roman" w:hAnsi="Times New Roman"/>
                <w:b/>
                <w:bCs/>
                <w:sz w:val="18"/>
                <w:szCs w:val="18"/>
              </w:rPr>
            </w:pPr>
          </w:p>
        </w:tc>
        <w:tc>
          <w:tcPr>
            <w:tcW w:w="779" w:type="dxa"/>
            <w:vAlign w:val="center"/>
          </w:tcPr>
          <w:p>
            <w:pPr>
              <w:autoSpaceDE w:val="0"/>
              <w:autoSpaceDN w:val="0"/>
              <w:jc w:val="center"/>
              <w:rPr>
                <w:rFonts w:ascii="Times New Roman" w:hAnsi="Times New Roman"/>
                <w:b/>
                <w:bCs/>
                <w:sz w:val="18"/>
                <w:szCs w:val="18"/>
              </w:rPr>
            </w:pPr>
          </w:p>
        </w:tc>
        <w:tc>
          <w:tcPr>
            <w:tcW w:w="774" w:type="dxa"/>
            <w:vAlign w:val="center"/>
          </w:tcPr>
          <w:p>
            <w:pPr>
              <w:autoSpaceDE w:val="0"/>
              <w:autoSpaceDN w:val="0"/>
              <w:jc w:val="center"/>
              <w:rPr>
                <w:rFonts w:ascii="Times New Roman" w:hAnsi="Times New Roman"/>
                <w:b/>
                <w:bCs/>
                <w:sz w:val="18"/>
                <w:szCs w:val="18"/>
              </w:rPr>
            </w:pPr>
          </w:p>
        </w:tc>
        <w:tc>
          <w:tcPr>
            <w:tcW w:w="783" w:type="dxa"/>
            <w:vAlign w:val="center"/>
          </w:tcPr>
          <w:p>
            <w:pPr>
              <w:autoSpaceDE w:val="0"/>
              <w:autoSpaceDN w:val="0"/>
              <w:jc w:val="center"/>
              <w:rPr>
                <w:rFonts w:ascii="Times New Roman" w:hAnsi="Times New Roman"/>
                <w:b/>
                <w:bCs/>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专业拓展课程</w:t>
            </w:r>
          </w:p>
        </w:tc>
        <w:tc>
          <w:tcPr>
            <w:tcW w:w="4394" w:type="dxa"/>
            <w:gridSpan w:val="3"/>
            <w:vAlign w:val="center"/>
          </w:tcPr>
          <w:p>
            <w:pPr>
              <w:autoSpaceDE w:val="0"/>
              <w:autoSpaceDN w:val="0"/>
              <w:jc w:val="left"/>
              <w:rPr>
                <w:rFonts w:ascii="Times New Roman" w:hAnsi="Times New Roman"/>
                <w:b/>
                <w:bCs/>
                <w:sz w:val="18"/>
                <w:szCs w:val="18"/>
              </w:rPr>
            </w:pPr>
            <w:r>
              <w:rPr>
                <w:rFonts w:hint="eastAsia" w:ascii="Times New Roman" w:hAnsi="Times New Roman"/>
                <w:b/>
                <w:bCs/>
                <w:sz w:val="18"/>
                <w:szCs w:val="18"/>
              </w:rPr>
              <w:t>选修要求：</w:t>
            </w:r>
            <w:r>
              <w:rPr>
                <w:rFonts w:hint="eastAsia" w:ascii="Times New Roman" w:hAnsi="Times New Roman"/>
                <w:sz w:val="18"/>
                <w:szCs w:val="18"/>
              </w:rPr>
              <w:t>选修学分要求、先修课程要求等。</w:t>
            </w:r>
          </w:p>
        </w:tc>
        <w:tc>
          <w:tcPr>
            <w:tcW w:w="7107" w:type="dxa"/>
            <w:gridSpan w:val="11"/>
            <w:vAlign w:val="center"/>
          </w:tcPr>
          <w:p>
            <w:pPr>
              <w:autoSpaceDE w:val="0"/>
              <w:autoSpaceDN w:val="0"/>
              <w:jc w:val="center"/>
              <w:rPr>
                <w:rFonts w:ascii="Times New Roman" w:hAnsi="Times New Roman"/>
                <w:b/>
                <w:bCs/>
                <w:sz w:val="18"/>
                <w:szCs w:val="18"/>
              </w:rPr>
            </w:pPr>
            <w:r>
              <w:rPr>
                <w:rFonts w:hint="eastAsia" w:ascii="Times New Roman" w:hAnsi="Times New Roman"/>
                <w:sz w:val="18"/>
                <w:szCs w:val="18"/>
              </w:rPr>
              <w:t>任选8学分</w:t>
            </w: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广联达算量GTJ+钢筋算量</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96</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6</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Merge w:val="restar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建设工程施工安全</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48</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16</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建设工程质量管理</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2123" w:type="dxa"/>
            <w:gridSpan w:val="2"/>
            <w:vAlign w:val="center"/>
          </w:tcPr>
          <w:p>
            <w:pPr>
              <w:jc w:val="center"/>
              <w:rPr>
                <w:rFonts w:ascii="微软雅黑" w:hAnsi="微软雅黑" w:eastAsia="微软雅黑" w:cs="Segoe UI"/>
                <w:sz w:val="18"/>
                <w:szCs w:val="18"/>
              </w:rPr>
            </w:pPr>
          </w:p>
        </w:tc>
        <w:tc>
          <w:tcPr>
            <w:tcW w:w="2271" w:type="dxa"/>
            <w:vAlign w:val="center"/>
          </w:tcPr>
          <w:p>
            <w:pPr>
              <w:jc w:val="center"/>
              <w:rPr>
                <w:rFonts w:ascii="Times New Roman" w:hAnsi="Times New Roman"/>
                <w:bCs/>
                <w:sz w:val="18"/>
                <w:szCs w:val="18"/>
              </w:rPr>
            </w:pPr>
            <w:r>
              <w:rPr>
                <w:rFonts w:hint="eastAsia" w:ascii="Times New Roman" w:hAnsi="Times New Roman" w:cs="宋体"/>
                <w:sz w:val="18"/>
                <w:szCs w:val="18"/>
              </w:rPr>
              <w:t>建筑工程资料管理</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32</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4</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6" w:type="dxa"/>
            <w:vMerge w:val="continue"/>
            <w:vAlign w:val="center"/>
          </w:tcPr>
          <w:p>
            <w:pPr>
              <w:jc w:val="center"/>
              <w:rPr>
                <w:rFonts w:ascii="Times New Roman" w:hAnsi="Times New Roman"/>
                <w:sz w:val="18"/>
                <w:szCs w:val="18"/>
              </w:rPr>
            </w:pPr>
          </w:p>
        </w:tc>
        <w:tc>
          <w:tcPr>
            <w:tcW w:w="4394"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10"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128</w:t>
            </w:r>
          </w:p>
        </w:tc>
        <w:tc>
          <w:tcPr>
            <w:tcW w:w="569"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64</w:t>
            </w:r>
          </w:p>
        </w:tc>
        <w:tc>
          <w:tcPr>
            <w:tcW w:w="567"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64</w:t>
            </w:r>
          </w:p>
        </w:tc>
        <w:tc>
          <w:tcPr>
            <w:tcW w:w="599"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8</w:t>
            </w:r>
          </w:p>
        </w:tc>
        <w:tc>
          <w:tcPr>
            <w:tcW w:w="817" w:type="dxa"/>
            <w:gridSpan w:val="2"/>
            <w:vAlign w:val="center"/>
          </w:tcPr>
          <w:p>
            <w:pPr>
              <w:jc w:val="center"/>
              <w:rPr>
                <w:rFonts w:ascii="Times New Roman" w:hAnsi="Times New Roman"/>
                <w:b/>
                <w:bCs/>
                <w:spacing w:val="-20"/>
                <w:sz w:val="18"/>
                <w:szCs w:val="18"/>
              </w:rPr>
            </w:pPr>
          </w:p>
        </w:tc>
        <w:tc>
          <w:tcPr>
            <w:tcW w:w="734" w:type="dxa"/>
            <w:vAlign w:val="center"/>
          </w:tcPr>
          <w:p>
            <w:pPr>
              <w:jc w:val="center"/>
              <w:rPr>
                <w:rFonts w:ascii="Times New Roman" w:hAnsi="Times New Roman"/>
                <w:b/>
                <w:bCs/>
                <w:spacing w:val="-20"/>
                <w:sz w:val="18"/>
                <w:szCs w:val="18"/>
              </w:rPr>
            </w:pPr>
          </w:p>
        </w:tc>
        <w:tc>
          <w:tcPr>
            <w:tcW w:w="775" w:type="dxa"/>
            <w:vAlign w:val="center"/>
          </w:tcPr>
          <w:p>
            <w:pPr>
              <w:ind w:right="280"/>
              <w:jc w:val="center"/>
              <w:rPr>
                <w:rFonts w:ascii="Times New Roman" w:hAnsi="Times New Roman"/>
                <w:b/>
                <w:bCs/>
                <w:spacing w:val="-20"/>
                <w:sz w:val="18"/>
                <w:szCs w:val="18"/>
              </w:rPr>
            </w:pPr>
          </w:p>
        </w:tc>
        <w:tc>
          <w:tcPr>
            <w:tcW w:w="779" w:type="dxa"/>
            <w:vAlign w:val="center"/>
          </w:tcPr>
          <w:p>
            <w:pPr>
              <w:ind w:right="280"/>
              <w:jc w:val="center"/>
              <w:rPr>
                <w:rFonts w:ascii="Times New Roman" w:hAnsi="Times New Roman"/>
                <w:b/>
                <w:bCs/>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r>
              <w:rPr>
                <w:rFonts w:hint="eastAsia" w:ascii="Times New Roman" w:hAnsi="Times New Roman"/>
                <w:b/>
                <w:bCs/>
                <w:spacing w:val="-20"/>
                <w:sz w:val="18"/>
                <w:szCs w:val="18"/>
              </w:rPr>
              <w:t>8</w:t>
            </w:r>
          </w:p>
        </w:tc>
        <w:tc>
          <w:tcPr>
            <w:tcW w:w="783" w:type="dxa"/>
            <w:vAlign w:val="center"/>
          </w:tcPr>
          <w:p>
            <w:pPr>
              <w:autoSpaceDE w:val="0"/>
              <w:autoSpaceDN w:val="0"/>
              <w:jc w:val="center"/>
              <w:rPr>
                <w:rFonts w:ascii="Times New Roman" w:hAnsi="Times New Roman"/>
                <w:spacing w:val="-20"/>
                <w:sz w:val="18"/>
                <w:szCs w:val="18"/>
              </w:rPr>
            </w:pPr>
          </w:p>
        </w:tc>
        <w:tc>
          <w:tcPr>
            <w:tcW w:w="549"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476" w:type="dxa"/>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710" w:type="dxa"/>
            <w:vAlign w:val="center"/>
          </w:tcPr>
          <w:p>
            <w:pPr>
              <w:widowControl/>
              <w:jc w:val="center"/>
              <w:textAlignment w:val="center"/>
              <w:rPr>
                <w:rFonts w:ascii="Times New Roman" w:hAnsi="Times New Roman"/>
                <w:spacing w:val="-20"/>
                <w:sz w:val="18"/>
                <w:szCs w:val="18"/>
              </w:rPr>
            </w:pPr>
            <w:r>
              <w:rPr>
                <w:rFonts w:ascii="Times New Roman" w:hAnsi="Times New Roman"/>
                <w:b/>
                <w:bCs/>
                <w:kern w:val="0"/>
                <w:sz w:val="18"/>
                <w:szCs w:val="18"/>
              </w:rPr>
              <w:t>2096</w:t>
            </w:r>
          </w:p>
        </w:tc>
        <w:tc>
          <w:tcPr>
            <w:tcW w:w="569" w:type="dxa"/>
            <w:vAlign w:val="center"/>
          </w:tcPr>
          <w:p>
            <w:pPr>
              <w:widowControl/>
              <w:jc w:val="center"/>
              <w:textAlignment w:val="center"/>
              <w:rPr>
                <w:rFonts w:ascii="Times New Roman" w:hAnsi="Times New Roman"/>
                <w:spacing w:val="-20"/>
                <w:sz w:val="18"/>
                <w:szCs w:val="18"/>
              </w:rPr>
            </w:pPr>
            <w:r>
              <w:rPr>
                <w:rFonts w:ascii="Times New Roman" w:hAnsi="Times New Roman"/>
                <w:b/>
                <w:bCs/>
                <w:kern w:val="0"/>
                <w:sz w:val="18"/>
                <w:szCs w:val="18"/>
              </w:rPr>
              <w:t>1306</w:t>
            </w:r>
          </w:p>
        </w:tc>
        <w:tc>
          <w:tcPr>
            <w:tcW w:w="567" w:type="dxa"/>
            <w:vAlign w:val="center"/>
          </w:tcPr>
          <w:p>
            <w:pPr>
              <w:widowControl/>
              <w:jc w:val="center"/>
              <w:textAlignment w:val="center"/>
              <w:rPr>
                <w:rFonts w:ascii="Times New Roman" w:hAnsi="Times New Roman"/>
                <w:b/>
                <w:spacing w:val="-20"/>
                <w:sz w:val="18"/>
                <w:szCs w:val="18"/>
              </w:rPr>
            </w:pPr>
            <w:r>
              <w:rPr>
                <w:rFonts w:ascii="Times New Roman" w:hAnsi="Times New Roman"/>
                <w:b/>
                <w:bCs/>
                <w:kern w:val="0"/>
                <w:sz w:val="18"/>
                <w:szCs w:val="18"/>
              </w:rPr>
              <w:t>790</w:t>
            </w:r>
          </w:p>
        </w:tc>
        <w:tc>
          <w:tcPr>
            <w:tcW w:w="599" w:type="dxa"/>
            <w:vAlign w:val="center"/>
          </w:tcPr>
          <w:p>
            <w:pPr>
              <w:widowControl/>
              <w:jc w:val="center"/>
              <w:textAlignment w:val="center"/>
              <w:rPr>
                <w:rFonts w:ascii="Times New Roman" w:hAnsi="Times New Roman"/>
                <w:spacing w:val="-20"/>
                <w:sz w:val="18"/>
                <w:szCs w:val="18"/>
              </w:rPr>
            </w:pPr>
            <w:r>
              <w:rPr>
                <w:rFonts w:ascii="Times New Roman" w:hAnsi="Times New Roman"/>
                <w:b/>
                <w:bCs/>
                <w:kern w:val="0"/>
                <w:sz w:val="18"/>
                <w:szCs w:val="18"/>
              </w:rPr>
              <w:t>125</w:t>
            </w:r>
          </w:p>
        </w:tc>
        <w:tc>
          <w:tcPr>
            <w:tcW w:w="817" w:type="dxa"/>
            <w:gridSpan w:val="2"/>
            <w:vAlign w:val="center"/>
          </w:tcPr>
          <w:p>
            <w:pPr>
              <w:widowControl/>
              <w:jc w:val="center"/>
              <w:textAlignment w:val="center"/>
              <w:rPr>
                <w:rFonts w:ascii="Times New Roman" w:hAnsi="Times New Roman"/>
                <w:b/>
                <w:bCs/>
                <w:spacing w:val="-20"/>
                <w:sz w:val="18"/>
                <w:szCs w:val="18"/>
              </w:rPr>
            </w:pPr>
            <w:r>
              <w:rPr>
                <w:rFonts w:hint="eastAsia" w:ascii="Times New Roman" w:hAnsi="Times New Roman"/>
                <w:b/>
                <w:bCs/>
                <w:spacing w:val="-20"/>
                <w:sz w:val="18"/>
                <w:szCs w:val="18"/>
              </w:rPr>
              <w:t>2</w:t>
            </w:r>
            <w:r>
              <w:rPr>
                <w:rFonts w:ascii="Times New Roman" w:hAnsi="Times New Roman"/>
                <w:b/>
                <w:bCs/>
                <w:spacing w:val="-20"/>
                <w:sz w:val="18"/>
                <w:szCs w:val="18"/>
              </w:rPr>
              <w:t>8</w:t>
            </w:r>
          </w:p>
        </w:tc>
        <w:tc>
          <w:tcPr>
            <w:tcW w:w="734" w:type="dxa"/>
            <w:vAlign w:val="center"/>
          </w:tcPr>
          <w:p>
            <w:pPr>
              <w:jc w:val="center"/>
              <w:rPr>
                <w:rFonts w:ascii="Times New Roman" w:hAnsi="Times New Roman"/>
                <w:b/>
                <w:bCs/>
                <w:spacing w:val="-20"/>
                <w:sz w:val="18"/>
                <w:szCs w:val="18"/>
              </w:rPr>
            </w:pPr>
            <w:r>
              <w:rPr>
                <w:rFonts w:ascii="Times New Roman" w:hAnsi="Times New Roman"/>
                <w:b/>
                <w:bCs/>
                <w:spacing w:val="-20"/>
                <w:sz w:val="18"/>
                <w:szCs w:val="18"/>
              </w:rPr>
              <w:t>22</w:t>
            </w:r>
          </w:p>
        </w:tc>
        <w:tc>
          <w:tcPr>
            <w:tcW w:w="775" w:type="dxa"/>
            <w:vAlign w:val="center"/>
          </w:tcPr>
          <w:p>
            <w:pPr>
              <w:ind w:right="280"/>
              <w:jc w:val="center"/>
              <w:rPr>
                <w:rFonts w:ascii="Times New Roman" w:hAnsi="Times New Roman"/>
                <w:b/>
                <w:bCs/>
                <w:spacing w:val="-20"/>
                <w:sz w:val="18"/>
                <w:szCs w:val="18"/>
              </w:rPr>
            </w:pPr>
            <w:r>
              <w:rPr>
                <w:rFonts w:ascii="Times New Roman" w:hAnsi="Times New Roman"/>
                <w:b/>
                <w:bCs/>
                <w:spacing w:val="-20"/>
                <w:sz w:val="18"/>
                <w:szCs w:val="18"/>
              </w:rPr>
              <w:t>24</w:t>
            </w:r>
          </w:p>
        </w:tc>
        <w:tc>
          <w:tcPr>
            <w:tcW w:w="779" w:type="dxa"/>
            <w:vAlign w:val="center"/>
          </w:tcPr>
          <w:p>
            <w:pPr>
              <w:ind w:right="280"/>
              <w:jc w:val="center"/>
              <w:rPr>
                <w:rFonts w:ascii="Times New Roman" w:hAnsi="Times New Roman"/>
                <w:b/>
                <w:bCs/>
                <w:spacing w:val="-20"/>
                <w:sz w:val="18"/>
                <w:szCs w:val="18"/>
              </w:rPr>
            </w:pPr>
            <w:r>
              <w:rPr>
                <w:rFonts w:ascii="Times New Roman" w:hAnsi="Times New Roman"/>
                <w:b/>
                <w:bCs/>
                <w:spacing w:val="-20"/>
                <w:sz w:val="18"/>
                <w:szCs w:val="18"/>
              </w:rPr>
              <w:t>18</w:t>
            </w:r>
          </w:p>
        </w:tc>
        <w:tc>
          <w:tcPr>
            <w:tcW w:w="774" w:type="dxa"/>
            <w:vAlign w:val="center"/>
          </w:tcPr>
          <w:p>
            <w:pPr>
              <w:autoSpaceDE w:val="0"/>
              <w:autoSpaceDN w:val="0"/>
              <w:jc w:val="center"/>
              <w:rPr>
                <w:rFonts w:ascii="Times New Roman" w:hAnsi="Times New Roman"/>
                <w:b/>
                <w:bCs/>
                <w:spacing w:val="-20"/>
                <w:sz w:val="18"/>
                <w:szCs w:val="18"/>
              </w:rPr>
            </w:pPr>
            <w:r>
              <w:rPr>
                <w:rFonts w:ascii="Times New Roman" w:hAnsi="Times New Roman"/>
                <w:b/>
                <w:bCs/>
                <w:spacing w:val="-20"/>
                <w:sz w:val="18"/>
                <w:szCs w:val="18"/>
              </w:rPr>
              <w:t>16</w:t>
            </w: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79" w:type="dxa"/>
            <w:gridSpan w:val="3"/>
            <w:vMerge w:val="restart"/>
            <w:vAlign w:val="center"/>
          </w:tcPr>
          <w:p>
            <w:pPr>
              <w:jc w:val="center"/>
              <w:rPr>
                <w:rFonts w:ascii="Times New Roman" w:hAnsi="Times New Roman"/>
                <w:sz w:val="18"/>
                <w:szCs w:val="18"/>
              </w:rPr>
            </w:pPr>
            <w:r>
              <w:rPr>
                <w:rFonts w:hint="eastAsia" w:ascii="Times New Roman" w:hAnsi="Times New Roman"/>
                <w:sz w:val="18"/>
                <w:szCs w:val="18"/>
              </w:rPr>
              <w:t>集中实践模块</w:t>
            </w:r>
          </w:p>
        </w:tc>
        <w:tc>
          <w:tcPr>
            <w:tcW w:w="1226" w:type="dxa"/>
            <w:vAlign w:val="center"/>
          </w:tcPr>
          <w:p>
            <w:pPr>
              <w:ind w:left="-100" w:leftChars="-48" w:firstLine="73" w:firstLineChars="41"/>
              <w:jc w:val="center"/>
              <w:rPr>
                <w:rFonts w:ascii="Times New Roman" w:hAnsi="Times New Roman"/>
                <w:spacing w:val="-20"/>
                <w:sz w:val="18"/>
                <w:szCs w:val="18"/>
              </w:rPr>
            </w:pPr>
            <w:r>
              <w:rPr>
                <w:rFonts w:hint="eastAsia" w:ascii="微软雅黑" w:hAnsi="微软雅黑" w:eastAsia="微软雅黑" w:cs="Segoe UI"/>
                <w:sz w:val="18"/>
                <w:szCs w:val="18"/>
              </w:rPr>
              <w:t>GG111030</w:t>
            </w: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军事技能训练</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32</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0</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32</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817"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2周</w:t>
            </w: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9" w:type="dxa"/>
            <w:gridSpan w:val="3"/>
            <w:vMerge w:val="continue"/>
            <w:vAlign w:val="center"/>
          </w:tcPr>
          <w:p>
            <w:pPr>
              <w:jc w:val="center"/>
              <w:rPr>
                <w:rFonts w:ascii="Times New Roman" w:hAnsi="Times New Roman"/>
                <w:sz w:val="18"/>
                <w:szCs w:val="18"/>
              </w:rPr>
            </w:pPr>
          </w:p>
        </w:tc>
        <w:tc>
          <w:tcPr>
            <w:tcW w:w="1226" w:type="dxa"/>
            <w:vAlign w:val="center"/>
          </w:tcPr>
          <w:p>
            <w:pPr>
              <w:jc w:val="center"/>
              <w:rPr>
                <w:rFonts w:ascii="Times New Roman" w:hAnsi="Times New Roman"/>
                <w:spacing w:val="-20"/>
                <w:sz w:val="18"/>
                <w:szCs w:val="18"/>
              </w:rPr>
            </w:pP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劳动实践</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32</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0</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32</w:t>
            </w:r>
          </w:p>
        </w:tc>
        <w:tc>
          <w:tcPr>
            <w:tcW w:w="59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2</w:t>
            </w:r>
          </w:p>
        </w:tc>
        <w:tc>
          <w:tcPr>
            <w:tcW w:w="817" w:type="dxa"/>
            <w:gridSpan w:val="2"/>
            <w:vAlign w:val="center"/>
          </w:tcPr>
          <w:p>
            <w:pP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r>
              <w:rPr>
                <w:rFonts w:hint="eastAsia" w:ascii="Times New Roman" w:hAnsi="Times New Roman"/>
                <w:spacing w:val="-20"/>
                <w:sz w:val="18"/>
                <w:szCs w:val="18"/>
              </w:rPr>
              <w:t>2周</w:t>
            </w: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9" w:type="dxa"/>
            <w:gridSpan w:val="3"/>
            <w:vMerge w:val="continue"/>
            <w:vAlign w:val="center"/>
          </w:tcPr>
          <w:p>
            <w:pPr>
              <w:jc w:val="center"/>
              <w:rPr>
                <w:rFonts w:ascii="Times New Roman" w:hAnsi="Times New Roman"/>
                <w:sz w:val="18"/>
                <w:szCs w:val="18"/>
              </w:rPr>
            </w:pPr>
          </w:p>
        </w:tc>
        <w:tc>
          <w:tcPr>
            <w:tcW w:w="1226" w:type="dxa"/>
            <w:vAlign w:val="center"/>
          </w:tcPr>
          <w:p>
            <w:pPr>
              <w:jc w:val="center"/>
              <w:rPr>
                <w:rFonts w:ascii="宋体" w:hAnsi="宋体"/>
                <w:sz w:val="18"/>
                <w:szCs w:val="18"/>
              </w:rPr>
            </w:pPr>
            <w:r>
              <w:rPr>
                <w:rFonts w:hint="eastAsia" w:ascii="微软雅黑" w:hAnsi="微软雅黑" w:eastAsia="微软雅黑" w:cs="Segoe UI"/>
                <w:sz w:val="18"/>
                <w:szCs w:val="18"/>
              </w:rPr>
              <w:t>GG111032</w:t>
            </w: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社会认知实践</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64</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0</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64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4周</w:t>
            </w: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9" w:type="dxa"/>
            <w:gridSpan w:val="3"/>
            <w:vMerge w:val="continue"/>
            <w:vAlign w:val="center"/>
          </w:tcPr>
          <w:p>
            <w:pPr>
              <w:jc w:val="center"/>
              <w:rPr>
                <w:rFonts w:ascii="Times New Roman" w:hAnsi="Times New Roman"/>
                <w:sz w:val="18"/>
                <w:szCs w:val="18"/>
              </w:rPr>
            </w:pPr>
          </w:p>
        </w:tc>
        <w:tc>
          <w:tcPr>
            <w:tcW w:w="1226" w:type="dxa"/>
            <w:vAlign w:val="center"/>
          </w:tcPr>
          <w:p>
            <w:pPr>
              <w:jc w:val="center"/>
              <w:rPr>
                <w:rFonts w:ascii="Times New Roman" w:hAnsi="Times New Roman"/>
                <w:spacing w:val="-20"/>
                <w:sz w:val="18"/>
                <w:szCs w:val="18"/>
              </w:rPr>
            </w:pPr>
            <w:r>
              <w:rPr>
                <w:rFonts w:hint="eastAsia" w:ascii="微软雅黑" w:hAnsi="微软雅黑" w:eastAsia="微软雅黑" w:cs="Segoe UI"/>
                <w:sz w:val="18"/>
                <w:szCs w:val="18"/>
              </w:rPr>
              <w:t>GG111031</w:t>
            </w: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毕业设计</w:t>
            </w:r>
          </w:p>
        </w:tc>
        <w:tc>
          <w:tcPr>
            <w:tcW w:w="710"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128</w:t>
            </w:r>
          </w:p>
        </w:tc>
        <w:tc>
          <w:tcPr>
            <w:tcW w:w="569"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0</w:t>
            </w:r>
          </w:p>
        </w:tc>
        <w:tc>
          <w:tcPr>
            <w:tcW w:w="567" w:type="dxa"/>
            <w:vAlign w:val="center"/>
          </w:tcPr>
          <w:p>
            <w:pPr>
              <w:jc w:val="center"/>
              <w:rPr>
                <w:rFonts w:ascii="Times New Roman" w:hAnsi="Times New Roman" w:eastAsiaTheme="minorEastAsia"/>
                <w:spacing w:val="-20"/>
                <w:sz w:val="18"/>
                <w:szCs w:val="18"/>
              </w:rPr>
            </w:pPr>
            <w:r>
              <w:rPr>
                <w:rFonts w:hint="eastAsia" w:ascii="Times New Roman" w:hAnsi="Times New Roman"/>
                <w:spacing w:val="-20"/>
                <w:sz w:val="18"/>
                <w:szCs w:val="18"/>
              </w:rPr>
              <w:t>128</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8</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8周</w:t>
            </w: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79" w:type="dxa"/>
            <w:gridSpan w:val="3"/>
            <w:vMerge w:val="continue"/>
            <w:vAlign w:val="center"/>
          </w:tcPr>
          <w:p>
            <w:pPr>
              <w:jc w:val="center"/>
              <w:rPr>
                <w:rFonts w:ascii="Times New Roman" w:hAnsi="Times New Roman"/>
                <w:sz w:val="18"/>
                <w:szCs w:val="18"/>
              </w:rPr>
            </w:pPr>
          </w:p>
        </w:tc>
        <w:tc>
          <w:tcPr>
            <w:tcW w:w="1226" w:type="dxa"/>
            <w:vAlign w:val="center"/>
          </w:tcPr>
          <w:p>
            <w:pPr>
              <w:jc w:val="center"/>
              <w:rPr>
                <w:rFonts w:ascii="Times New Roman" w:hAnsi="Times New Roman"/>
                <w:spacing w:val="-20"/>
                <w:sz w:val="18"/>
                <w:szCs w:val="18"/>
              </w:rPr>
            </w:pPr>
            <w:r>
              <w:rPr>
                <w:rFonts w:hint="eastAsia" w:ascii="微软雅黑" w:hAnsi="微软雅黑" w:eastAsia="微软雅黑" w:cs="Segoe UI"/>
                <w:sz w:val="18"/>
                <w:szCs w:val="18"/>
              </w:rPr>
              <w:t>GG111029</w:t>
            </w:r>
          </w:p>
        </w:tc>
        <w:tc>
          <w:tcPr>
            <w:tcW w:w="2271" w:type="dxa"/>
            <w:vAlign w:val="center"/>
          </w:tcPr>
          <w:p>
            <w:pPr>
              <w:jc w:val="center"/>
              <w:rPr>
                <w:rFonts w:ascii="Times New Roman" w:hAnsi="Times New Roman" w:cs="宋体"/>
                <w:sz w:val="18"/>
                <w:szCs w:val="18"/>
              </w:rPr>
            </w:pPr>
            <w:r>
              <w:rPr>
                <w:rFonts w:hint="eastAsia" w:ascii="Times New Roman" w:hAnsi="Times New Roman" w:cs="宋体"/>
                <w:sz w:val="18"/>
                <w:szCs w:val="18"/>
              </w:rPr>
              <w:t>岗位实习</w:t>
            </w:r>
          </w:p>
        </w:tc>
        <w:tc>
          <w:tcPr>
            <w:tcW w:w="71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384</w:t>
            </w:r>
          </w:p>
        </w:tc>
        <w:tc>
          <w:tcPr>
            <w:tcW w:w="56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0</w:t>
            </w:r>
          </w:p>
        </w:tc>
        <w:tc>
          <w:tcPr>
            <w:tcW w:w="567" w:type="dxa"/>
            <w:vAlign w:val="center"/>
          </w:tcPr>
          <w:p>
            <w:pPr>
              <w:jc w:val="center"/>
              <w:rPr>
                <w:rFonts w:ascii="Times New Roman" w:hAnsi="Times New Roman"/>
                <w:b/>
                <w:spacing w:val="-20"/>
                <w:sz w:val="18"/>
                <w:szCs w:val="18"/>
              </w:rPr>
            </w:pPr>
            <w:r>
              <w:rPr>
                <w:rFonts w:hint="eastAsia" w:ascii="Times New Roman" w:hAnsi="Times New Roman"/>
                <w:spacing w:val="-20"/>
                <w:sz w:val="18"/>
                <w:szCs w:val="18"/>
              </w:rPr>
              <w:t>384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24</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24周</w:t>
            </w: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5" w:hRule="atLeast"/>
          <w:jc w:val="center"/>
        </w:trPr>
        <w:tc>
          <w:tcPr>
            <w:tcW w:w="1979" w:type="dxa"/>
            <w:gridSpan w:val="3"/>
            <w:vMerge w:val="continue"/>
            <w:vAlign w:val="center"/>
          </w:tcPr>
          <w:p>
            <w:pPr>
              <w:jc w:val="center"/>
              <w:rPr>
                <w:rFonts w:ascii="Times New Roman" w:hAnsi="Times New Roman"/>
                <w:sz w:val="18"/>
                <w:szCs w:val="18"/>
              </w:rPr>
            </w:pPr>
          </w:p>
        </w:tc>
        <w:tc>
          <w:tcPr>
            <w:tcW w:w="3497" w:type="dxa"/>
            <w:gridSpan w:val="2"/>
            <w:vAlign w:val="center"/>
          </w:tcPr>
          <w:p>
            <w:pPr>
              <w:jc w:val="center"/>
              <w:rPr>
                <w:rFonts w:ascii="Times New Roman" w:hAnsi="Times New Roman"/>
                <w:spacing w:val="-20"/>
                <w:sz w:val="18"/>
                <w:szCs w:val="18"/>
              </w:rPr>
            </w:pPr>
            <w:r>
              <w:rPr>
                <w:rFonts w:hint="eastAsia" w:ascii="Times New Roman" w:hAnsi="Times New Roman"/>
                <w:b/>
                <w:bCs/>
                <w:sz w:val="18"/>
                <w:szCs w:val="18"/>
              </w:rPr>
              <w:t>小计</w:t>
            </w:r>
          </w:p>
        </w:tc>
        <w:tc>
          <w:tcPr>
            <w:tcW w:w="710"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640</w:t>
            </w:r>
          </w:p>
        </w:tc>
        <w:tc>
          <w:tcPr>
            <w:tcW w:w="56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0</w:t>
            </w:r>
          </w:p>
        </w:tc>
        <w:tc>
          <w:tcPr>
            <w:tcW w:w="567"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640</w:t>
            </w:r>
          </w:p>
        </w:tc>
        <w:tc>
          <w:tcPr>
            <w:tcW w:w="59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40</w:t>
            </w:r>
          </w:p>
        </w:tc>
        <w:tc>
          <w:tcPr>
            <w:tcW w:w="817" w:type="dxa"/>
            <w:gridSpan w:val="2"/>
            <w:vAlign w:val="center"/>
          </w:tcPr>
          <w:p>
            <w:pPr>
              <w:jc w:val="center"/>
              <w:rPr>
                <w:rFonts w:ascii="Times New Roman" w:hAnsi="Times New Roman"/>
                <w:spacing w:val="-20"/>
                <w:sz w:val="18"/>
                <w:szCs w:val="18"/>
              </w:rPr>
            </w:pPr>
          </w:p>
        </w:tc>
        <w:tc>
          <w:tcPr>
            <w:tcW w:w="734" w:type="dxa"/>
            <w:vAlign w:val="center"/>
          </w:tcPr>
          <w:p>
            <w:pPr>
              <w:jc w:val="center"/>
              <w:rPr>
                <w:rFonts w:ascii="Times New Roman" w:hAnsi="Times New Roman"/>
                <w:spacing w:val="-20"/>
                <w:sz w:val="18"/>
                <w:szCs w:val="18"/>
              </w:rPr>
            </w:pPr>
          </w:p>
        </w:tc>
        <w:tc>
          <w:tcPr>
            <w:tcW w:w="775" w:type="dxa"/>
            <w:vAlign w:val="center"/>
          </w:tcPr>
          <w:p>
            <w:pPr>
              <w:ind w:right="280"/>
              <w:jc w:val="center"/>
              <w:rPr>
                <w:rFonts w:ascii="Times New Roman" w:hAnsi="Times New Roman"/>
                <w:spacing w:val="-20"/>
                <w:sz w:val="18"/>
                <w:szCs w:val="18"/>
              </w:rPr>
            </w:pPr>
          </w:p>
        </w:tc>
        <w:tc>
          <w:tcPr>
            <w:tcW w:w="779" w:type="dxa"/>
            <w:vAlign w:val="center"/>
          </w:tcPr>
          <w:p>
            <w:pPr>
              <w:ind w:right="28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476" w:type="dxa"/>
            <w:gridSpan w:val="5"/>
            <w:vAlign w:val="center"/>
          </w:tcPr>
          <w:p>
            <w:pPr>
              <w:jc w:val="center"/>
              <w:rPr>
                <w:rFonts w:ascii="Times New Roman" w:hAnsi="Times New Roman"/>
                <w:b/>
                <w:bCs/>
                <w:sz w:val="18"/>
                <w:szCs w:val="18"/>
              </w:rPr>
            </w:pPr>
            <w:r>
              <w:rPr>
                <w:rFonts w:hint="eastAsia" w:ascii="Times New Roman" w:hAnsi="Times New Roman"/>
                <w:b/>
                <w:bCs/>
                <w:sz w:val="18"/>
                <w:szCs w:val="18"/>
              </w:rPr>
              <w:t>总计</w:t>
            </w:r>
          </w:p>
        </w:tc>
        <w:tc>
          <w:tcPr>
            <w:tcW w:w="710"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27</w:t>
            </w:r>
            <w:r>
              <w:rPr>
                <w:rFonts w:ascii="Times New Roman" w:hAnsi="Times New Roman"/>
                <w:b/>
                <w:bCs/>
                <w:kern w:val="0"/>
                <w:sz w:val="18"/>
                <w:szCs w:val="18"/>
              </w:rPr>
              <w:t>36</w:t>
            </w:r>
          </w:p>
        </w:tc>
        <w:tc>
          <w:tcPr>
            <w:tcW w:w="56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13</w:t>
            </w:r>
            <w:r>
              <w:rPr>
                <w:rFonts w:ascii="Times New Roman" w:hAnsi="Times New Roman"/>
                <w:b/>
                <w:bCs/>
                <w:kern w:val="0"/>
                <w:sz w:val="18"/>
                <w:szCs w:val="18"/>
              </w:rPr>
              <w:t>03</w:t>
            </w:r>
          </w:p>
        </w:tc>
        <w:tc>
          <w:tcPr>
            <w:tcW w:w="567"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14</w:t>
            </w:r>
            <w:r>
              <w:rPr>
                <w:rFonts w:ascii="Times New Roman" w:hAnsi="Times New Roman"/>
                <w:b/>
                <w:bCs/>
                <w:kern w:val="0"/>
                <w:sz w:val="18"/>
                <w:szCs w:val="18"/>
              </w:rPr>
              <w:t>30</w:t>
            </w:r>
          </w:p>
        </w:tc>
        <w:tc>
          <w:tcPr>
            <w:tcW w:w="599" w:type="dxa"/>
            <w:vAlign w:val="center"/>
          </w:tcPr>
          <w:p>
            <w:pPr>
              <w:widowControl/>
              <w:jc w:val="center"/>
              <w:textAlignment w:val="center"/>
              <w:rPr>
                <w:rFonts w:ascii="Times New Roman" w:hAnsi="Times New Roman"/>
                <w:b/>
                <w:bCs/>
                <w:kern w:val="0"/>
                <w:sz w:val="18"/>
                <w:szCs w:val="18"/>
              </w:rPr>
            </w:pPr>
            <w:r>
              <w:rPr>
                <w:rFonts w:hint="eastAsia" w:ascii="Times New Roman" w:hAnsi="Times New Roman"/>
                <w:b/>
                <w:bCs/>
                <w:kern w:val="0"/>
                <w:sz w:val="18"/>
                <w:szCs w:val="18"/>
              </w:rPr>
              <w:t>16</w:t>
            </w:r>
            <w:r>
              <w:rPr>
                <w:rFonts w:ascii="Times New Roman" w:hAnsi="Times New Roman"/>
                <w:b/>
                <w:bCs/>
                <w:kern w:val="0"/>
                <w:sz w:val="18"/>
                <w:szCs w:val="18"/>
              </w:rPr>
              <w:t>2</w:t>
            </w:r>
          </w:p>
        </w:tc>
        <w:tc>
          <w:tcPr>
            <w:tcW w:w="817" w:type="dxa"/>
            <w:gridSpan w:val="2"/>
            <w:vAlign w:val="center"/>
          </w:tcPr>
          <w:p>
            <w:pPr>
              <w:widowControl/>
              <w:jc w:val="center"/>
              <w:textAlignment w:val="center"/>
              <w:rPr>
                <w:rFonts w:ascii="Times New Roman" w:hAnsi="Times New Roman"/>
                <w:b/>
                <w:bCs/>
                <w:kern w:val="0"/>
                <w:sz w:val="18"/>
                <w:szCs w:val="18"/>
              </w:rPr>
            </w:pPr>
          </w:p>
        </w:tc>
        <w:tc>
          <w:tcPr>
            <w:tcW w:w="734" w:type="dxa"/>
            <w:vAlign w:val="center"/>
          </w:tcPr>
          <w:p>
            <w:pPr>
              <w:widowControl/>
              <w:jc w:val="center"/>
              <w:textAlignment w:val="center"/>
              <w:rPr>
                <w:rFonts w:ascii="Times New Roman" w:hAnsi="Times New Roman"/>
                <w:b/>
                <w:bCs/>
                <w:kern w:val="0"/>
                <w:sz w:val="18"/>
                <w:szCs w:val="18"/>
              </w:rPr>
            </w:pPr>
          </w:p>
        </w:tc>
        <w:tc>
          <w:tcPr>
            <w:tcW w:w="775" w:type="dxa"/>
            <w:vAlign w:val="center"/>
          </w:tcPr>
          <w:p>
            <w:pPr>
              <w:autoSpaceDE w:val="0"/>
              <w:autoSpaceDN w:val="0"/>
              <w:jc w:val="center"/>
              <w:rPr>
                <w:rFonts w:ascii="Times New Roman" w:hAnsi="Times New Roman"/>
                <w:spacing w:val="-20"/>
                <w:sz w:val="18"/>
                <w:szCs w:val="18"/>
              </w:rPr>
            </w:pPr>
          </w:p>
        </w:tc>
        <w:tc>
          <w:tcPr>
            <w:tcW w:w="779" w:type="dxa"/>
            <w:vAlign w:val="center"/>
          </w:tcPr>
          <w:p>
            <w:pPr>
              <w:autoSpaceDE w:val="0"/>
              <w:autoSpaceDN w:val="0"/>
              <w:jc w:val="center"/>
              <w:rPr>
                <w:rFonts w:ascii="Times New Roman" w:hAnsi="Times New Roman"/>
                <w:spacing w:val="-20"/>
                <w:sz w:val="18"/>
                <w:szCs w:val="18"/>
              </w:rPr>
            </w:pPr>
          </w:p>
        </w:tc>
        <w:tc>
          <w:tcPr>
            <w:tcW w:w="774" w:type="dxa"/>
            <w:vAlign w:val="center"/>
          </w:tcPr>
          <w:p>
            <w:pPr>
              <w:autoSpaceDE w:val="0"/>
              <w:autoSpaceDN w:val="0"/>
              <w:jc w:val="center"/>
              <w:rPr>
                <w:rFonts w:ascii="Times New Roman" w:hAnsi="Times New Roman"/>
                <w:spacing w:val="-20"/>
                <w:sz w:val="18"/>
                <w:szCs w:val="18"/>
              </w:rPr>
            </w:pPr>
          </w:p>
        </w:tc>
        <w:tc>
          <w:tcPr>
            <w:tcW w:w="783" w:type="dxa"/>
            <w:vAlign w:val="center"/>
          </w:tcPr>
          <w:p>
            <w:pPr>
              <w:autoSpaceDE w:val="0"/>
              <w:autoSpaceDN w:val="0"/>
              <w:jc w:val="center"/>
              <w:rPr>
                <w:rFonts w:ascii="Times New Roman" w:hAnsi="Times New Roman"/>
                <w:spacing w:val="-20"/>
                <w:sz w:val="18"/>
                <w:szCs w:val="18"/>
              </w:rPr>
            </w:pPr>
          </w:p>
        </w:tc>
        <w:tc>
          <w:tcPr>
            <w:tcW w:w="549" w:type="dxa"/>
            <w:vAlign w:val="center"/>
          </w:tcPr>
          <w:p>
            <w:pPr>
              <w:autoSpaceDE w:val="0"/>
              <w:autoSpaceDN w:val="0"/>
              <w:jc w:val="center"/>
              <w:rPr>
                <w:rFonts w:ascii="Times New Roman" w:hAnsi="Times New Roman"/>
                <w:spacing w:val="-20"/>
                <w:sz w:val="18"/>
                <w:szCs w:val="18"/>
              </w:rPr>
            </w:pPr>
          </w:p>
        </w:tc>
      </w:tr>
    </w:tbl>
    <w:p>
      <w:pPr>
        <w:rPr>
          <w:rFonts w:ascii="Arial" w:hAnsi="Arial" w:eastAsia="黑体"/>
          <w:b/>
          <w:bCs/>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643" w:firstLineChars="200"/>
        <w:outlineLvl w:val="0"/>
        <w:rPr>
          <w:rFonts w:eastAsia="黑体"/>
          <w:b/>
          <w:bCs/>
          <w:kern w:val="44"/>
          <w:sz w:val="32"/>
          <w:szCs w:val="30"/>
        </w:rPr>
      </w:pPr>
      <w:bookmarkStart w:id="93" w:name="_Toc46303726"/>
      <w:bookmarkStart w:id="94" w:name="_Toc119633068"/>
      <w:r>
        <w:rPr>
          <w:rFonts w:hint="eastAsia" w:eastAsia="黑体"/>
          <w:b/>
          <w:bCs/>
          <w:kern w:val="44"/>
          <w:sz w:val="32"/>
          <w:szCs w:val="30"/>
        </w:rPr>
        <w:t>十二、实施保障</w:t>
      </w:r>
      <w:bookmarkEnd w:id="93"/>
      <w:bookmarkEnd w:id="94"/>
    </w:p>
    <w:p>
      <w:pPr>
        <w:keepNext/>
        <w:keepLines/>
        <w:spacing w:line="500" w:lineRule="exact"/>
        <w:ind w:firstLine="562" w:firstLineChars="200"/>
        <w:outlineLvl w:val="1"/>
        <w:rPr>
          <w:rFonts w:ascii="Arial" w:hAnsi="Arial" w:eastAsia="黑体"/>
          <w:b/>
          <w:bCs/>
          <w:sz w:val="28"/>
          <w:szCs w:val="28"/>
        </w:rPr>
      </w:pPr>
      <w:bookmarkStart w:id="95" w:name="_Toc46303727"/>
      <w:bookmarkStart w:id="96" w:name="_Toc119633069"/>
      <w:r>
        <w:rPr>
          <w:rFonts w:ascii="Arial" w:hAnsi="Arial" w:eastAsia="黑体"/>
          <w:b/>
          <w:bCs/>
          <w:sz w:val="28"/>
          <w:szCs w:val="28"/>
        </w:rPr>
        <w:t>（</w:t>
      </w:r>
      <w:r>
        <w:rPr>
          <w:rFonts w:hint="eastAsia" w:ascii="Arial" w:hAnsi="Arial" w:eastAsia="黑体"/>
          <w:b/>
          <w:bCs/>
          <w:sz w:val="28"/>
          <w:szCs w:val="28"/>
        </w:rPr>
        <w:t>一</w:t>
      </w:r>
      <w:r>
        <w:rPr>
          <w:rFonts w:ascii="Arial" w:hAnsi="Arial" w:eastAsia="黑体"/>
          <w:b/>
          <w:bCs/>
          <w:sz w:val="28"/>
          <w:szCs w:val="28"/>
        </w:rPr>
        <w:t>）师资队伍</w:t>
      </w:r>
      <w:bookmarkEnd w:id="95"/>
      <w:bookmarkEnd w:id="96"/>
    </w:p>
    <w:p>
      <w:pPr>
        <w:ind w:firstLine="562" w:firstLineChars="200"/>
        <w:rPr>
          <w:rFonts w:ascii="黑体" w:hAnsi="黑体" w:eastAsia="黑体"/>
          <w:b/>
          <w:sz w:val="28"/>
        </w:rPr>
      </w:pPr>
      <w:r>
        <w:rPr>
          <w:rFonts w:hint="eastAsia" w:ascii="黑体" w:hAnsi="黑体" w:eastAsia="黑体"/>
          <w:b/>
          <w:sz w:val="28"/>
        </w:rPr>
        <w:t>1.基本情况</w:t>
      </w:r>
    </w:p>
    <w:p>
      <w:pPr>
        <w:spacing w:line="500" w:lineRule="exact"/>
        <w:ind w:firstLine="480" w:firstLineChars="200"/>
        <w:rPr>
          <w:sz w:val="24"/>
        </w:rPr>
      </w:pPr>
      <w:r>
        <w:rPr>
          <w:rFonts w:hint="eastAsia"/>
          <w:sz w:val="24"/>
        </w:rPr>
        <w:t>学生数与本专业专任教师数比例不高于 25:1，双师素质教师占专业教师比一般不低于 50%，专任教师队伍考虑职称、年龄，形成合理的梯队结构。</w:t>
      </w:r>
    </w:p>
    <w:p>
      <w:pPr>
        <w:spacing w:line="460" w:lineRule="exact"/>
        <w:ind w:firstLine="480" w:firstLineChars="200"/>
        <w:rPr>
          <w:sz w:val="24"/>
        </w:rPr>
      </w:pPr>
      <w:r>
        <w:rPr>
          <w:rFonts w:hint="eastAsia"/>
          <w:sz w:val="24"/>
        </w:rPr>
        <w:t>基础课专任教师应具有硕士及以上学位，专业课专任教师应具有本专业本科及以上学历，且具有两年以上企业工作经历。兼职教师应是来自行业、企业一线的高水平专业技术人员或能工巧匠，具有高级技术职务。</w:t>
      </w:r>
    </w:p>
    <w:p>
      <w:pPr>
        <w:ind w:firstLine="562" w:firstLineChars="200"/>
        <w:rPr>
          <w:rFonts w:ascii="黑体" w:hAnsi="黑体" w:eastAsia="黑体"/>
          <w:b/>
          <w:sz w:val="28"/>
        </w:rPr>
      </w:pPr>
      <w:r>
        <w:rPr>
          <w:rFonts w:hint="eastAsia" w:ascii="黑体" w:hAnsi="黑体" w:eastAsia="黑体"/>
          <w:b/>
          <w:sz w:val="28"/>
        </w:rPr>
        <w:t>2.专任教师</w:t>
      </w:r>
    </w:p>
    <w:p>
      <w:pPr>
        <w:ind w:firstLine="480" w:firstLineChars="200"/>
        <w:rPr>
          <w:sz w:val="24"/>
        </w:rPr>
      </w:pPr>
      <w:r>
        <w:rPr>
          <w:rFonts w:hint="eastAsia"/>
          <w:sz w:val="24"/>
        </w:rPr>
        <w:t>（1）专业带头人</w:t>
      </w:r>
    </w:p>
    <w:p>
      <w:pPr>
        <w:spacing w:line="500" w:lineRule="exact"/>
        <w:ind w:firstLine="480" w:firstLineChars="200"/>
        <w:rPr>
          <w:sz w:val="24"/>
        </w:rPr>
      </w:pPr>
      <w:r>
        <w:rPr>
          <w:rFonts w:hint="eastAsia"/>
          <w:sz w:val="24"/>
        </w:rPr>
        <w:t>专业带头人1-2名，应具有高级职称，并具备较高的教学水平和实践能力，具有行业企业技术服务和技术研发经历，在本行业及专业领域具有较大的影响力。能够主持专业建设规划、教学方案设计、专业建设工作，能够为企业提供技术服务，主持市地级及以上教学或应用技术科研项目或担任院级及以上精品课程负责人。专业到头人必须是“双师型”教师。</w:t>
      </w:r>
    </w:p>
    <w:p>
      <w:pPr>
        <w:spacing w:line="500" w:lineRule="exact"/>
        <w:ind w:firstLine="480" w:firstLineChars="200"/>
        <w:rPr>
          <w:sz w:val="24"/>
        </w:rPr>
      </w:pPr>
      <w:r>
        <w:rPr>
          <w:rFonts w:hint="eastAsia"/>
          <w:sz w:val="24"/>
        </w:rPr>
        <w:t>（2）双师素质与骨干教师</w:t>
      </w:r>
    </w:p>
    <w:p>
      <w:pPr>
        <w:spacing w:line="500" w:lineRule="exact"/>
        <w:ind w:firstLine="480" w:firstLineChars="200"/>
        <w:rPr>
          <w:sz w:val="24"/>
        </w:rPr>
      </w:pPr>
      <w:r>
        <w:rPr>
          <w:rFonts w:hint="eastAsia"/>
          <w:sz w:val="24"/>
        </w:rPr>
        <w:t>专业课专任教师应具有本专业本科以上学历，且具有两年以上企业工作经历。专任教师团队中具有硕士学位的教师占专任老师的比例应达到35%及以上，高级职称不少于30%，获职业（职业）资格证书或教学系列以外职称的教师比例达到30%以上，具有双师素质的教师比例不低于50%。</w:t>
      </w:r>
    </w:p>
    <w:p>
      <w:pPr>
        <w:ind w:firstLine="562" w:firstLineChars="200"/>
        <w:rPr>
          <w:rFonts w:ascii="黑体" w:hAnsi="黑体" w:eastAsia="黑体"/>
          <w:b/>
          <w:sz w:val="28"/>
        </w:rPr>
      </w:pPr>
      <w:r>
        <w:rPr>
          <w:rFonts w:hint="eastAsia" w:ascii="黑体" w:hAnsi="黑体" w:eastAsia="黑体"/>
          <w:b/>
          <w:sz w:val="28"/>
        </w:rPr>
        <w:t>3.兼职教师</w:t>
      </w:r>
    </w:p>
    <w:p>
      <w:pPr>
        <w:spacing w:line="500" w:lineRule="exact"/>
        <w:ind w:firstLine="480" w:firstLineChars="200"/>
        <w:rPr>
          <w:sz w:val="24"/>
        </w:rPr>
      </w:pPr>
      <w:r>
        <w:rPr>
          <w:rFonts w:hint="eastAsia"/>
          <w:sz w:val="24"/>
        </w:rPr>
        <w:t>兼职教师主要从本专业相关的建筑施工企业或者建筑监理公司聘任，具备良好的思想政治素质、职业道德和工匠精神，具有扎实的专业知识和丰富的实际工作经验，具有中级及以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sz w:val="28"/>
          <w:szCs w:val="28"/>
        </w:rPr>
      </w:pPr>
      <w:bookmarkStart w:id="97" w:name="_Toc46303728"/>
      <w:bookmarkStart w:id="98" w:name="_Toc119633070"/>
      <w:r>
        <w:rPr>
          <w:rFonts w:ascii="Arial" w:hAnsi="Arial" w:eastAsia="黑体"/>
          <w:b/>
          <w:bCs/>
          <w:sz w:val="28"/>
          <w:szCs w:val="28"/>
        </w:rPr>
        <w:t>（</w:t>
      </w:r>
      <w:r>
        <w:rPr>
          <w:rFonts w:hint="eastAsia" w:ascii="Arial" w:hAnsi="Arial" w:eastAsia="黑体"/>
          <w:b/>
          <w:bCs/>
          <w:sz w:val="28"/>
          <w:szCs w:val="28"/>
        </w:rPr>
        <w:t>二</w:t>
      </w:r>
      <w:r>
        <w:rPr>
          <w:rFonts w:ascii="Arial" w:hAnsi="Arial" w:eastAsia="黑体"/>
          <w:b/>
          <w:bCs/>
          <w:sz w:val="28"/>
          <w:szCs w:val="28"/>
        </w:rPr>
        <w:t>）</w:t>
      </w:r>
      <w:r>
        <w:rPr>
          <w:rFonts w:hint="eastAsia" w:ascii="Arial" w:hAnsi="Arial" w:eastAsia="黑体"/>
          <w:b/>
          <w:bCs/>
          <w:sz w:val="28"/>
          <w:szCs w:val="28"/>
        </w:rPr>
        <w:t>教学设施</w:t>
      </w:r>
      <w:bookmarkEnd w:id="97"/>
      <w:bookmarkEnd w:id="98"/>
    </w:p>
    <w:p>
      <w:pPr>
        <w:ind w:firstLine="562" w:firstLineChars="200"/>
        <w:rPr>
          <w:rFonts w:ascii="黑体" w:hAnsi="黑体" w:eastAsia="黑体"/>
          <w:b/>
          <w:sz w:val="28"/>
        </w:rPr>
      </w:pPr>
      <w:bookmarkStart w:id="99" w:name="_Toc407697923"/>
      <w:bookmarkStart w:id="100" w:name="_Toc407696165"/>
      <w:bookmarkStart w:id="101" w:name="_Toc405393407"/>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99"/>
      <w:bookmarkEnd w:id="100"/>
      <w:bookmarkEnd w:id="101"/>
    </w:p>
    <w:p>
      <w:pPr>
        <w:spacing w:line="500" w:lineRule="exact"/>
        <w:ind w:firstLine="480" w:firstLineChars="200"/>
        <w:rPr>
          <w:rFonts w:ascii="宋体" w:hAnsi="宋体"/>
          <w:sz w:val="24"/>
          <w:szCs w:val="24"/>
        </w:rPr>
      </w:pPr>
      <w:r>
        <w:rPr>
          <w:rFonts w:hint="eastAsia" w:ascii="宋体" w:hAnsi="宋体"/>
          <w:sz w:val="24"/>
          <w:szCs w:val="24"/>
        </w:rPr>
        <w:t>建有建筑工程材料实训室、建筑工程仿真模拟实训室、测绘实训室、建筑工程识图室、BIM实训室等5个校内实训室。</w:t>
      </w:r>
    </w:p>
    <w:p>
      <w:pPr>
        <w:spacing w:line="500" w:lineRule="exact"/>
        <w:ind w:firstLine="482" w:firstLineChars="200"/>
        <w:jc w:val="center"/>
        <w:rPr>
          <w:rFonts w:ascii="宋体" w:hAnsi="宋体"/>
          <w:sz w:val="24"/>
          <w:szCs w:val="24"/>
        </w:rPr>
      </w:pPr>
      <w:r>
        <w:rPr>
          <w:rFonts w:hint="eastAsia" w:ascii="宋体" w:hAnsi="宋体"/>
          <w:b/>
          <w:sz w:val="24"/>
          <w:szCs w:val="24"/>
        </w:rPr>
        <w:t>表11 校内实训室情况表</w:t>
      </w:r>
    </w:p>
    <w:tbl>
      <w:tblPr>
        <w:tblStyle w:val="24"/>
        <w:tblW w:w="92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095"/>
        <w:gridCol w:w="1103"/>
        <w:gridCol w:w="720"/>
        <w:gridCol w:w="2460"/>
        <w:gridCol w:w="705"/>
        <w:gridCol w:w="735"/>
        <w:gridCol w:w="12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128" w:type="dxa"/>
            <w:vMerge w:val="restart"/>
            <w:tcBorders>
              <w:top w:val="single" w:color="auto" w:sz="8" w:space="0"/>
              <w:left w:val="single" w:color="auto" w:sz="8" w:space="0"/>
              <w:right w:val="single" w:color="auto" w:sz="4" w:space="0"/>
            </w:tcBorders>
            <w:vAlign w:val="center"/>
          </w:tcPr>
          <w:p>
            <w:pPr>
              <w:snapToGrid w:val="0"/>
              <w:rPr>
                <w:rFonts w:ascii="宋体" w:hAnsi="宋体" w:cs="宋体"/>
                <w:b/>
                <w:sz w:val="18"/>
                <w:szCs w:val="18"/>
              </w:rPr>
            </w:pPr>
            <w:r>
              <w:rPr>
                <w:rFonts w:hint="eastAsia" w:ascii="宋体" w:hAnsi="宋体" w:cs="宋体"/>
                <w:b/>
                <w:sz w:val="18"/>
                <w:szCs w:val="18"/>
              </w:rPr>
              <w:t>实验（实训）教学类别</w:t>
            </w:r>
          </w:p>
        </w:tc>
        <w:tc>
          <w:tcPr>
            <w:tcW w:w="1095" w:type="dxa"/>
            <w:vMerge w:val="restart"/>
            <w:tcBorders>
              <w:top w:val="single" w:color="auto" w:sz="8" w:space="0"/>
              <w:left w:val="single" w:color="auto" w:sz="4" w:space="0"/>
              <w:right w:val="single" w:color="auto" w:sz="4" w:space="0"/>
            </w:tcBorders>
            <w:vAlign w:val="center"/>
          </w:tcPr>
          <w:p>
            <w:pPr>
              <w:snapToGrid w:val="0"/>
              <w:rPr>
                <w:rFonts w:ascii="宋体" w:hAnsi="宋体" w:cs="宋体"/>
                <w:b/>
                <w:sz w:val="18"/>
                <w:szCs w:val="18"/>
              </w:rPr>
            </w:pPr>
            <w:r>
              <w:rPr>
                <w:rFonts w:hint="eastAsia" w:ascii="宋体" w:hAnsi="宋体" w:cs="宋体"/>
                <w:b/>
                <w:sz w:val="18"/>
                <w:szCs w:val="18"/>
              </w:rPr>
              <w:t>实验（实训）教学场所</w:t>
            </w:r>
          </w:p>
        </w:tc>
        <w:tc>
          <w:tcPr>
            <w:tcW w:w="1103" w:type="dxa"/>
            <w:vMerge w:val="restart"/>
            <w:tcBorders>
              <w:top w:val="single" w:color="auto" w:sz="8" w:space="0"/>
              <w:left w:val="single" w:color="auto" w:sz="4" w:space="0"/>
              <w:bottom w:val="single" w:color="auto" w:sz="8" w:space="0"/>
              <w:right w:val="single" w:color="auto" w:sz="4" w:space="0"/>
            </w:tcBorders>
            <w:vAlign w:val="center"/>
          </w:tcPr>
          <w:p>
            <w:pPr>
              <w:tabs>
                <w:tab w:val="left" w:pos="420"/>
                <w:tab w:val="center" w:pos="4153"/>
                <w:tab w:val="right" w:pos="8306"/>
              </w:tabs>
              <w:snapToGrid w:val="0"/>
              <w:rPr>
                <w:rFonts w:ascii="宋体" w:hAnsi="宋体" w:cs="宋体"/>
                <w:b/>
                <w:sz w:val="18"/>
                <w:szCs w:val="18"/>
              </w:rPr>
            </w:pPr>
            <w:r>
              <w:rPr>
                <w:rFonts w:hint="eastAsia" w:ascii="宋体" w:hAnsi="宋体" w:cs="宋体"/>
                <w:b/>
                <w:sz w:val="18"/>
                <w:szCs w:val="18"/>
              </w:rPr>
              <w:t>实验（实训）教学任务</w:t>
            </w:r>
          </w:p>
        </w:tc>
        <w:tc>
          <w:tcPr>
            <w:tcW w:w="5889" w:type="dxa"/>
            <w:gridSpan w:val="5"/>
            <w:tcBorders>
              <w:top w:val="single" w:color="auto" w:sz="8" w:space="0"/>
              <w:left w:val="single" w:color="auto" w:sz="4" w:space="0"/>
              <w:bottom w:val="single" w:color="auto" w:sz="4" w:space="0"/>
              <w:right w:val="single" w:color="auto" w:sz="8" w:space="0"/>
            </w:tcBorders>
            <w:vAlign w:val="center"/>
          </w:tcPr>
          <w:p>
            <w:pPr>
              <w:snapToGrid w:val="0"/>
              <w:ind w:firstLine="422"/>
              <w:jc w:val="center"/>
              <w:rPr>
                <w:rFonts w:ascii="宋体" w:hAnsi="宋体" w:cs="宋体"/>
                <w:b/>
                <w:sz w:val="18"/>
                <w:szCs w:val="18"/>
              </w:rPr>
            </w:pPr>
            <w:r>
              <w:rPr>
                <w:rFonts w:hint="eastAsia" w:ascii="宋体" w:hAnsi="宋体" w:cs="宋体"/>
                <w:b/>
                <w:sz w:val="18"/>
                <w:szCs w:val="18"/>
              </w:rPr>
              <w:t>实验（实训）设备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1" w:hRule="atLeast"/>
          <w:tblHeader/>
          <w:jc w:val="center"/>
        </w:trPr>
        <w:tc>
          <w:tcPr>
            <w:tcW w:w="1128" w:type="dxa"/>
            <w:vMerge w:val="continue"/>
            <w:tcBorders>
              <w:left w:val="single" w:color="auto" w:sz="8" w:space="0"/>
              <w:right w:val="single" w:color="auto" w:sz="4" w:space="0"/>
            </w:tcBorders>
            <w:vAlign w:val="center"/>
          </w:tcPr>
          <w:p>
            <w:pPr>
              <w:widowControl/>
              <w:snapToGrid w:val="0"/>
              <w:ind w:firstLine="422"/>
              <w:jc w:val="center"/>
              <w:rPr>
                <w:rFonts w:ascii="宋体" w:hAnsi="宋体" w:cs="宋体"/>
                <w:b/>
                <w:sz w:val="18"/>
                <w:szCs w:val="18"/>
              </w:rPr>
            </w:pPr>
          </w:p>
        </w:tc>
        <w:tc>
          <w:tcPr>
            <w:tcW w:w="1095" w:type="dxa"/>
            <w:vMerge w:val="continue"/>
            <w:tcBorders>
              <w:left w:val="single" w:color="auto" w:sz="4" w:space="0"/>
              <w:right w:val="single" w:color="auto" w:sz="4" w:space="0"/>
            </w:tcBorders>
            <w:vAlign w:val="center"/>
          </w:tcPr>
          <w:p>
            <w:pPr>
              <w:widowControl/>
              <w:snapToGrid w:val="0"/>
              <w:ind w:firstLine="422"/>
              <w:jc w:val="center"/>
              <w:rPr>
                <w:rFonts w:ascii="宋体" w:hAnsi="宋体" w:cs="宋体"/>
                <w:b/>
                <w:sz w:val="18"/>
                <w:szCs w:val="18"/>
              </w:rPr>
            </w:pPr>
          </w:p>
        </w:tc>
        <w:tc>
          <w:tcPr>
            <w:tcW w:w="1103" w:type="dxa"/>
            <w:vMerge w:val="continue"/>
            <w:tcBorders>
              <w:top w:val="single" w:color="auto" w:sz="8" w:space="0"/>
              <w:left w:val="single" w:color="auto" w:sz="4" w:space="0"/>
              <w:bottom w:val="single" w:color="auto" w:sz="8" w:space="0"/>
              <w:right w:val="single" w:color="auto" w:sz="4" w:space="0"/>
            </w:tcBorders>
            <w:vAlign w:val="center"/>
          </w:tcPr>
          <w:p>
            <w:pPr>
              <w:widowControl/>
              <w:snapToGrid w:val="0"/>
              <w:ind w:firstLine="422"/>
              <w:jc w:val="center"/>
              <w:rPr>
                <w:rFonts w:ascii="宋体" w:hAnsi="宋体" w:cs="宋体"/>
                <w:b/>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sz w:val="18"/>
                <w:szCs w:val="18"/>
              </w:rPr>
            </w:pPr>
            <w:r>
              <w:rPr>
                <w:rFonts w:hint="eastAsia" w:ascii="宋体" w:hAnsi="宋体" w:cs="宋体"/>
                <w:b/>
                <w:sz w:val="18"/>
                <w:szCs w:val="18"/>
              </w:rPr>
              <w:t>序号</w:t>
            </w:r>
          </w:p>
        </w:tc>
        <w:tc>
          <w:tcPr>
            <w:tcW w:w="2460" w:type="dxa"/>
            <w:tcBorders>
              <w:top w:val="single" w:color="auto" w:sz="4" w:space="0"/>
              <w:left w:val="single" w:color="auto" w:sz="4" w:space="0"/>
              <w:bottom w:val="single" w:color="auto" w:sz="4" w:space="0"/>
              <w:right w:val="single" w:color="auto" w:sz="4" w:space="0"/>
            </w:tcBorders>
            <w:vAlign w:val="center"/>
          </w:tcPr>
          <w:p>
            <w:pPr>
              <w:snapToGrid w:val="0"/>
              <w:ind w:firstLine="422"/>
              <w:rPr>
                <w:rFonts w:ascii="宋体" w:hAnsi="宋体" w:cs="宋体"/>
                <w:b/>
                <w:sz w:val="18"/>
                <w:szCs w:val="18"/>
              </w:rPr>
            </w:pPr>
            <w:r>
              <w:rPr>
                <w:rFonts w:hint="eastAsia" w:ascii="宋体" w:hAnsi="宋体" w:cs="宋体"/>
                <w:b/>
                <w:sz w:val="18"/>
                <w:szCs w:val="18"/>
              </w:rPr>
              <w:t>名  称</w:t>
            </w:r>
          </w:p>
        </w:tc>
        <w:tc>
          <w:tcPr>
            <w:tcW w:w="705" w:type="dxa"/>
            <w:tcBorders>
              <w:top w:val="single" w:color="auto" w:sz="4" w:space="0"/>
              <w:left w:val="single" w:color="auto" w:sz="4" w:space="0"/>
              <w:bottom w:val="single" w:color="auto" w:sz="4" w:space="0"/>
              <w:right w:val="single" w:color="auto" w:sz="4" w:space="0"/>
            </w:tcBorders>
            <w:vAlign w:val="center"/>
          </w:tcPr>
          <w:p>
            <w:pPr>
              <w:tabs>
                <w:tab w:val="left" w:pos="420"/>
                <w:tab w:val="center" w:pos="4153"/>
                <w:tab w:val="right" w:pos="8306"/>
              </w:tabs>
              <w:snapToGrid w:val="0"/>
              <w:rPr>
                <w:rFonts w:ascii="宋体" w:hAnsi="宋体" w:cs="宋体"/>
                <w:b/>
                <w:sz w:val="18"/>
                <w:szCs w:val="18"/>
              </w:rPr>
            </w:pPr>
            <w:r>
              <w:rPr>
                <w:rFonts w:hint="eastAsia" w:ascii="宋体" w:hAnsi="宋体" w:cs="宋体"/>
                <w:b/>
                <w:sz w:val="18"/>
                <w:szCs w:val="18"/>
              </w:rPr>
              <w:t>单位</w:t>
            </w:r>
          </w:p>
        </w:tc>
        <w:tc>
          <w:tcPr>
            <w:tcW w:w="73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宋体"/>
                <w:b/>
                <w:sz w:val="18"/>
                <w:szCs w:val="18"/>
              </w:rPr>
            </w:pPr>
            <w:r>
              <w:rPr>
                <w:rFonts w:hint="eastAsia" w:ascii="宋体" w:hAnsi="宋体" w:cs="宋体"/>
                <w:b/>
                <w:sz w:val="18"/>
                <w:szCs w:val="18"/>
              </w:rPr>
              <w:t>数量</w:t>
            </w:r>
          </w:p>
        </w:tc>
        <w:tc>
          <w:tcPr>
            <w:tcW w:w="1269" w:type="dxa"/>
            <w:tcBorders>
              <w:top w:val="single" w:color="auto" w:sz="4" w:space="0"/>
              <w:left w:val="single" w:color="auto" w:sz="4" w:space="0"/>
              <w:bottom w:val="single" w:color="auto" w:sz="4" w:space="0"/>
              <w:right w:val="single" w:color="auto" w:sz="8" w:space="0"/>
            </w:tcBorders>
            <w:vAlign w:val="center"/>
          </w:tcPr>
          <w:p>
            <w:pPr>
              <w:snapToGrid w:val="0"/>
              <w:ind w:left="57"/>
              <w:rPr>
                <w:rFonts w:ascii="宋体" w:hAnsi="宋体" w:cs="宋体"/>
                <w:b/>
                <w:sz w:val="18"/>
                <w:szCs w:val="18"/>
              </w:rPr>
            </w:pPr>
            <w:r>
              <w:rPr>
                <w:rFonts w:hint="eastAsia" w:ascii="宋体" w:hAnsi="宋体" w:cs="宋体"/>
                <w:b/>
                <w:sz w:val="18"/>
                <w:szCs w:val="18"/>
              </w:rPr>
              <w:t>参考价格</w:t>
            </w:r>
          </w:p>
          <w:p>
            <w:pPr>
              <w:snapToGrid w:val="0"/>
              <w:ind w:left="57" w:firstLine="422"/>
              <w:jc w:val="center"/>
              <w:rPr>
                <w:rFonts w:ascii="宋体" w:hAnsi="宋体" w:cs="宋体"/>
                <w:b/>
                <w:sz w:val="18"/>
                <w:szCs w:val="18"/>
              </w:rPr>
            </w:pPr>
            <w:r>
              <w:rPr>
                <w:rFonts w:hint="eastAsia" w:ascii="宋体" w:hAnsi="宋体" w:cs="宋体"/>
                <w:b/>
                <w:sz w:val="18"/>
                <w:szCs w:val="18"/>
              </w:rPr>
              <w:t>（元）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restart"/>
            <w:tcBorders>
              <w:top w:val="single" w:color="auto" w:sz="8" w:space="0"/>
              <w:left w:val="single" w:color="auto" w:sz="8" w:space="0"/>
              <w:right w:val="single" w:color="auto" w:sz="4" w:space="0"/>
            </w:tcBorders>
            <w:vAlign w:val="center"/>
          </w:tcPr>
          <w:p>
            <w:pPr>
              <w:widowControl/>
              <w:jc w:val="center"/>
              <w:rPr>
                <w:rFonts w:ascii="宋体" w:cs="宋体"/>
                <w:sz w:val="18"/>
                <w:szCs w:val="18"/>
              </w:rPr>
            </w:pPr>
            <w:r>
              <w:rPr>
                <w:rFonts w:hint="eastAsia" w:ascii="宋体" w:cs="宋体"/>
                <w:sz w:val="18"/>
                <w:szCs w:val="18"/>
              </w:rPr>
              <w:t>基础实验室</w:t>
            </w:r>
          </w:p>
        </w:tc>
        <w:tc>
          <w:tcPr>
            <w:tcW w:w="1095" w:type="dxa"/>
            <w:vMerge w:val="restart"/>
            <w:tcBorders>
              <w:top w:val="single" w:color="auto" w:sz="8" w:space="0"/>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建筑工程材料实训室</w:t>
            </w:r>
          </w:p>
        </w:tc>
        <w:tc>
          <w:tcPr>
            <w:tcW w:w="1103" w:type="dxa"/>
            <w:vMerge w:val="restart"/>
            <w:tcBorders>
              <w:top w:val="single" w:color="auto" w:sz="8" w:space="0"/>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1、建筑材料基本性能实训；2、建筑用砂石性能实训；3、水泥技术性能实训；4、普通混凝土技术性能实训；5、砂浆性能实训。</w:t>
            </w:r>
          </w:p>
        </w:tc>
        <w:tc>
          <w:tcPr>
            <w:tcW w:w="720" w:type="dxa"/>
            <w:tcBorders>
              <w:top w:val="single" w:color="auto" w:sz="8"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8"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水泥稠度负压筛析仪</w:t>
            </w:r>
          </w:p>
        </w:tc>
        <w:tc>
          <w:tcPr>
            <w:tcW w:w="705" w:type="dxa"/>
            <w:tcBorders>
              <w:top w:val="single" w:color="auto" w:sz="8"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8"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8"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水泥净浆搅拌机</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5</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3800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水泥胶砂搅拌机</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5</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3200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雷氏沸煮箱</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150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水泥胶砂振实台</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3800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6</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水泥标准稠度测定仪</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8</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100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7</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砂浆稠度仪</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300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8</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砂浆分层度仪</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120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restart"/>
            <w:tcBorders>
              <w:left w:val="single" w:color="auto" w:sz="8" w:space="0"/>
              <w:right w:val="single" w:color="auto" w:sz="4" w:space="0"/>
            </w:tcBorders>
            <w:vAlign w:val="center"/>
          </w:tcPr>
          <w:p>
            <w:pPr>
              <w:widowControl/>
              <w:jc w:val="center"/>
              <w:rPr>
                <w:rFonts w:ascii="宋体" w:cs="宋体"/>
                <w:sz w:val="18"/>
                <w:szCs w:val="18"/>
              </w:rPr>
            </w:pPr>
            <w:r>
              <w:rPr>
                <w:rFonts w:hint="eastAsia" w:ascii="宋体" w:cs="宋体"/>
                <w:sz w:val="18"/>
                <w:szCs w:val="18"/>
              </w:rPr>
              <w:t>仿真模拟</w:t>
            </w:r>
          </w:p>
        </w:tc>
        <w:tc>
          <w:tcPr>
            <w:tcW w:w="1095" w:type="dxa"/>
            <w:vMerge w:val="restart"/>
            <w:tcBorders>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建筑工程仿真模拟实训室</w:t>
            </w:r>
          </w:p>
        </w:tc>
        <w:tc>
          <w:tcPr>
            <w:tcW w:w="1103" w:type="dxa"/>
            <w:vMerge w:val="restart"/>
            <w:tcBorders>
              <w:top w:val="single" w:color="auto" w:sz="8" w:space="0"/>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1、砌筑、抹灰工种操作；2、钢筋工种操作；3、模板搭设操作、脚手架安装操作；4、房屋地面、墙面、顶棚构造的认识。</w:t>
            </w: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钢筋工作台</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6</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钢筋切断机</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4500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钢筋调直机</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6400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钢筋弯曲机</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2000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混凝土搅拌机</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3200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restart"/>
            <w:tcBorders>
              <w:left w:val="single" w:color="auto" w:sz="8" w:space="0"/>
              <w:right w:val="single" w:color="auto" w:sz="4" w:space="0"/>
            </w:tcBorders>
            <w:vAlign w:val="center"/>
          </w:tcPr>
          <w:p>
            <w:pPr>
              <w:widowControl/>
              <w:jc w:val="center"/>
              <w:rPr>
                <w:rFonts w:ascii="宋体" w:cs="宋体"/>
                <w:sz w:val="18"/>
                <w:szCs w:val="18"/>
              </w:rPr>
            </w:pPr>
            <w:r>
              <w:rPr>
                <w:rFonts w:hint="eastAsia" w:ascii="宋体" w:cs="宋体"/>
                <w:sz w:val="18"/>
                <w:szCs w:val="18"/>
              </w:rPr>
              <w:t>技能实训</w:t>
            </w:r>
          </w:p>
        </w:tc>
        <w:tc>
          <w:tcPr>
            <w:tcW w:w="1095" w:type="dxa"/>
            <w:vMerge w:val="restart"/>
            <w:tcBorders>
              <w:left w:val="single" w:color="auto" w:sz="4" w:space="0"/>
              <w:right w:val="single" w:color="auto" w:sz="4" w:space="0"/>
            </w:tcBorders>
            <w:vAlign w:val="center"/>
          </w:tcPr>
          <w:p>
            <w:pPr>
              <w:widowControl/>
              <w:rPr>
                <w:rFonts w:ascii="宋体" w:cs="宋体"/>
                <w:sz w:val="18"/>
                <w:szCs w:val="18"/>
              </w:rPr>
            </w:pPr>
            <w:r>
              <w:rPr>
                <w:rFonts w:hint="eastAsia" w:ascii="宋体" w:cs="宋体"/>
                <w:sz w:val="18"/>
                <w:szCs w:val="18"/>
              </w:rPr>
              <w:t>测绘实训室</w:t>
            </w:r>
          </w:p>
        </w:tc>
        <w:tc>
          <w:tcPr>
            <w:tcW w:w="1103" w:type="dxa"/>
            <w:vMerge w:val="restart"/>
            <w:tcBorders>
              <w:top w:val="single" w:color="auto" w:sz="8" w:space="0"/>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1、水准仪的使用；2、经纬仪的使用；3、水平角、竖直角测量、距离测量；4、地形图测量、施工测量。</w:t>
            </w: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经纬仪J6E</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1800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自动安平水准仪DSZ2</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1000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激光铅垂仪DAJ2</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850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电子经纬仪DJD2A</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2700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全站仪</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6000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restart"/>
            <w:tcBorders>
              <w:left w:val="single" w:color="auto" w:sz="8" w:space="0"/>
              <w:right w:val="single" w:color="auto" w:sz="4" w:space="0"/>
            </w:tcBorders>
            <w:vAlign w:val="center"/>
          </w:tcPr>
          <w:p>
            <w:pPr>
              <w:widowControl/>
              <w:jc w:val="center"/>
              <w:rPr>
                <w:rFonts w:ascii="宋体" w:cs="宋体"/>
                <w:sz w:val="18"/>
                <w:szCs w:val="18"/>
              </w:rPr>
            </w:pPr>
            <w:r>
              <w:rPr>
                <w:rFonts w:hint="eastAsia" w:ascii="宋体" w:cs="宋体"/>
                <w:sz w:val="18"/>
                <w:szCs w:val="18"/>
              </w:rPr>
              <w:t>技能实训</w:t>
            </w:r>
          </w:p>
        </w:tc>
        <w:tc>
          <w:tcPr>
            <w:tcW w:w="1095" w:type="dxa"/>
            <w:vMerge w:val="restart"/>
            <w:tcBorders>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建筑工程识图室</w:t>
            </w:r>
          </w:p>
        </w:tc>
        <w:tc>
          <w:tcPr>
            <w:tcW w:w="1103" w:type="dxa"/>
            <w:vMerge w:val="restart"/>
            <w:tcBorders>
              <w:top w:val="single" w:color="auto" w:sz="8" w:space="0"/>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1、建筑平面图、剖面图、立面图等识图训练；2、建筑结构图、钢筋配筋图识图训练；3、平法识图综合训练</w:t>
            </w: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钢筋节点平面图</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个</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钢筋节点立体图</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个</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3</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钢筋节点模型</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个</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4</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建筑结构图集</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册</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bottom w:val="single" w:color="auto" w:sz="8"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5</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建筑结构设备施工图</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套</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restart"/>
            <w:tcBorders>
              <w:left w:val="single" w:color="auto" w:sz="8" w:space="0"/>
              <w:right w:val="single" w:color="auto" w:sz="4" w:space="0"/>
            </w:tcBorders>
            <w:vAlign w:val="center"/>
          </w:tcPr>
          <w:p>
            <w:pPr>
              <w:widowControl/>
              <w:jc w:val="center"/>
              <w:rPr>
                <w:rFonts w:ascii="宋体" w:cs="宋体"/>
                <w:sz w:val="18"/>
                <w:szCs w:val="18"/>
              </w:rPr>
            </w:pPr>
            <w:r>
              <w:rPr>
                <w:rFonts w:hint="eastAsia" w:ascii="宋体" w:cs="宋体"/>
                <w:sz w:val="18"/>
                <w:szCs w:val="18"/>
              </w:rPr>
              <w:t>技能实训</w:t>
            </w:r>
          </w:p>
        </w:tc>
        <w:tc>
          <w:tcPr>
            <w:tcW w:w="1095" w:type="dxa"/>
            <w:vMerge w:val="restart"/>
            <w:tcBorders>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BIM实训室</w:t>
            </w:r>
          </w:p>
        </w:tc>
        <w:tc>
          <w:tcPr>
            <w:tcW w:w="1103" w:type="dxa"/>
            <w:vMerge w:val="restart"/>
            <w:tcBorders>
              <w:top w:val="single" w:color="auto" w:sz="8" w:space="0"/>
              <w:left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1、模板工程设计；2、工程算量；3、定额套用；4、工程量清单计价</w:t>
            </w: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1</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电脑</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台</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8000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7" w:hRule="atLeast"/>
          <w:jc w:val="center"/>
        </w:trPr>
        <w:tc>
          <w:tcPr>
            <w:tcW w:w="1128" w:type="dxa"/>
            <w:vMerge w:val="continue"/>
            <w:tcBorders>
              <w:left w:val="single" w:color="auto" w:sz="8" w:space="0"/>
              <w:right w:val="single" w:color="auto" w:sz="4" w:space="0"/>
            </w:tcBorders>
          </w:tcPr>
          <w:p>
            <w:pPr>
              <w:widowControl/>
              <w:jc w:val="center"/>
              <w:rPr>
                <w:rFonts w:ascii="宋体" w:cs="宋体"/>
                <w:sz w:val="18"/>
                <w:szCs w:val="18"/>
              </w:rPr>
            </w:pPr>
          </w:p>
        </w:tc>
        <w:tc>
          <w:tcPr>
            <w:tcW w:w="1095" w:type="dxa"/>
            <w:vMerge w:val="continue"/>
            <w:tcBorders>
              <w:left w:val="single" w:color="auto" w:sz="4" w:space="0"/>
              <w:right w:val="single" w:color="auto" w:sz="4" w:space="0"/>
            </w:tcBorders>
          </w:tcPr>
          <w:p>
            <w:pPr>
              <w:widowControl/>
              <w:jc w:val="center"/>
              <w:rPr>
                <w:rFonts w:ascii="宋体" w:cs="宋体"/>
                <w:sz w:val="18"/>
                <w:szCs w:val="18"/>
              </w:rPr>
            </w:pPr>
          </w:p>
        </w:tc>
        <w:tc>
          <w:tcPr>
            <w:tcW w:w="1103" w:type="dxa"/>
            <w:vMerge w:val="continue"/>
            <w:tcBorders>
              <w:left w:val="single" w:color="auto" w:sz="4" w:space="0"/>
              <w:right w:val="single" w:color="auto" w:sz="4" w:space="0"/>
            </w:tcBorders>
            <w:vAlign w:val="center"/>
          </w:tcPr>
          <w:p>
            <w:pPr>
              <w:widowControl/>
              <w:jc w:val="center"/>
              <w:rPr>
                <w:rFonts w:ascii="宋体" w:cs="宋体"/>
                <w:sz w:val="18"/>
                <w:szCs w:val="18"/>
              </w:rPr>
            </w:pP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2</w:t>
            </w:r>
          </w:p>
        </w:tc>
        <w:tc>
          <w:tcPr>
            <w:tcW w:w="24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品茗软件（建模、土建算量、钢筋算量、安装算量、计价软件）</w:t>
            </w:r>
          </w:p>
        </w:tc>
        <w:tc>
          <w:tcPr>
            <w:tcW w:w="70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节点</w:t>
            </w:r>
          </w:p>
        </w:tc>
        <w:tc>
          <w:tcPr>
            <w:tcW w:w="7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sz w:val="18"/>
                <w:szCs w:val="18"/>
              </w:rPr>
            </w:pPr>
            <w:r>
              <w:rPr>
                <w:rFonts w:hint="eastAsia" w:ascii="宋体" w:cs="宋体"/>
                <w:sz w:val="18"/>
                <w:szCs w:val="18"/>
              </w:rPr>
              <w:t>60</w:t>
            </w:r>
          </w:p>
        </w:tc>
        <w:tc>
          <w:tcPr>
            <w:tcW w:w="1269" w:type="dxa"/>
            <w:tcBorders>
              <w:top w:val="single" w:color="auto" w:sz="4" w:space="0"/>
              <w:left w:val="single" w:color="auto" w:sz="4" w:space="0"/>
              <w:bottom w:val="single" w:color="auto" w:sz="4" w:space="0"/>
              <w:right w:val="single" w:color="auto" w:sz="8" w:space="0"/>
            </w:tcBorders>
            <w:vAlign w:val="center"/>
          </w:tcPr>
          <w:p>
            <w:pPr>
              <w:widowControl/>
              <w:jc w:val="center"/>
              <w:rPr>
                <w:rFonts w:ascii="宋体" w:cs="宋体"/>
                <w:sz w:val="18"/>
                <w:szCs w:val="18"/>
              </w:rPr>
            </w:pPr>
            <w:r>
              <w:rPr>
                <w:rFonts w:hint="eastAsia" w:ascii="宋体" w:cs="宋体"/>
                <w:sz w:val="18"/>
                <w:szCs w:val="18"/>
              </w:rPr>
              <w:t>100</w:t>
            </w:r>
          </w:p>
          <w:p>
            <w:pPr>
              <w:widowControl/>
              <w:jc w:val="center"/>
              <w:rPr>
                <w:rFonts w:ascii="宋体" w:cs="宋体"/>
                <w:sz w:val="18"/>
                <w:szCs w:val="18"/>
              </w:rPr>
            </w:pPr>
            <w:r>
              <w:rPr>
                <w:rFonts w:hint="eastAsia" w:ascii="宋体" w:cs="宋体"/>
                <w:sz w:val="18"/>
                <w:szCs w:val="18"/>
              </w:rPr>
              <w:t>00</w:t>
            </w:r>
          </w:p>
        </w:tc>
      </w:tr>
    </w:tbl>
    <w:p>
      <w:pPr>
        <w:spacing w:line="500" w:lineRule="exact"/>
        <w:rPr>
          <w:rFonts w:ascii="宋体" w:hAnsi="宋体"/>
          <w:sz w:val="24"/>
          <w:szCs w:val="24"/>
        </w:rPr>
      </w:pPr>
    </w:p>
    <w:p>
      <w:pPr>
        <w:ind w:firstLine="562" w:firstLineChars="200"/>
        <w:rPr>
          <w:rFonts w:ascii="黑体" w:hAnsi="黑体" w:eastAsia="黑体"/>
          <w:b/>
          <w:sz w:val="28"/>
        </w:rPr>
      </w:pPr>
      <w:bookmarkStart w:id="102" w:name="_Toc405393408"/>
      <w:bookmarkStart w:id="103" w:name="_Toc407697924"/>
      <w:bookmarkStart w:id="104" w:name="_Toc407696166"/>
      <w:r>
        <w:rPr>
          <w:rFonts w:hint="eastAsia" w:ascii="黑体" w:hAnsi="黑体" w:eastAsia="黑体"/>
          <w:b/>
          <w:sz w:val="28"/>
        </w:rPr>
        <w:t>3.校外实践教学条件</w:t>
      </w:r>
      <w:bookmarkEnd w:id="102"/>
      <w:bookmarkEnd w:id="103"/>
      <w:bookmarkEnd w:id="104"/>
    </w:p>
    <w:p>
      <w:pPr>
        <w:spacing w:line="500" w:lineRule="exact"/>
        <w:ind w:firstLine="480"/>
        <w:rPr>
          <w:sz w:val="24"/>
        </w:rPr>
      </w:pPr>
      <w:bookmarkStart w:id="105" w:name="_Toc407697925"/>
      <w:bookmarkStart w:id="106" w:name="_Toc407696167"/>
      <w:bookmarkStart w:id="107" w:name="_Toc405393409"/>
      <w:r>
        <w:rPr>
          <w:rFonts w:hint="eastAsia"/>
          <w:sz w:val="24"/>
        </w:rPr>
        <w:t>通过校企合作，与</w:t>
      </w:r>
      <w:r>
        <w:rPr>
          <w:rFonts w:hint="eastAsia" w:ascii="宋体" w:hAnsi="宋体" w:cs="宋体"/>
          <w:kern w:val="0"/>
          <w:sz w:val="24"/>
          <w:szCs w:val="24"/>
        </w:rPr>
        <w:t>中建八局、青岛华鹏工程咨询集团、浙江凤山建设集团、山东监理咨询有限公司、青岛海大监理公司、山东路桥、天齐置业有限公司、江苏省建等几</w:t>
      </w:r>
      <w:r>
        <w:rPr>
          <w:rFonts w:hint="eastAsia"/>
          <w:sz w:val="24"/>
        </w:rPr>
        <w:t>家企业签订合作协议，建成稳定的校外实训基地，</w:t>
      </w:r>
      <w:r>
        <w:rPr>
          <w:rFonts w:hint="eastAsia" w:ascii="宋体" w:hAnsi="宋体" w:cs="宋体"/>
          <w:kern w:val="0"/>
          <w:sz w:val="24"/>
          <w:szCs w:val="24"/>
        </w:rPr>
        <w:t>既解决了学生的实习问题，也为我们兼职教师队伍的稳定提供了基础，更有利于我们人才培养方案的修订与教学改革的推进。</w:t>
      </w:r>
    </w:p>
    <w:p>
      <w:pPr>
        <w:ind w:firstLine="562" w:firstLineChars="200"/>
        <w:rPr>
          <w:rFonts w:ascii="黑体" w:hAnsi="黑体" w:eastAsia="黑体"/>
          <w:b/>
          <w:sz w:val="28"/>
        </w:rPr>
      </w:pPr>
      <w:r>
        <w:rPr>
          <w:rFonts w:hint="eastAsia" w:ascii="黑体" w:hAnsi="黑体" w:eastAsia="黑体"/>
          <w:b/>
          <w:sz w:val="28"/>
        </w:rPr>
        <w:t>4.信息化资源</w:t>
      </w:r>
      <w:bookmarkEnd w:id="105"/>
      <w:bookmarkEnd w:id="106"/>
      <w:bookmarkEnd w:id="107"/>
    </w:p>
    <w:p>
      <w:pPr>
        <w:spacing w:line="500" w:lineRule="exact"/>
        <w:ind w:firstLine="480" w:firstLineChars="200"/>
        <w:rPr>
          <w:sz w:val="24"/>
        </w:rPr>
      </w:pPr>
      <w:bookmarkStart w:id="108" w:name="_Toc46303729"/>
      <w:r>
        <w:rPr>
          <w:rFonts w:hint="eastAsia"/>
          <w:sz w:val="24"/>
        </w:rPr>
        <w:t>具有可利用的数字化教学资源库、文献资料、常见问题解答等信息化条件；鼓励教师开发并利用信息化教学资源、教学平台，创新教学方法，引导学生利用信息化教学条件自主学习，提升教学效果。</w:t>
      </w:r>
    </w:p>
    <w:p>
      <w:pPr>
        <w:keepNext/>
        <w:keepLines/>
        <w:spacing w:line="500" w:lineRule="exact"/>
        <w:ind w:firstLine="562" w:firstLineChars="200"/>
        <w:outlineLvl w:val="1"/>
        <w:rPr>
          <w:rFonts w:ascii="Arial" w:hAnsi="Arial" w:eastAsia="黑体"/>
          <w:b/>
          <w:bCs/>
          <w:sz w:val="28"/>
          <w:szCs w:val="28"/>
        </w:rPr>
      </w:pPr>
      <w:bookmarkStart w:id="109" w:name="_Toc119633071"/>
      <w:r>
        <w:rPr>
          <w:rFonts w:ascii="Arial" w:hAnsi="Arial" w:eastAsia="黑体"/>
          <w:b/>
          <w:bCs/>
          <w:sz w:val="28"/>
          <w:szCs w:val="28"/>
        </w:rPr>
        <w:t>（</w:t>
      </w:r>
      <w:r>
        <w:rPr>
          <w:rFonts w:hint="eastAsia" w:ascii="Arial" w:hAnsi="Arial" w:eastAsia="黑体"/>
          <w:b/>
          <w:bCs/>
          <w:sz w:val="28"/>
          <w:szCs w:val="28"/>
        </w:rPr>
        <w:t>三</w:t>
      </w:r>
      <w:r>
        <w:rPr>
          <w:rFonts w:ascii="Arial" w:hAnsi="Arial" w:eastAsia="黑体"/>
          <w:b/>
          <w:bCs/>
          <w:sz w:val="28"/>
          <w:szCs w:val="28"/>
        </w:rPr>
        <w:t>）</w:t>
      </w:r>
      <w:r>
        <w:rPr>
          <w:rFonts w:hint="eastAsia" w:ascii="Arial" w:hAnsi="Arial" w:eastAsia="黑体"/>
          <w:b/>
          <w:bCs/>
          <w:sz w:val="28"/>
          <w:szCs w:val="28"/>
        </w:rPr>
        <w:t>教学资源</w:t>
      </w:r>
      <w:bookmarkEnd w:id="108"/>
      <w:bookmarkEnd w:id="109"/>
    </w:p>
    <w:p>
      <w:pPr>
        <w:spacing w:line="500" w:lineRule="exact"/>
        <w:ind w:firstLine="480" w:firstLineChars="200"/>
        <w:rPr>
          <w:rFonts w:ascii="宋体" w:hAnsi="宋体" w:cs="宋体"/>
          <w:sz w:val="24"/>
          <w:szCs w:val="24"/>
        </w:rPr>
      </w:pPr>
      <w:r>
        <w:rPr>
          <w:rFonts w:ascii="宋体" w:hAnsi="宋体" w:cs="宋体"/>
          <w:sz w:val="24"/>
          <w:szCs w:val="24"/>
        </w:rPr>
        <w:t>1.</w:t>
      </w:r>
      <w:r>
        <w:rPr>
          <w:rFonts w:hint="eastAsia" w:ascii="宋体" w:hAnsi="宋体" w:cs="宋体"/>
          <w:sz w:val="24"/>
          <w:szCs w:val="24"/>
        </w:rPr>
        <w:t>教材使用及开发情况</w:t>
      </w:r>
    </w:p>
    <w:p>
      <w:pPr>
        <w:spacing w:line="500" w:lineRule="exact"/>
        <w:ind w:firstLine="480" w:firstLineChars="200"/>
        <w:rPr>
          <w:sz w:val="24"/>
        </w:rPr>
      </w:pPr>
      <w:r>
        <w:rPr>
          <w:rFonts w:hint="eastAsia"/>
          <w:sz w:val="24"/>
        </w:rPr>
        <w:t>能按照国家规定选用优质教材，禁止不合格的教材进入课堂。学校应建立由专业教师、行业专家和教研人员等参与的教材选用机构，完善教材选用制度，经过规范程序择优选用教材。</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图书</w:t>
      </w:r>
    </w:p>
    <w:p>
      <w:pPr>
        <w:spacing w:line="500" w:lineRule="exact"/>
        <w:ind w:firstLine="480" w:firstLineChars="200"/>
        <w:rPr>
          <w:sz w:val="24"/>
        </w:rPr>
      </w:pPr>
      <w:r>
        <w:rPr>
          <w:rFonts w:hint="eastAsia"/>
          <w:sz w:val="24"/>
        </w:rPr>
        <w:t>生均纸质图书藏量在30册以上，其中专业图书不少于60%，同时适用于本专业的相关书籍不应少于2000册；与本专业相关的报刊种类不少于20种，其中专业期刊不少于10种；应有电子阅览室、电子图书资源等。</w:t>
      </w:r>
    </w:p>
    <w:p>
      <w:pPr>
        <w:numPr>
          <w:ilvl w:val="0"/>
          <w:numId w:val="6"/>
        </w:numPr>
        <w:spacing w:line="500" w:lineRule="exact"/>
        <w:ind w:firstLine="480" w:firstLineChars="200"/>
        <w:rPr>
          <w:rFonts w:ascii="宋体" w:hAnsi="宋体" w:cs="宋体"/>
          <w:sz w:val="24"/>
          <w:szCs w:val="24"/>
        </w:rPr>
      </w:pPr>
      <w:r>
        <w:rPr>
          <w:rFonts w:hint="eastAsia" w:ascii="宋体" w:hAnsi="宋体" w:cs="宋体"/>
          <w:sz w:val="24"/>
          <w:szCs w:val="24"/>
        </w:rPr>
        <w:t>数字化教学资源建设与使用情况</w:t>
      </w:r>
    </w:p>
    <w:p>
      <w:pPr>
        <w:spacing w:line="500" w:lineRule="exact"/>
        <w:ind w:firstLine="480" w:firstLineChars="200"/>
        <w:rPr>
          <w:sz w:val="24"/>
        </w:rPr>
      </w:pPr>
      <w:r>
        <w:rPr>
          <w:rFonts w:hint="eastAsia"/>
          <w:sz w:val="24"/>
        </w:rPr>
        <w:t>以优质数字化资源建设为载体，以课程为主要表现形式，以素材资源为补充，利用网络学习平台建设共享性教学资源库，资源库建设内容应涵盖学历教育与职业培训。专业教学软件包应包括试题库、案例库、课件库、专业教学素材库、教学录像库等。</w:t>
      </w:r>
    </w:p>
    <w:p>
      <w:pPr>
        <w:keepNext/>
        <w:keepLines/>
        <w:spacing w:line="500" w:lineRule="exact"/>
        <w:ind w:firstLine="562" w:firstLineChars="200"/>
        <w:outlineLvl w:val="1"/>
        <w:rPr>
          <w:rFonts w:ascii="Arial" w:hAnsi="Arial" w:eastAsia="黑体"/>
          <w:b/>
          <w:bCs/>
          <w:sz w:val="28"/>
          <w:szCs w:val="28"/>
        </w:rPr>
      </w:pPr>
      <w:bookmarkStart w:id="110" w:name="_Toc46303730"/>
      <w:bookmarkStart w:id="111" w:name="_Toc119633072"/>
      <w:r>
        <w:rPr>
          <w:rFonts w:ascii="Arial" w:hAnsi="Arial" w:eastAsia="黑体"/>
          <w:b/>
          <w:bCs/>
          <w:sz w:val="28"/>
          <w:szCs w:val="28"/>
        </w:rPr>
        <w:t>（</w:t>
      </w:r>
      <w:r>
        <w:rPr>
          <w:rFonts w:hint="eastAsia" w:ascii="Arial" w:hAnsi="Arial" w:eastAsia="黑体"/>
          <w:b/>
          <w:bCs/>
          <w:sz w:val="28"/>
          <w:szCs w:val="28"/>
        </w:rPr>
        <w:t>四</w:t>
      </w:r>
      <w:r>
        <w:rPr>
          <w:rFonts w:ascii="Arial" w:hAnsi="Arial" w:eastAsia="黑体"/>
          <w:b/>
          <w:bCs/>
          <w:sz w:val="28"/>
          <w:szCs w:val="28"/>
        </w:rPr>
        <w:t>）</w:t>
      </w:r>
      <w:r>
        <w:rPr>
          <w:rFonts w:hint="eastAsia" w:ascii="Arial" w:hAnsi="Arial" w:eastAsia="黑体"/>
          <w:b/>
          <w:bCs/>
          <w:sz w:val="28"/>
          <w:szCs w:val="28"/>
        </w:rPr>
        <w:t>教学方法</w:t>
      </w:r>
      <w:bookmarkEnd w:id="110"/>
      <w:bookmarkEnd w:id="111"/>
    </w:p>
    <w:p>
      <w:pPr>
        <w:spacing w:line="500" w:lineRule="exact"/>
        <w:ind w:firstLine="480" w:firstLineChars="200"/>
        <w:rPr>
          <w:sz w:val="24"/>
        </w:rPr>
      </w:pPr>
      <w:r>
        <w:rPr>
          <w:rFonts w:hint="eastAsia"/>
          <w:sz w:val="24"/>
        </w:rPr>
        <w:t>新的课程体系，对专业教师的教学方法与教学手段提出了全新的要求。根据专业特点、实训条件及教学内容不同，需采用不同的教学方法进行教学，如案例分析、分组讨论、角色扮演、启发引导等教学方法，激励引导学生积极思考、乐于实践，从而提高教学效果。以《建筑工程施工技术》课程中屋面及地下防水工程章节为例，主要运用的是以下几种教学方法：</w:t>
      </w:r>
    </w:p>
    <w:p>
      <w:pPr>
        <w:spacing w:line="500" w:lineRule="exact"/>
        <w:ind w:firstLine="480" w:firstLineChars="200"/>
        <w:rPr>
          <w:sz w:val="24"/>
        </w:rPr>
      </w:pPr>
      <w:r>
        <w:rPr>
          <w:rFonts w:hint="eastAsia"/>
          <w:sz w:val="24"/>
        </w:rPr>
        <w:t>1、分组互动讨论法：对于课程前期的基本知识，如防水材料、防水等级要求等，老师先进行完各组学习任务分配，让学生自主查询相关知识后，再与各组以师生互动探讨式的教学方法，让学生领会和把握方法的路径、程序和手段，保证教学的顺利实施。同时，让学生逐渐养成自主思考的习惯。</w:t>
      </w:r>
    </w:p>
    <w:p>
      <w:pPr>
        <w:spacing w:line="500" w:lineRule="exact"/>
        <w:ind w:firstLine="480" w:firstLineChars="200"/>
        <w:rPr>
          <w:sz w:val="24"/>
        </w:rPr>
      </w:pPr>
      <w:r>
        <w:rPr>
          <w:rFonts w:hint="eastAsia"/>
          <w:sz w:val="24"/>
        </w:rPr>
        <w:t>2、现场情境教学法：对于具体的防水施工工艺流程介绍，为了使学生能更好的掌握与理解，带领学生来到校外实训基地，由现场的技术指导老师讲解工艺流程，并请现场的工人进行示范。</w:t>
      </w:r>
    </w:p>
    <w:p>
      <w:pPr>
        <w:spacing w:line="500" w:lineRule="exact"/>
        <w:ind w:firstLine="480" w:firstLineChars="200"/>
        <w:rPr>
          <w:sz w:val="24"/>
        </w:rPr>
      </w:pPr>
      <w:r>
        <w:rPr>
          <w:rFonts w:hint="eastAsia"/>
          <w:sz w:val="24"/>
        </w:rPr>
        <w:t>3、工程项目任务驱动法。在学生掌握了基本的防水施工如“屋顶卷材防水施工”实操环节，采用项目任务教学法，布置项目任务，师生共同讨论制定任务方案，以学生为教学过程的主体，教师起到教学指导，帮助作用。对学生项目实施方案设计的专业能力、调研和信息收集的方法能力、与人沟通和团队合作的社会能力等进行考查，以达到良好的教学效果。</w:t>
      </w:r>
    </w:p>
    <w:p>
      <w:pPr>
        <w:spacing w:line="500" w:lineRule="exact"/>
        <w:ind w:firstLine="480" w:firstLineChars="200"/>
        <w:rPr>
          <w:sz w:val="24"/>
        </w:rPr>
      </w:pPr>
      <w:r>
        <w:rPr>
          <w:rFonts w:hint="eastAsia"/>
          <w:sz w:val="24"/>
        </w:rPr>
        <w:t>4、角色扮演法。在学生完成相关的实训项目前后，抽几个学生扮演安全员、质检员，针对施工中的安全与产品质量进行监督与评价。通过多次的实训项目，让每个学生都有这样角色扮演的机会，从而让学生们接触与熟悉其他岗位的工作流程。</w:t>
      </w:r>
    </w:p>
    <w:p>
      <w:pPr>
        <w:keepNext/>
        <w:keepLines/>
        <w:spacing w:line="500" w:lineRule="exact"/>
        <w:ind w:firstLine="562" w:firstLineChars="200"/>
        <w:outlineLvl w:val="1"/>
        <w:rPr>
          <w:rFonts w:ascii="Arial" w:hAnsi="Arial" w:eastAsia="黑体"/>
          <w:b/>
          <w:bCs/>
          <w:sz w:val="28"/>
          <w:szCs w:val="28"/>
        </w:rPr>
      </w:pPr>
      <w:bookmarkStart w:id="112" w:name="_Toc119633073"/>
      <w:r>
        <w:rPr>
          <w:rFonts w:hint="eastAsia" w:ascii="Arial" w:hAnsi="Arial" w:eastAsia="黑体"/>
          <w:b/>
          <w:bCs/>
          <w:sz w:val="28"/>
          <w:szCs w:val="28"/>
        </w:rPr>
        <w:t>（五）考核评价</w:t>
      </w:r>
      <w:bookmarkEnd w:id="112"/>
    </w:p>
    <w:p>
      <w:pPr>
        <w:spacing w:line="500" w:lineRule="exact"/>
        <w:ind w:firstLine="480" w:firstLineChars="200"/>
        <w:rPr>
          <w:sz w:val="24"/>
        </w:rPr>
      </w:pPr>
      <w:r>
        <w:rPr>
          <w:rFonts w:hint="eastAsia"/>
          <w:sz w:val="24"/>
        </w:rPr>
        <w:t>1、建立多元化的评价方式</w:t>
      </w:r>
    </w:p>
    <w:p>
      <w:pPr>
        <w:spacing w:line="500" w:lineRule="exact"/>
        <w:ind w:firstLine="480" w:firstLineChars="200"/>
        <w:rPr>
          <w:sz w:val="24"/>
        </w:rPr>
      </w:pPr>
      <w:r>
        <w:rPr>
          <w:rFonts w:hint="eastAsia"/>
          <w:sz w:val="24"/>
        </w:rPr>
        <w:t>首先，评价主体多元化。教师、小组成员、学生本人、企业人员都是教学评价的主体，改变以往单纯以教师为主体的评价。</w:t>
      </w:r>
    </w:p>
    <w:p>
      <w:pPr>
        <w:spacing w:line="500" w:lineRule="exact"/>
        <w:ind w:firstLine="480" w:firstLineChars="200"/>
        <w:rPr>
          <w:sz w:val="24"/>
        </w:rPr>
      </w:pPr>
      <w:r>
        <w:rPr>
          <w:rFonts w:hint="eastAsia"/>
          <w:sz w:val="24"/>
        </w:rPr>
        <w:t>其次，评价方式的多元化。课程考核改变以往单纯用闭卷、开卷考试评定成绩的片面做法，引入考查、实践操作、调研报告、口试等多种考核方式，着重考察学生的能力与素质。</w:t>
      </w:r>
    </w:p>
    <w:p>
      <w:pPr>
        <w:spacing w:line="500" w:lineRule="exact"/>
        <w:ind w:firstLine="480" w:firstLineChars="200"/>
        <w:rPr>
          <w:sz w:val="24"/>
        </w:rPr>
      </w:pPr>
      <w:r>
        <w:rPr>
          <w:rFonts w:hint="eastAsia"/>
          <w:sz w:val="24"/>
        </w:rPr>
        <w:t>2、建立与职业资格标准相接轨的课程考核标准</w:t>
      </w:r>
    </w:p>
    <w:p>
      <w:pPr>
        <w:spacing w:line="500" w:lineRule="exact"/>
        <w:ind w:firstLine="480" w:firstLineChars="200"/>
        <w:rPr>
          <w:sz w:val="24"/>
        </w:rPr>
      </w:pPr>
      <w:r>
        <w:rPr>
          <w:rFonts w:hint="eastAsia"/>
          <w:sz w:val="24"/>
        </w:rPr>
        <w:t>（1）课程考核中引入建筑行业各工作岗位的评价标准，对学生的岗位能力及素质进行综合考核。</w:t>
      </w:r>
    </w:p>
    <w:p>
      <w:pPr>
        <w:spacing w:line="500" w:lineRule="exact"/>
        <w:ind w:firstLine="480" w:firstLineChars="200"/>
        <w:rPr>
          <w:sz w:val="24"/>
        </w:rPr>
      </w:pPr>
      <w:r>
        <w:rPr>
          <w:rFonts w:hint="eastAsia"/>
          <w:sz w:val="24"/>
        </w:rPr>
        <w:t>（2）将专业拓展选修课程考核与实习相结合，凡从事了相关岗位的实习工作，根据工作内容及单位证明、现场考核后可以进行相关课程成绩的认定。</w:t>
      </w:r>
    </w:p>
    <w:p>
      <w:pPr>
        <w:spacing w:line="500" w:lineRule="exact"/>
        <w:ind w:firstLine="480" w:firstLineChars="200"/>
        <w:rPr>
          <w:sz w:val="24"/>
        </w:rPr>
      </w:pPr>
      <w:r>
        <w:rPr>
          <w:rFonts w:hint="eastAsia"/>
          <w:sz w:val="24"/>
        </w:rPr>
        <w:t>3、建立过程性考核与终结性考核相结合的考核制度</w:t>
      </w:r>
    </w:p>
    <w:p>
      <w:pPr>
        <w:spacing w:line="500" w:lineRule="exact"/>
        <w:ind w:firstLine="480" w:firstLineChars="200"/>
        <w:rPr>
          <w:sz w:val="24"/>
        </w:rPr>
      </w:pPr>
      <w:r>
        <w:rPr>
          <w:rFonts w:hint="eastAsia"/>
          <w:sz w:val="24"/>
        </w:rPr>
        <w:t>对于考试课程，按照学院统一规定，所有课程均采用过程性考核+期末考核相结合的方式：平时成绩25%（课堂表现10%+作业15%）+阶段性考核35%（理论或实操或理论实操相结合）+期末综合考核40%(理论或实操)。</w:t>
      </w:r>
    </w:p>
    <w:p>
      <w:pPr>
        <w:pStyle w:val="4"/>
        <w:ind w:firstLine="562"/>
        <w:rPr>
          <w:b w:val="0"/>
          <w:bCs w:val="0"/>
        </w:rPr>
      </w:pPr>
      <w:bookmarkStart w:id="113" w:name="_Toc119633074"/>
      <w:r>
        <w:rPr>
          <w:rFonts w:hint="eastAsia"/>
        </w:rPr>
        <w:t>（六）质量管理</w:t>
      </w:r>
      <w:bookmarkEnd w:id="113"/>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1. 学校和系部已经建立建筑工程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4.建筑工程技术教研室充分利用评价分析结果有效改进专业教学，持续提高人才培养质量。</w:t>
      </w:r>
    </w:p>
    <w:p>
      <w:pPr>
        <w:keepNext/>
        <w:keepLines/>
        <w:spacing w:line="500" w:lineRule="exact"/>
        <w:ind w:firstLine="643" w:firstLineChars="200"/>
        <w:outlineLvl w:val="0"/>
        <w:rPr>
          <w:rFonts w:eastAsia="黑体"/>
          <w:b/>
          <w:bCs/>
          <w:kern w:val="44"/>
          <w:sz w:val="32"/>
          <w:szCs w:val="30"/>
        </w:rPr>
      </w:pPr>
      <w:bookmarkStart w:id="114" w:name="_Toc46303733"/>
      <w:bookmarkStart w:id="115" w:name="_Toc119633075"/>
      <w:r>
        <w:rPr>
          <w:rFonts w:hint="eastAsia" w:eastAsia="黑体"/>
          <w:b/>
          <w:bCs/>
          <w:kern w:val="44"/>
          <w:sz w:val="32"/>
          <w:szCs w:val="30"/>
        </w:rPr>
        <w:t>十三、毕业要求</w:t>
      </w:r>
      <w:bookmarkEnd w:id="114"/>
      <w:bookmarkEnd w:id="115"/>
    </w:p>
    <w:p>
      <w:pPr>
        <w:keepNext/>
        <w:keepLines/>
        <w:spacing w:line="500" w:lineRule="exact"/>
        <w:ind w:firstLine="562" w:firstLineChars="200"/>
        <w:outlineLvl w:val="1"/>
        <w:rPr>
          <w:rFonts w:ascii="Arial" w:hAnsi="Arial" w:eastAsia="黑体"/>
          <w:b/>
          <w:bCs/>
          <w:sz w:val="28"/>
          <w:szCs w:val="28"/>
        </w:rPr>
      </w:pPr>
      <w:bookmarkStart w:id="116" w:name="_Toc46303734"/>
      <w:bookmarkStart w:id="117" w:name="_Toc407697910"/>
      <w:bookmarkStart w:id="118" w:name="_Toc407696152"/>
      <w:bookmarkStart w:id="119" w:name="_Toc405393395"/>
      <w:bookmarkStart w:id="120" w:name="_Toc119633076"/>
      <w:r>
        <w:rPr>
          <w:rFonts w:hint="eastAsia" w:ascii="Arial" w:hAnsi="Arial" w:eastAsia="黑体"/>
          <w:b/>
          <w:bCs/>
          <w:sz w:val="28"/>
          <w:szCs w:val="28"/>
        </w:rPr>
        <w:t>（一）学分要求</w:t>
      </w:r>
      <w:bookmarkEnd w:id="116"/>
      <w:bookmarkEnd w:id="117"/>
      <w:bookmarkEnd w:id="118"/>
      <w:bookmarkEnd w:id="119"/>
      <w:bookmarkEnd w:id="120"/>
    </w:p>
    <w:p>
      <w:pPr>
        <w:snapToGrid w:val="0"/>
        <w:spacing w:line="460" w:lineRule="exact"/>
        <w:ind w:firstLine="480" w:firstLineChars="200"/>
        <w:rPr>
          <w:rFonts w:ascii="宋体" w:hAnsi="宋体" w:cs="宋体"/>
          <w:sz w:val="24"/>
          <w:szCs w:val="24"/>
        </w:rPr>
      </w:pPr>
      <w:bookmarkStart w:id="121" w:name="_Hlk11874548"/>
      <w:r>
        <w:rPr>
          <w:rFonts w:hint="eastAsia" w:ascii="宋体" w:hAnsi="宋体" w:cs="宋体"/>
          <w:sz w:val="24"/>
          <w:szCs w:val="24"/>
        </w:rPr>
        <w:t>总学分：要求学生毕业最低学分17</w:t>
      </w:r>
      <w:r>
        <w:rPr>
          <w:rFonts w:ascii="宋体" w:hAnsi="宋体" w:cs="宋体"/>
          <w:sz w:val="24"/>
          <w:szCs w:val="24"/>
        </w:rPr>
        <w:t>0</w:t>
      </w:r>
      <w:r>
        <w:rPr>
          <w:rFonts w:hint="eastAsia" w:ascii="宋体" w:hAnsi="宋体" w:cs="宋体"/>
          <w:sz w:val="24"/>
          <w:szCs w:val="24"/>
        </w:rPr>
        <w:t>学分。（说明：毕业最低学分由课程学分、第二课堂学分、操行学分三部分组成。其中包括“课程学分”</w:t>
      </w:r>
      <w:r>
        <w:rPr>
          <w:rFonts w:ascii="宋体" w:hAnsi="宋体" w:cs="宋体"/>
          <w:sz w:val="24"/>
          <w:szCs w:val="24"/>
        </w:rPr>
        <w:t>162</w:t>
      </w:r>
      <w:r>
        <w:rPr>
          <w:rFonts w:hint="eastAsia" w:ascii="宋体" w:hAnsi="宋体" w:cs="宋体"/>
          <w:sz w:val="24"/>
          <w:szCs w:val="24"/>
        </w:rPr>
        <w:t>学分，第二课堂5学分，操行学分3学分）</w:t>
      </w:r>
      <w:bookmarkEnd w:id="121"/>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p>
      <w:pPr>
        <w:pStyle w:val="2"/>
        <w:rPr>
          <w:rFonts w:ascii="宋体" w:hAnsi="宋体" w:eastAsia="宋体" w:cs="宋体"/>
          <w:sz w:val="24"/>
          <w:lang w:val="en-US"/>
        </w:rPr>
      </w:pPr>
      <w:r>
        <w:rPr>
          <w:rFonts w:hint="eastAsia" w:ascii="宋体" w:hAnsi="宋体" w:eastAsia="宋体" w:cs="宋体"/>
          <w:sz w:val="24"/>
          <w:lang w:val="en-US"/>
        </w:rPr>
        <w:t>6.第二课堂学分，按《德州科技职业学院第二课堂学分认定及管理暂行办法》执行。</w:t>
      </w:r>
    </w:p>
    <w:bookmarkEnd w:id="76"/>
    <w:bookmarkEnd w:id="77"/>
    <w:bookmarkEnd w:id="78"/>
    <w:bookmarkEnd w:id="79"/>
    <w:bookmarkEnd w:id="80"/>
    <w:p>
      <w:pPr>
        <w:keepNext/>
        <w:keepLines/>
        <w:spacing w:line="500" w:lineRule="exact"/>
        <w:ind w:firstLine="562" w:firstLineChars="200"/>
        <w:outlineLvl w:val="1"/>
        <w:rPr>
          <w:rFonts w:ascii="Arial" w:hAnsi="Arial" w:eastAsia="黑体"/>
          <w:b/>
          <w:bCs/>
          <w:sz w:val="28"/>
          <w:szCs w:val="28"/>
        </w:rPr>
      </w:pPr>
      <w:bookmarkStart w:id="122" w:name="_Toc305418734"/>
      <w:bookmarkStart w:id="123" w:name="_Toc405393396"/>
      <w:bookmarkStart w:id="124" w:name="_Toc407697911"/>
      <w:bookmarkStart w:id="125" w:name="_Toc407696153"/>
      <w:bookmarkStart w:id="126" w:name="_Toc46303735"/>
      <w:bookmarkStart w:id="127" w:name="_Toc119633077"/>
      <w:bookmarkStart w:id="128" w:name="_Toc303837894"/>
      <w:r>
        <w:rPr>
          <w:rFonts w:hint="eastAsia" w:ascii="Arial" w:hAnsi="Arial" w:eastAsia="黑体"/>
          <w:b/>
          <w:bCs/>
          <w:sz w:val="28"/>
          <w:szCs w:val="28"/>
        </w:rPr>
        <w:t>（二）</w:t>
      </w:r>
      <w:bookmarkEnd w:id="122"/>
      <w:bookmarkEnd w:id="123"/>
      <w:bookmarkEnd w:id="124"/>
      <w:bookmarkEnd w:id="125"/>
      <w:r>
        <w:rPr>
          <w:rFonts w:hint="eastAsia" w:ascii="Arial" w:hAnsi="Arial" w:eastAsia="黑体"/>
          <w:b/>
          <w:bCs/>
          <w:sz w:val="28"/>
          <w:szCs w:val="28"/>
        </w:rPr>
        <w:t>证书要求</w:t>
      </w:r>
      <w:bookmarkEnd w:id="126"/>
      <w:bookmarkEnd w:id="127"/>
    </w:p>
    <w:p>
      <w:pPr>
        <w:snapToGrid w:val="0"/>
        <w:spacing w:beforeLines="50" w:afterLines="50" w:line="360" w:lineRule="auto"/>
        <w:jc w:val="center"/>
        <w:rPr>
          <w:rFonts w:ascii="Times New Roman" w:hAnsi="Times New Roman"/>
          <w:b/>
          <w:sz w:val="24"/>
          <w:szCs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rPr>
        <w:t>2通用证书要求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Lines="20" w:afterLines="20" w:line="360" w:lineRule="auto"/>
              <w:jc w:val="center"/>
              <w:rPr>
                <w:rFonts w:ascii="宋体"/>
                <w:b/>
                <w:szCs w:val="21"/>
              </w:rPr>
            </w:pPr>
            <w:r>
              <w:rPr>
                <w:rFonts w:hint="eastAsia" w:ascii="宋体" w:hAnsi="宋体"/>
                <w:b/>
                <w:szCs w:val="21"/>
              </w:rPr>
              <w:t>序号</w:t>
            </w:r>
          </w:p>
        </w:tc>
        <w:tc>
          <w:tcPr>
            <w:tcW w:w="3336" w:type="dxa"/>
          </w:tcPr>
          <w:p>
            <w:pPr>
              <w:snapToGrid w:val="0"/>
              <w:spacing w:beforeLines="20" w:afterLines="20" w:line="360" w:lineRule="auto"/>
              <w:jc w:val="center"/>
              <w:rPr>
                <w:rFonts w:ascii="宋体"/>
                <w:b/>
                <w:szCs w:val="21"/>
              </w:rPr>
            </w:pPr>
            <w:r>
              <w:rPr>
                <w:rFonts w:hint="eastAsia" w:ascii="宋体" w:hAnsi="宋体"/>
                <w:b/>
                <w:szCs w:val="21"/>
              </w:rPr>
              <w:t>职业资格名称</w:t>
            </w:r>
          </w:p>
        </w:tc>
        <w:tc>
          <w:tcPr>
            <w:tcW w:w="3393" w:type="dxa"/>
          </w:tcPr>
          <w:p>
            <w:pPr>
              <w:snapToGrid w:val="0"/>
              <w:spacing w:beforeLines="20" w:afterLines="20" w:line="360" w:lineRule="auto"/>
              <w:jc w:val="center"/>
              <w:rPr>
                <w:rFonts w:ascii="宋体"/>
                <w:b/>
                <w:szCs w:val="21"/>
              </w:rPr>
            </w:pPr>
            <w:r>
              <w:rPr>
                <w:rFonts w:hint="eastAsia" w:ascii="宋体" w:hAnsi="宋体"/>
                <w:b/>
                <w:szCs w:val="21"/>
              </w:rPr>
              <w:t>颁证单位</w:t>
            </w:r>
          </w:p>
        </w:tc>
        <w:tc>
          <w:tcPr>
            <w:tcW w:w="1060" w:type="dxa"/>
          </w:tcPr>
          <w:p>
            <w:pPr>
              <w:snapToGrid w:val="0"/>
              <w:spacing w:beforeLines="20" w:afterLines="20" w:line="360" w:lineRule="auto"/>
              <w:jc w:val="center"/>
              <w:rPr>
                <w:rFonts w:ascii="宋体"/>
                <w:b/>
                <w:szCs w:val="21"/>
              </w:rPr>
            </w:pPr>
            <w:r>
              <w:rPr>
                <w:rFonts w:hint="eastAsia" w:ascii="宋体" w:hAnsi="宋体"/>
                <w:b/>
                <w:szCs w:val="21"/>
              </w:rPr>
              <w:t>等级</w:t>
            </w:r>
          </w:p>
        </w:tc>
        <w:tc>
          <w:tcPr>
            <w:tcW w:w="747" w:type="dxa"/>
          </w:tcPr>
          <w:p>
            <w:pPr>
              <w:snapToGrid w:val="0"/>
              <w:spacing w:beforeLines="20"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Lines="20" w:afterLines="20"/>
              <w:jc w:val="center"/>
              <w:rPr>
                <w:rFonts w:ascii="宋体"/>
                <w:szCs w:val="21"/>
              </w:rPr>
            </w:pPr>
            <w:r>
              <w:rPr>
                <w:rFonts w:ascii="宋体" w:hAnsi="宋体"/>
                <w:szCs w:val="21"/>
              </w:rPr>
              <w:t>1</w:t>
            </w:r>
          </w:p>
        </w:tc>
        <w:tc>
          <w:tcPr>
            <w:tcW w:w="3336" w:type="dxa"/>
            <w:vAlign w:val="center"/>
          </w:tcPr>
          <w:p>
            <w:pPr>
              <w:spacing w:beforeLines="20" w:afterLines="20"/>
              <w:jc w:val="center"/>
              <w:rPr>
                <w:rFonts w:ascii="宋体"/>
                <w:szCs w:val="21"/>
              </w:rPr>
            </w:pPr>
            <w:r>
              <w:rPr>
                <w:rFonts w:hint="eastAsia" w:ascii="宋体" w:hAnsi="宋体"/>
                <w:szCs w:val="21"/>
              </w:rPr>
              <w:t>普通话水平测试等级证书</w:t>
            </w:r>
          </w:p>
        </w:tc>
        <w:tc>
          <w:tcPr>
            <w:tcW w:w="3393" w:type="dxa"/>
            <w:vAlign w:val="center"/>
          </w:tcPr>
          <w:p>
            <w:pPr>
              <w:spacing w:beforeLines="20" w:afterLines="20"/>
              <w:jc w:val="center"/>
              <w:rPr>
                <w:rFonts w:ascii="宋体"/>
                <w:szCs w:val="21"/>
              </w:rPr>
            </w:pPr>
            <w:r>
              <w:rPr>
                <w:rFonts w:hint="eastAsia" w:ascii="宋体" w:hAnsi="宋体"/>
                <w:szCs w:val="21"/>
              </w:rPr>
              <w:t>山东省语言文字工作委员会</w:t>
            </w:r>
          </w:p>
        </w:tc>
        <w:tc>
          <w:tcPr>
            <w:tcW w:w="1060" w:type="dxa"/>
            <w:vAlign w:val="center"/>
          </w:tcPr>
          <w:p>
            <w:pPr>
              <w:spacing w:beforeLines="20" w:afterLines="20"/>
              <w:jc w:val="center"/>
              <w:rPr>
                <w:rFonts w:ascii="宋体"/>
                <w:szCs w:val="21"/>
              </w:rPr>
            </w:pPr>
            <w:r>
              <w:rPr>
                <w:rFonts w:hint="eastAsia" w:ascii="宋体" w:hAnsi="宋体"/>
                <w:szCs w:val="21"/>
              </w:rPr>
              <w:t>二级乙等及以上</w:t>
            </w:r>
          </w:p>
        </w:tc>
        <w:tc>
          <w:tcPr>
            <w:tcW w:w="747" w:type="dxa"/>
            <w:vAlign w:val="center"/>
          </w:tcPr>
          <w:p>
            <w:pPr>
              <w:spacing w:beforeLines="20" w:afterLines="20"/>
              <w:jc w:val="center"/>
              <w:rPr>
                <w:rFonts w:ascii="宋体"/>
                <w:szCs w:val="21"/>
              </w:rPr>
            </w:pPr>
            <w:r>
              <w:rPr>
                <w:rFonts w:hint="eastAsia" w:ascii="宋体" w:hAnsi="宋体"/>
                <w:szCs w:val="21"/>
              </w:rPr>
              <w:t>必取</w:t>
            </w:r>
          </w:p>
        </w:tc>
      </w:tr>
    </w:tbl>
    <w:p>
      <w:pPr>
        <w:snapToGrid w:val="0"/>
        <w:spacing w:beforeLines="50" w:afterLines="50" w:line="360" w:lineRule="auto"/>
        <w:ind w:firstLine="482" w:firstLineChars="200"/>
        <w:jc w:val="center"/>
        <w:rPr>
          <w:rFonts w:ascii="Times New Roman" w:hAnsi="Times New Roman"/>
          <w:b/>
          <w:sz w:val="24"/>
          <w:szCs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rPr>
        <w:t>3职业资格/职业技能等级证书要求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750" w:type="dxa"/>
            <w:vAlign w:val="center"/>
          </w:tcPr>
          <w:p>
            <w:pPr>
              <w:snapToGrid w:val="0"/>
              <w:spacing w:beforeLines="20" w:afterLines="20" w:line="360" w:lineRule="auto"/>
              <w:jc w:val="center"/>
              <w:rPr>
                <w:rFonts w:ascii="宋体"/>
                <w:b/>
                <w:szCs w:val="21"/>
              </w:rPr>
            </w:pPr>
            <w:r>
              <w:rPr>
                <w:rFonts w:hint="eastAsia" w:ascii="宋体" w:hAnsi="宋体"/>
                <w:b/>
                <w:szCs w:val="21"/>
              </w:rPr>
              <w:t>序号</w:t>
            </w:r>
          </w:p>
        </w:tc>
        <w:tc>
          <w:tcPr>
            <w:tcW w:w="3336" w:type="dxa"/>
            <w:vAlign w:val="center"/>
          </w:tcPr>
          <w:p>
            <w:pPr>
              <w:snapToGrid w:val="0"/>
              <w:spacing w:beforeLines="20" w:afterLines="20" w:line="360" w:lineRule="auto"/>
              <w:jc w:val="center"/>
              <w:rPr>
                <w:rFonts w:ascii="宋体"/>
                <w:b/>
                <w:szCs w:val="21"/>
              </w:rPr>
            </w:pPr>
            <w:r>
              <w:rPr>
                <w:rFonts w:hint="eastAsia" w:ascii="宋体" w:hAnsi="宋体"/>
                <w:b/>
                <w:szCs w:val="21"/>
              </w:rPr>
              <w:t>证书名称</w:t>
            </w:r>
          </w:p>
        </w:tc>
        <w:tc>
          <w:tcPr>
            <w:tcW w:w="3705" w:type="dxa"/>
            <w:vAlign w:val="center"/>
          </w:tcPr>
          <w:p>
            <w:pPr>
              <w:snapToGrid w:val="0"/>
              <w:spacing w:beforeLines="20" w:afterLines="20" w:line="360" w:lineRule="auto"/>
              <w:jc w:val="center"/>
              <w:rPr>
                <w:rFonts w:ascii="宋体"/>
                <w:b/>
                <w:szCs w:val="21"/>
              </w:rPr>
            </w:pPr>
            <w:r>
              <w:rPr>
                <w:rFonts w:hint="eastAsia" w:ascii="宋体" w:hAnsi="宋体"/>
                <w:b/>
                <w:szCs w:val="21"/>
              </w:rPr>
              <w:t>颁证单位</w:t>
            </w:r>
          </w:p>
        </w:tc>
        <w:tc>
          <w:tcPr>
            <w:tcW w:w="748" w:type="dxa"/>
            <w:vAlign w:val="center"/>
          </w:tcPr>
          <w:p>
            <w:pPr>
              <w:snapToGrid w:val="0"/>
              <w:spacing w:beforeLines="20" w:afterLines="20" w:line="360" w:lineRule="auto"/>
              <w:jc w:val="center"/>
              <w:rPr>
                <w:rFonts w:ascii="宋体"/>
                <w:b/>
                <w:szCs w:val="21"/>
              </w:rPr>
            </w:pPr>
            <w:r>
              <w:rPr>
                <w:rFonts w:hint="eastAsia" w:ascii="宋体" w:hAnsi="宋体"/>
                <w:b/>
                <w:szCs w:val="21"/>
              </w:rPr>
              <w:t>等级</w:t>
            </w:r>
          </w:p>
        </w:tc>
        <w:tc>
          <w:tcPr>
            <w:tcW w:w="747" w:type="dxa"/>
            <w:vAlign w:val="center"/>
          </w:tcPr>
          <w:p>
            <w:pPr>
              <w:snapToGrid w:val="0"/>
              <w:spacing w:beforeLines="20"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750" w:type="dxa"/>
            <w:vAlign w:val="center"/>
          </w:tcPr>
          <w:p>
            <w:pPr>
              <w:spacing w:beforeLines="20" w:afterLines="20"/>
              <w:jc w:val="center"/>
              <w:rPr>
                <w:rFonts w:ascii="宋体"/>
                <w:szCs w:val="21"/>
              </w:rPr>
            </w:pPr>
            <w:r>
              <w:rPr>
                <w:rFonts w:ascii="宋体" w:hAnsi="宋体"/>
                <w:szCs w:val="21"/>
              </w:rPr>
              <w:t>1</w:t>
            </w:r>
          </w:p>
        </w:tc>
        <w:tc>
          <w:tcPr>
            <w:tcW w:w="3336" w:type="dxa"/>
            <w:vAlign w:val="center"/>
          </w:tcPr>
          <w:p>
            <w:pPr>
              <w:spacing w:beforeLines="20" w:afterLines="20"/>
              <w:jc w:val="center"/>
              <w:rPr>
                <w:rFonts w:ascii="宋体"/>
                <w:szCs w:val="21"/>
              </w:rPr>
            </w:pPr>
            <w:r>
              <w:rPr>
                <w:rFonts w:hint="eastAsia" w:ascii="宋体"/>
                <w:szCs w:val="21"/>
              </w:rPr>
              <w:t>1+X BIM等级技能证书</w:t>
            </w:r>
          </w:p>
        </w:tc>
        <w:tc>
          <w:tcPr>
            <w:tcW w:w="3705" w:type="dxa"/>
            <w:vAlign w:val="center"/>
          </w:tcPr>
          <w:p>
            <w:pPr>
              <w:spacing w:beforeLines="20" w:afterLines="20"/>
              <w:jc w:val="center"/>
              <w:rPr>
                <w:rFonts w:ascii="宋体"/>
                <w:szCs w:val="21"/>
              </w:rPr>
            </w:pPr>
            <w:r>
              <w:rPr>
                <w:rFonts w:hint="eastAsia" w:ascii="宋体"/>
                <w:szCs w:val="21"/>
              </w:rPr>
              <w:t>中国建设教育协会</w:t>
            </w:r>
          </w:p>
          <w:p>
            <w:pPr>
              <w:spacing w:beforeLines="20" w:afterLines="20"/>
              <w:jc w:val="center"/>
              <w:rPr>
                <w:rFonts w:ascii="宋体"/>
                <w:szCs w:val="21"/>
              </w:rPr>
            </w:pPr>
            <w:r>
              <w:rPr>
                <w:rFonts w:hint="eastAsia" w:ascii="宋体"/>
                <w:szCs w:val="21"/>
              </w:rPr>
              <w:t>人才评价中心</w:t>
            </w:r>
          </w:p>
        </w:tc>
        <w:tc>
          <w:tcPr>
            <w:tcW w:w="748" w:type="dxa"/>
            <w:vAlign w:val="center"/>
          </w:tcPr>
          <w:p>
            <w:pPr>
              <w:spacing w:beforeLines="20" w:afterLines="20"/>
              <w:jc w:val="center"/>
              <w:rPr>
                <w:rFonts w:ascii="宋体"/>
                <w:szCs w:val="21"/>
              </w:rPr>
            </w:pPr>
            <w:r>
              <w:rPr>
                <w:rFonts w:hint="eastAsia" w:ascii="宋体"/>
                <w:szCs w:val="21"/>
              </w:rPr>
              <w:t>中级</w:t>
            </w:r>
          </w:p>
        </w:tc>
        <w:tc>
          <w:tcPr>
            <w:tcW w:w="747" w:type="dxa"/>
            <w:vMerge w:val="restart"/>
            <w:vAlign w:val="center"/>
          </w:tcPr>
          <w:p>
            <w:pPr>
              <w:spacing w:beforeLines="20" w:afterLines="20"/>
              <w:jc w:val="center"/>
              <w:rPr>
                <w:rFonts w:ascii="宋体" w:hAnsi="宋体"/>
                <w:szCs w:val="21"/>
              </w:rPr>
            </w:pPr>
            <w:r>
              <w:rPr>
                <w:rFonts w:hint="eastAsia" w:ascii="宋体" w:hAnsi="宋体"/>
                <w:szCs w:val="21"/>
              </w:rPr>
              <w:t>选考其中之一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trPr>
        <w:tc>
          <w:tcPr>
            <w:tcW w:w="750" w:type="dxa"/>
            <w:vAlign w:val="center"/>
          </w:tcPr>
          <w:p>
            <w:pPr>
              <w:snapToGrid w:val="0"/>
              <w:spacing w:beforeLines="20" w:afterLines="20" w:line="360" w:lineRule="auto"/>
              <w:jc w:val="center"/>
              <w:rPr>
                <w:rFonts w:ascii="宋体"/>
                <w:szCs w:val="21"/>
              </w:rPr>
            </w:pPr>
            <w:r>
              <w:rPr>
                <w:rFonts w:hint="eastAsia" w:ascii="宋体" w:hAnsi="宋体"/>
                <w:szCs w:val="21"/>
              </w:rPr>
              <w:t>2</w:t>
            </w:r>
          </w:p>
        </w:tc>
        <w:tc>
          <w:tcPr>
            <w:tcW w:w="3336" w:type="dxa"/>
            <w:vAlign w:val="center"/>
          </w:tcPr>
          <w:p>
            <w:pPr>
              <w:spacing w:beforeLines="20" w:afterLines="20"/>
              <w:jc w:val="center"/>
              <w:rPr>
                <w:rFonts w:ascii="宋体" w:hAnsi="宋体"/>
                <w:szCs w:val="21"/>
              </w:rPr>
            </w:pPr>
            <w:r>
              <w:rPr>
                <w:rFonts w:hint="eastAsia" w:ascii="宋体" w:hAnsi="宋体"/>
                <w:szCs w:val="21"/>
              </w:rPr>
              <w:t>工程测量员/土建施工员/</w:t>
            </w:r>
            <w:r>
              <w:rPr>
                <w:rFonts w:hint="eastAsia" w:ascii="宋体" w:hAnsi="宋体"/>
                <w:bCs/>
                <w:szCs w:val="21"/>
              </w:rPr>
              <w:t>土建预算员/土建安全员/土建质检员/土建材料员/土建资料员/土建监理员</w:t>
            </w:r>
          </w:p>
        </w:tc>
        <w:tc>
          <w:tcPr>
            <w:tcW w:w="3705" w:type="dxa"/>
            <w:vAlign w:val="center"/>
          </w:tcPr>
          <w:p>
            <w:pPr>
              <w:spacing w:beforeLines="20" w:afterLines="20"/>
              <w:jc w:val="center"/>
              <w:rPr>
                <w:rFonts w:ascii="宋体" w:hAnsi="宋体"/>
                <w:szCs w:val="21"/>
              </w:rPr>
            </w:pPr>
            <w:r>
              <w:rPr>
                <w:rFonts w:hint="eastAsia" w:ascii="宋体" w:hAnsi="宋体"/>
                <w:szCs w:val="21"/>
              </w:rPr>
              <w:t>中国通信工业协会/XX住房和城乡建设教育厅</w:t>
            </w:r>
          </w:p>
        </w:tc>
        <w:tc>
          <w:tcPr>
            <w:tcW w:w="748" w:type="dxa"/>
            <w:vAlign w:val="center"/>
          </w:tcPr>
          <w:p>
            <w:pPr>
              <w:spacing w:beforeLines="20" w:afterLines="20"/>
              <w:jc w:val="center"/>
              <w:rPr>
                <w:rFonts w:ascii="宋体" w:hAnsi="宋体"/>
                <w:szCs w:val="21"/>
              </w:rPr>
            </w:pPr>
            <w:r>
              <w:rPr>
                <w:rFonts w:hint="eastAsia" w:ascii="宋体" w:hAnsi="宋体"/>
                <w:szCs w:val="21"/>
              </w:rPr>
              <w:t>中级</w:t>
            </w:r>
          </w:p>
        </w:tc>
        <w:tc>
          <w:tcPr>
            <w:tcW w:w="747" w:type="dxa"/>
            <w:vMerge w:val="continue"/>
          </w:tcPr>
          <w:p>
            <w:pPr>
              <w:spacing w:beforeLines="20" w:afterLines="20"/>
              <w:jc w:val="center"/>
              <w:rPr>
                <w:rFonts w:ascii="宋体" w:hAnsi="宋体"/>
                <w:szCs w:val="21"/>
              </w:rPr>
            </w:pPr>
          </w:p>
        </w:tc>
      </w:tr>
      <w:bookmarkEnd w:id="128"/>
    </w:tbl>
    <w:p>
      <w:pPr>
        <w:spacing w:line="360" w:lineRule="auto"/>
        <w:ind w:firstLine="420" w:firstLineChars="200"/>
        <w:jc w:val="left"/>
        <w:rPr>
          <w:rFonts w:ascii="宋体" w:hAnsi="宋体"/>
          <w:sz w:val="28"/>
          <w:szCs w:val="28"/>
        </w:rPr>
      </w:pPr>
      <w:bookmarkStart w:id="129" w:name="_Toc14913"/>
      <w:bookmarkStart w:id="130" w:name="_Hlk45893963"/>
      <w:r>
        <w:rPr>
          <w:rFonts w:hint="eastAsia" w:ascii="宋体" w:hAnsi="宋体"/>
          <w:szCs w:val="21"/>
        </w:rPr>
        <w:t>注：除第一项工程测量员证外，其他证件国家已于2015年停止对在校生的考证，工作后可自行考取，考取的工程测量员证是中国通信工业协会技能鉴定机构组织的工程测量员考试，该职业职格证主要通过大赛及建筑工程测量课程来进行证书考取知识点的融入。</w:t>
      </w:r>
      <w:bookmarkEnd w:id="129"/>
    </w:p>
    <w:p>
      <w:pPr>
        <w:spacing w:line="360" w:lineRule="auto"/>
        <w:ind w:firstLine="560" w:firstLineChars="200"/>
        <w:jc w:val="right"/>
        <w:rPr>
          <w:rFonts w:ascii="宋体" w:hAnsi="宋体"/>
          <w:sz w:val="28"/>
          <w:szCs w:val="28"/>
        </w:rPr>
      </w:pPr>
    </w:p>
    <w:p>
      <w:pPr>
        <w:spacing w:line="360" w:lineRule="auto"/>
        <w:ind w:firstLine="560" w:firstLineChars="200"/>
        <w:jc w:val="right"/>
        <w:rPr>
          <w:rFonts w:ascii="宋体"/>
          <w:sz w:val="28"/>
          <w:szCs w:val="28"/>
        </w:rPr>
      </w:pPr>
      <w:r>
        <w:rPr>
          <w:rFonts w:hint="eastAsia" w:ascii="宋体" w:hAnsi="宋体"/>
          <w:sz w:val="28"/>
          <w:szCs w:val="28"/>
        </w:rPr>
        <w:t>起草人：</w:t>
      </w:r>
    </w:p>
    <w:p>
      <w:pPr>
        <w:spacing w:line="360" w:lineRule="auto"/>
        <w:ind w:firstLine="560" w:firstLineChars="200"/>
        <w:jc w:val="right"/>
        <w:rPr>
          <w:rFonts w:ascii="宋体" w:hAnsi="宋体"/>
          <w:sz w:val="28"/>
          <w:szCs w:val="28"/>
        </w:rPr>
      </w:pPr>
      <w:r>
        <w:rPr>
          <w:rFonts w:hint="eastAsia" w:ascii="宋体" w:hAnsi="宋体"/>
          <w:sz w:val="28"/>
          <w:szCs w:val="28"/>
        </w:rPr>
        <w:t>审核人：</w:t>
      </w:r>
      <w:bookmarkEnd w:id="130"/>
    </w:p>
    <w:p>
      <w:pPr>
        <w:pStyle w:val="2"/>
        <w:ind w:firstLine="560"/>
        <w:rPr>
          <w:rFonts w:ascii="宋体" w:hAnsi="宋体"/>
          <w:sz w:val="28"/>
          <w:szCs w:val="28"/>
        </w:rPr>
      </w:pPr>
    </w:p>
    <w:p>
      <w:pPr>
        <w:pStyle w:val="2"/>
        <w:ind w:firstLine="560"/>
        <w:rPr>
          <w:rFonts w:ascii="宋体" w:hAnsi="宋体"/>
          <w:sz w:val="28"/>
          <w:szCs w:val="28"/>
        </w:rPr>
      </w:pPr>
    </w:p>
    <w:p>
      <w:pPr>
        <w:pStyle w:val="2"/>
        <w:ind w:firstLine="0" w:firstLineChars="0"/>
        <w:rPr>
          <w:rFonts w:ascii="宋体" w:hAnsi="宋体"/>
          <w:sz w:val="28"/>
          <w:szCs w:val="28"/>
        </w:rPr>
      </w:pPr>
    </w:p>
    <w:p>
      <w:pPr>
        <w:spacing w:before="240" w:after="60"/>
        <w:jc w:val="center"/>
        <w:outlineLvl w:val="0"/>
        <w:rPr>
          <w:rFonts w:ascii="等线 Light" w:hAnsi="等线 Light"/>
          <w:b/>
          <w:bCs/>
          <w:sz w:val="32"/>
          <w:szCs w:val="32"/>
        </w:rPr>
      </w:pPr>
      <w:bookmarkStart w:id="131" w:name="_Toc119633078"/>
      <w:bookmarkStart w:id="132" w:name="_Hlk119320404"/>
      <w:r>
        <w:rPr>
          <w:rFonts w:hint="eastAsia" w:ascii="等线 Light" w:hAnsi="等线 Light"/>
          <w:b/>
          <w:bCs/>
          <w:sz w:val="32"/>
          <w:szCs w:val="32"/>
        </w:rPr>
        <w:t>《建筑工程制图与识图》课程标准</w:t>
      </w:r>
      <w:bookmarkEnd w:id="131"/>
    </w:p>
    <w:bookmarkEnd w:id="132"/>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专业基础课程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r>
        <w:rPr>
          <w:rFonts w:ascii="微软雅黑" w:hAnsi="微软雅黑" w:eastAsia="微软雅黑"/>
          <w:sz w:val="18"/>
          <w:szCs w:val="18"/>
        </w:rPr>
        <w:t>QJZ121001</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64</w:t>
      </w:r>
    </w:p>
    <w:p>
      <w:pPr>
        <w:spacing w:line="360" w:lineRule="auto"/>
        <w:rPr>
          <w:rFonts w:hint="eastAsia" w:ascii="黑体" w:hAnsi="宋体" w:eastAsia="黑体"/>
          <w:caps/>
          <w:sz w:val="24"/>
          <w:szCs w:val="24"/>
          <w:lang w:eastAsia="zh-CN"/>
        </w:rPr>
      </w:pPr>
      <w:r>
        <w:rPr>
          <w:rFonts w:hint="eastAsia" w:ascii="黑体" w:hAnsi="宋体" w:eastAsia="黑体"/>
          <w:b/>
          <w:caps/>
          <w:sz w:val="24"/>
          <w:szCs w:val="24"/>
        </w:rPr>
        <w:t>学分数：</w:t>
      </w:r>
      <w:r>
        <w:rPr>
          <w:rFonts w:hint="eastAsia" w:ascii="黑体" w:hAnsi="宋体" w:eastAsia="黑体"/>
          <w:caps/>
          <w:sz w:val="24"/>
          <w:szCs w:val="24"/>
          <w:lang w:val="en-US" w:eastAsia="zh-CN"/>
        </w:rPr>
        <w:t>4</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1</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三年制高职建筑工程技术，建筑工程造价</w:t>
      </w:r>
    </w:p>
    <w:p>
      <w:pPr>
        <w:spacing w:line="360" w:lineRule="auto"/>
        <w:rPr>
          <w:rFonts w:ascii="Times New Roman" w:hAnsi="Times New Roman"/>
          <w:b/>
          <w:sz w:val="24"/>
          <w:szCs w:val="24"/>
        </w:rPr>
      </w:pPr>
      <w:r>
        <w:rPr>
          <w:rFonts w:hint="eastAsia" w:ascii="黑体" w:hAnsi="Times New Roman" w:eastAsia="黑体"/>
          <w:b/>
          <w:sz w:val="24"/>
          <w:szCs w:val="24"/>
        </w:rPr>
        <w:t>开课系部：智能工程学院</w:t>
      </w:r>
    </w:p>
    <w:p>
      <w:pPr>
        <w:spacing w:line="360" w:lineRule="auto"/>
        <w:jc w:val="left"/>
        <w:rPr>
          <w:rFonts w:ascii="Times New Roman" w:hAnsi="Times New Roman"/>
          <w:b/>
          <w:sz w:val="24"/>
          <w:szCs w:val="24"/>
        </w:rPr>
      </w:pPr>
    </w:p>
    <w:p>
      <w:pPr>
        <w:spacing w:line="360" w:lineRule="auto"/>
        <w:jc w:val="center"/>
        <w:rPr>
          <w:rFonts w:ascii="黑体" w:hAnsi="Times New Roman" w:eastAsia="黑体"/>
          <w:b/>
          <w:sz w:val="28"/>
          <w:szCs w:val="28"/>
        </w:rPr>
      </w:pPr>
      <w:r>
        <w:rPr>
          <w:rFonts w:hint="eastAsia" w:ascii="黑体" w:hAnsi="Times New Roman" w:eastAsia="黑体"/>
          <w:b/>
          <w:sz w:val="28"/>
          <w:szCs w:val="28"/>
        </w:rPr>
        <w:t>一、课程性质</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（一）课程定位</w:t>
      </w:r>
    </w:p>
    <w:p>
      <w:pPr>
        <w:spacing w:line="360" w:lineRule="auto"/>
        <w:ind w:firstLine="720" w:firstLineChars="300"/>
        <w:jc w:val="left"/>
        <w:rPr>
          <w:rFonts w:ascii="Times New Roman" w:hAnsi="Times New Roman"/>
          <w:szCs w:val="24"/>
        </w:rPr>
      </w:pPr>
      <w:r>
        <w:rPr>
          <w:rFonts w:hint="eastAsia" w:ascii="Times New Roman" w:hAnsi="Times New Roman"/>
          <w:sz w:val="24"/>
          <w:szCs w:val="24"/>
        </w:rPr>
        <w:t>本课程是建筑工程技术专业学生必修的专业基础课程，在课程设置上，后续课程有建筑CAD、砌体工程施工、装饰与防水工程施工等课程。通过学习本课程，能够理解投影的原理，视图的形成及绘图原则，能够识读建筑施工图和结构施工图。养成良好的沟通能力与团队协作精神，具有安全文明的工作习惯、良好的职业道德、较强的质量意识为其职业发展、终身学习和服务社会奠定基础</w:t>
      </w:r>
    </w:p>
    <w:p>
      <w:pPr>
        <w:spacing w:line="360" w:lineRule="auto"/>
        <w:ind w:firstLine="360" w:firstLineChars="200"/>
        <w:rPr>
          <w:rFonts w:ascii="Times New Roman" w:hAnsi="Times New Roman"/>
          <w:sz w:val="18"/>
          <w:szCs w:val="18"/>
        </w:rPr>
      </w:pP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（二）设计思路</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在教学模块和教学方案设计时组织职业技术教育教学专家、专业教师、建筑行业施工和管理一线专家一起设计，充分体现工学结合、案例引导、项目导向、任务驱动。以校企合作为基础，深入到建筑类的大中型企事业单位进行调研，与企业技术骨干一起，分析课程对应职业岗位的工作任务为：对建设工程项目进行招标标底、工程预算、投标报价、工程结算的编制及工程造价的审核等。在此基础上形成学习领域并转化成具体的学习情境，采用课堂讨论、实际案例、施工现场工学结合、岗位实习等教学模式和方法。</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二、课程目标</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（一）素质目标</w:t>
      </w:r>
    </w:p>
    <w:p>
      <w:pPr>
        <w:spacing w:line="360" w:lineRule="auto"/>
        <w:ind w:firstLine="480" w:firstLineChars="200"/>
        <w:rPr>
          <w:rFonts w:ascii="宋体" w:hAnsi="宋体"/>
          <w:sz w:val="24"/>
          <w:szCs w:val="24"/>
        </w:rPr>
      </w:pPr>
      <w:r>
        <w:rPr>
          <w:rFonts w:hint="eastAsia" w:ascii="宋体" w:hAnsi="宋体"/>
          <w:sz w:val="24"/>
          <w:szCs w:val="24"/>
        </w:rPr>
        <w:t>1、培养学生热爱本专业、爱岗敬业的精神；</w:t>
      </w:r>
    </w:p>
    <w:p>
      <w:pPr>
        <w:spacing w:line="360" w:lineRule="auto"/>
        <w:ind w:firstLine="480" w:firstLineChars="200"/>
        <w:rPr>
          <w:rFonts w:ascii="宋体" w:hAnsi="宋体"/>
          <w:sz w:val="24"/>
          <w:szCs w:val="24"/>
        </w:rPr>
      </w:pPr>
      <w:r>
        <w:rPr>
          <w:rFonts w:hint="eastAsia" w:ascii="宋体" w:hAnsi="宋体"/>
          <w:sz w:val="24"/>
          <w:szCs w:val="24"/>
        </w:rPr>
        <w:t>2、培养学生工作认真负责、一丝不苟、实事求是的工作态度；</w:t>
      </w:r>
    </w:p>
    <w:p>
      <w:pPr>
        <w:spacing w:line="360" w:lineRule="auto"/>
        <w:ind w:firstLine="480" w:firstLineChars="200"/>
        <w:rPr>
          <w:rFonts w:ascii="宋体" w:hAnsi="宋体"/>
          <w:sz w:val="24"/>
          <w:szCs w:val="24"/>
        </w:rPr>
      </w:pPr>
      <w:r>
        <w:rPr>
          <w:rFonts w:hint="eastAsia" w:ascii="宋体" w:hAnsi="宋体"/>
          <w:sz w:val="24"/>
          <w:szCs w:val="24"/>
        </w:rPr>
        <w:t>3、培养学生勤于思考、善于钻研、吃苦耐劳的品质。</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（二）知识目标</w:t>
      </w:r>
    </w:p>
    <w:p>
      <w:pPr>
        <w:spacing w:line="360" w:lineRule="auto"/>
        <w:ind w:firstLine="480" w:firstLineChars="200"/>
        <w:rPr>
          <w:rFonts w:ascii="宋体" w:hAnsi="宋体"/>
          <w:sz w:val="24"/>
          <w:szCs w:val="24"/>
        </w:rPr>
      </w:pPr>
      <w:r>
        <w:rPr>
          <w:rFonts w:hint="eastAsia" w:ascii="宋体" w:hAnsi="宋体"/>
          <w:sz w:val="24"/>
          <w:szCs w:val="24"/>
        </w:rPr>
        <w:t>1、掌握正投影的基本理论，熟悉国家现行制图标准；</w:t>
      </w:r>
    </w:p>
    <w:p>
      <w:pPr>
        <w:spacing w:line="360" w:lineRule="auto"/>
        <w:ind w:firstLine="480" w:firstLineChars="200"/>
        <w:rPr>
          <w:rFonts w:ascii="宋体" w:hAnsi="宋体"/>
          <w:sz w:val="24"/>
          <w:szCs w:val="24"/>
        </w:rPr>
      </w:pPr>
      <w:r>
        <w:rPr>
          <w:rFonts w:hint="eastAsia" w:ascii="宋体" w:hAnsi="宋体"/>
          <w:sz w:val="24"/>
          <w:szCs w:val="24"/>
        </w:rPr>
        <w:t>2、掌握建筑施工图与结构施工图的图示方法与识读方法；</w:t>
      </w:r>
    </w:p>
    <w:p>
      <w:pPr>
        <w:spacing w:line="360" w:lineRule="auto"/>
        <w:ind w:firstLine="480" w:firstLineChars="200"/>
        <w:rPr>
          <w:rFonts w:ascii="宋体" w:hAnsi="宋体"/>
          <w:sz w:val="24"/>
          <w:szCs w:val="24"/>
        </w:rPr>
      </w:pPr>
      <w:r>
        <w:rPr>
          <w:rFonts w:hint="eastAsia" w:ascii="宋体" w:hAnsi="宋体"/>
          <w:sz w:val="24"/>
          <w:szCs w:val="24"/>
        </w:rPr>
        <w:t>3、能熟练识读一般民用建筑施工图。</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（三）能力目标</w:t>
      </w:r>
    </w:p>
    <w:p>
      <w:pPr>
        <w:spacing w:line="360" w:lineRule="auto"/>
        <w:ind w:firstLine="480" w:firstLineChars="200"/>
        <w:rPr>
          <w:rFonts w:ascii="宋体" w:hAnsi="宋体"/>
          <w:sz w:val="24"/>
          <w:szCs w:val="24"/>
        </w:rPr>
      </w:pPr>
      <w:r>
        <w:rPr>
          <w:rFonts w:hint="eastAsia" w:ascii="宋体" w:hAnsi="宋体"/>
          <w:sz w:val="24"/>
          <w:szCs w:val="24"/>
        </w:rPr>
        <w:t>1、能按照国家现行制图标准，正确绘制常见的工程形体投影图；</w:t>
      </w:r>
    </w:p>
    <w:p>
      <w:pPr>
        <w:spacing w:line="360" w:lineRule="auto"/>
        <w:ind w:firstLine="480" w:firstLineChars="200"/>
        <w:rPr>
          <w:rFonts w:ascii="宋体" w:hAnsi="宋体"/>
          <w:sz w:val="24"/>
          <w:szCs w:val="24"/>
        </w:rPr>
      </w:pPr>
      <w:r>
        <w:rPr>
          <w:rFonts w:hint="eastAsia" w:ascii="宋体" w:hAnsi="宋体"/>
          <w:sz w:val="24"/>
          <w:szCs w:val="24"/>
        </w:rPr>
        <w:t>2、能熟练的识读一般民用建筑施工图；</w:t>
      </w:r>
    </w:p>
    <w:p>
      <w:pPr>
        <w:spacing w:line="360" w:lineRule="auto"/>
        <w:ind w:firstLine="480" w:firstLineChars="200"/>
        <w:rPr>
          <w:rFonts w:ascii="宋体" w:hAnsi="宋体"/>
          <w:sz w:val="24"/>
          <w:szCs w:val="24"/>
        </w:rPr>
      </w:pPr>
      <w:r>
        <w:rPr>
          <w:rFonts w:hint="eastAsia" w:ascii="宋体" w:hAnsi="宋体"/>
          <w:sz w:val="24"/>
          <w:szCs w:val="24"/>
        </w:rPr>
        <w:t>3、会绘制是施工图的放样图；</w:t>
      </w:r>
    </w:p>
    <w:p>
      <w:pPr>
        <w:spacing w:line="360" w:lineRule="auto"/>
        <w:ind w:firstLine="480" w:firstLineChars="200"/>
        <w:rPr>
          <w:rFonts w:ascii="宋体" w:hAnsi="宋体"/>
          <w:sz w:val="24"/>
          <w:szCs w:val="24"/>
        </w:rPr>
      </w:pPr>
      <w:r>
        <w:rPr>
          <w:rFonts w:hint="eastAsia" w:ascii="宋体" w:hAnsi="宋体"/>
          <w:sz w:val="24"/>
          <w:szCs w:val="24"/>
        </w:rPr>
        <w:t>4、具有绘制一般建筑物的能力</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建筑形体基本的表达</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建筑制图国家标准</w:t>
            </w:r>
          </w:p>
        </w:tc>
        <w:tc>
          <w:tcPr>
            <w:tcW w:w="2180" w:type="dxa"/>
            <w:tcBorders>
              <w:top w:val="single" w:color="auto" w:sz="4" w:space="0"/>
            </w:tcBorders>
            <w:vAlign w:val="center"/>
          </w:tcPr>
          <w:p>
            <w:pPr>
              <w:rPr>
                <w:rFonts w:ascii="宋体" w:hAnsi="宋体" w:cs="宋体"/>
                <w:szCs w:val="24"/>
                <w:lang w:val="zh-CN"/>
              </w:rPr>
            </w:pPr>
            <w:r>
              <w:rPr>
                <w:rFonts w:hint="eastAsia" w:ascii="宋体" w:hAnsi="宋体" w:cs="宋体"/>
                <w:szCs w:val="24"/>
                <w:lang w:val="zh-CN"/>
              </w:rPr>
              <w:t>遵章守纪</w:t>
            </w:r>
          </w:p>
        </w:tc>
        <w:tc>
          <w:tcPr>
            <w:tcW w:w="2087" w:type="dxa"/>
            <w:tcBorders>
              <w:top w:val="single" w:color="auto" w:sz="4" w:space="0"/>
            </w:tcBorders>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投影的基本知识</w:t>
            </w:r>
          </w:p>
        </w:tc>
        <w:tc>
          <w:tcPr>
            <w:tcW w:w="2180" w:type="dxa"/>
            <w:vAlign w:val="center"/>
          </w:tcPr>
          <w:p>
            <w:pPr>
              <w:jc w:val="left"/>
              <w:rPr>
                <w:rFonts w:ascii="宋体" w:hAnsi="宋体" w:cs="宋体"/>
                <w:szCs w:val="24"/>
              </w:rPr>
            </w:pPr>
            <w:r>
              <w:rPr>
                <w:rFonts w:hint="eastAsia" w:ascii="宋体" w:hAnsi="宋体" w:cs="宋体"/>
                <w:szCs w:val="24"/>
              </w:rPr>
              <w:t>严谨认真细致，善于思考</w:t>
            </w:r>
          </w:p>
        </w:tc>
        <w:tc>
          <w:tcPr>
            <w:tcW w:w="2087" w:type="dxa"/>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轴测图的绘制表达</w:t>
            </w:r>
          </w:p>
        </w:tc>
        <w:tc>
          <w:tcPr>
            <w:tcW w:w="2180" w:type="dxa"/>
            <w:vAlign w:val="center"/>
          </w:tcPr>
          <w:p>
            <w:pPr>
              <w:jc w:val="left"/>
              <w:rPr>
                <w:rFonts w:ascii="宋体" w:hAnsi="宋体" w:cs="宋体"/>
                <w:szCs w:val="24"/>
              </w:rPr>
            </w:pPr>
            <w:r>
              <w:rPr>
                <w:rFonts w:hint="eastAsia" w:ascii="宋体" w:hAnsi="宋体" w:cs="宋体"/>
                <w:szCs w:val="24"/>
              </w:rPr>
              <w:t>善于观察，思考分析能力</w:t>
            </w:r>
          </w:p>
        </w:tc>
        <w:tc>
          <w:tcPr>
            <w:tcW w:w="2087" w:type="dxa"/>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断面图和剖视图的画法</w:t>
            </w:r>
          </w:p>
        </w:tc>
        <w:tc>
          <w:tcPr>
            <w:tcW w:w="2180" w:type="dxa"/>
            <w:vAlign w:val="center"/>
          </w:tcPr>
          <w:p>
            <w:pPr>
              <w:jc w:val="left"/>
              <w:rPr>
                <w:rFonts w:ascii="宋体" w:hAnsi="宋体" w:cs="宋体"/>
                <w:szCs w:val="24"/>
              </w:rPr>
            </w:pPr>
            <w:r>
              <w:rPr>
                <w:rFonts w:hint="eastAsia" w:ascii="宋体" w:hAnsi="宋体" w:cs="宋体"/>
                <w:szCs w:val="24"/>
              </w:rPr>
              <w:t>刻苦钻研，独立思考解决问题能力</w:t>
            </w:r>
          </w:p>
        </w:tc>
        <w:tc>
          <w:tcPr>
            <w:tcW w:w="2087" w:type="dxa"/>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建筑施工图</w:t>
            </w:r>
          </w:p>
        </w:tc>
        <w:tc>
          <w:tcPr>
            <w:tcW w:w="2152" w:type="dxa"/>
            <w:vAlign w:val="center"/>
          </w:tcPr>
          <w:p>
            <w:pPr>
              <w:jc w:val="center"/>
              <w:rPr>
                <w:rFonts w:ascii="宋体" w:hAnsi="宋体" w:cs="宋体"/>
                <w:szCs w:val="21"/>
              </w:rPr>
            </w:pPr>
            <w:r>
              <w:rPr>
                <w:rFonts w:hint="eastAsia" w:ascii="宋体" w:hAnsi="宋体" w:cs="宋体"/>
                <w:szCs w:val="21"/>
              </w:rPr>
              <w:t>建筑平面图</w:t>
            </w:r>
          </w:p>
        </w:tc>
        <w:tc>
          <w:tcPr>
            <w:tcW w:w="2180" w:type="dxa"/>
            <w:vAlign w:val="center"/>
          </w:tcPr>
          <w:p>
            <w:pPr>
              <w:jc w:val="left"/>
              <w:rPr>
                <w:rFonts w:ascii="宋体" w:hAnsi="宋体" w:cs="宋体"/>
                <w:szCs w:val="21"/>
              </w:rPr>
            </w:pPr>
            <w:r>
              <w:rPr>
                <w:rFonts w:hint="eastAsia" w:ascii="宋体" w:hAnsi="宋体" w:cs="宋体"/>
                <w:szCs w:val="21"/>
              </w:rPr>
              <w:t>细心观察精益求精工匠精神</w:t>
            </w:r>
          </w:p>
        </w:tc>
        <w:tc>
          <w:tcPr>
            <w:tcW w:w="2087" w:type="dxa"/>
            <w:vAlign w:val="center"/>
          </w:tcPr>
          <w:p>
            <w:pPr>
              <w:rPr>
                <w:rFonts w:ascii="宋体" w:hAnsi="宋体" w:cs="宋体"/>
                <w:szCs w:val="21"/>
              </w:rPr>
            </w:pPr>
            <w:r>
              <w:rPr>
                <w:rFonts w:hint="eastAsia" w:ascii="宋体" w:hAnsi="宋体" w:cs="宋体"/>
                <w:szCs w:val="21"/>
              </w:rPr>
              <w:t>故宫，布达拉宫等古建筑案例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建筑立面图</w:t>
            </w:r>
          </w:p>
        </w:tc>
        <w:tc>
          <w:tcPr>
            <w:tcW w:w="2180" w:type="dxa"/>
            <w:vAlign w:val="center"/>
          </w:tcPr>
          <w:p>
            <w:pPr>
              <w:jc w:val="left"/>
              <w:rPr>
                <w:rFonts w:ascii="宋体" w:hAnsi="宋体" w:cs="宋体"/>
                <w:szCs w:val="21"/>
              </w:rPr>
            </w:pPr>
            <w:r>
              <w:rPr>
                <w:rFonts w:hint="eastAsia" w:ascii="宋体" w:hAnsi="宋体" w:cs="宋体"/>
                <w:szCs w:val="21"/>
              </w:rPr>
              <w:t>吃苦耐劳刻苦认真民族自豪感</w:t>
            </w:r>
          </w:p>
        </w:tc>
        <w:tc>
          <w:tcPr>
            <w:tcW w:w="2087" w:type="dxa"/>
            <w:vAlign w:val="center"/>
          </w:tcPr>
          <w:p>
            <w:pPr>
              <w:rPr>
                <w:rFonts w:ascii="宋体" w:hAnsi="宋体" w:cs="宋体"/>
                <w:szCs w:val="21"/>
              </w:rPr>
            </w:pPr>
            <w:r>
              <w:rPr>
                <w:rFonts w:hint="eastAsia" w:ascii="宋体" w:hAnsi="宋体" w:cs="宋体"/>
                <w:szCs w:val="21"/>
              </w:rPr>
              <w:t>梁思成绘制山西五台山佛光寺大殿图片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建筑剖面图</w:t>
            </w:r>
          </w:p>
        </w:tc>
        <w:tc>
          <w:tcPr>
            <w:tcW w:w="2180" w:type="dxa"/>
            <w:vAlign w:val="center"/>
          </w:tcPr>
          <w:p>
            <w:pPr>
              <w:jc w:val="left"/>
              <w:rPr>
                <w:rFonts w:ascii="宋体" w:hAnsi="宋体" w:cs="宋体"/>
                <w:szCs w:val="21"/>
              </w:rPr>
            </w:pPr>
            <w:r>
              <w:rPr>
                <w:rFonts w:hint="eastAsia" w:ascii="宋体" w:hAnsi="宋体" w:cs="宋体"/>
                <w:szCs w:val="21"/>
              </w:rPr>
              <w:t>独立分析思考</w:t>
            </w:r>
          </w:p>
        </w:tc>
        <w:tc>
          <w:tcPr>
            <w:tcW w:w="2087" w:type="dxa"/>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建筑详图</w:t>
            </w:r>
          </w:p>
        </w:tc>
        <w:tc>
          <w:tcPr>
            <w:tcW w:w="2180" w:type="dxa"/>
            <w:vAlign w:val="center"/>
          </w:tcPr>
          <w:p>
            <w:pPr>
              <w:jc w:val="left"/>
              <w:rPr>
                <w:rFonts w:ascii="宋体" w:hAnsi="宋体" w:cs="宋体"/>
                <w:szCs w:val="21"/>
              </w:rPr>
            </w:pPr>
            <w:r>
              <w:rPr>
                <w:rFonts w:hint="eastAsia" w:ascii="宋体" w:hAnsi="宋体" w:cs="宋体"/>
                <w:szCs w:val="21"/>
              </w:rPr>
              <w:t>严谨认真，注意细节</w:t>
            </w:r>
          </w:p>
        </w:tc>
        <w:tc>
          <w:tcPr>
            <w:tcW w:w="2087" w:type="dxa"/>
            <w:vAlign w:val="center"/>
          </w:tcPr>
          <w:p>
            <w:pPr>
              <w:rPr>
                <w:rFonts w:ascii="宋体" w:hAnsi="宋体" w:cs="宋体"/>
                <w:szCs w:val="21"/>
              </w:rPr>
            </w:pPr>
          </w:p>
        </w:tc>
      </w:tr>
    </w:tbl>
    <w:p>
      <w:pPr>
        <w:spacing w:line="360" w:lineRule="auto"/>
        <w:jc w:val="center"/>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（一）教学基本要求</w:t>
      </w:r>
    </w:p>
    <w:p>
      <w:pPr>
        <w:jc w:val="left"/>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（1）在团队构成方面本课程教学团队由4名校内专职主讲教师和1名企业兼职教师形成“4+1”教学团队。采用了老中青结合的团队结构，教授1个、3位副教授、工程师两名均毕业于综合性大学的土木建筑大类专业</w:t>
      </w:r>
    </w:p>
    <w:p>
      <w:pPr>
        <w:spacing w:line="360" w:lineRule="auto"/>
        <w:ind w:firstLine="480" w:firstLineChars="200"/>
        <w:rPr>
          <w:rFonts w:ascii="宋体" w:hAnsi="宋体"/>
          <w:sz w:val="24"/>
          <w:szCs w:val="24"/>
        </w:rPr>
      </w:pPr>
      <w:r>
        <w:rPr>
          <w:rFonts w:hint="eastAsia" w:ascii="宋体" w:hAnsi="宋体"/>
          <w:sz w:val="24"/>
          <w:szCs w:val="24"/>
        </w:rPr>
        <w:t>（2）在教师素质方面</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在教师素质方面，主讲教师应具有教师资格证，要通过学院职业教育教学能力测评；有一年以上建筑行业企业工作经历或企业锻炼经历，具有与该课程内容相关的建筑制图识图实践经验，获取了相关职业资格证书，能够不断学习掌握建筑行业新的发展方向，新的技术改进，具有一定的科研能力。</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企业兼职教师在企业需是技术骨干或业务骨干，本科学历，具有中级及以上职称。要具有较高的师德修养，懂得教学规律。应遵守学校教学管理制度。积极参与专业建设和课程建设</w:t>
      </w:r>
    </w:p>
    <w:p>
      <w:pPr>
        <w:spacing w:line="360" w:lineRule="auto"/>
        <w:ind w:firstLine="480" w:firstLineChars="200"/>
        <w:rPr>
          <w:rFonts w:ascii="宋体" w:hAnsi="宋体"/>
          <w:sz w:val="24"/>
          <w:szCs w:val="24"/>
        </w:rPr>
      </w:pPr>
      <w:r>
        <w:rPr>
          <w:rFonts w:hint="eastAsia" w:ascii="宋体" w:hAnsi="宋体"/>
          <w:sz w:val="24"/>
          <w:szCs w:val="24"/>
        </w:rPr>
        <w:t>2.实训条件：有多媒体教室、专用绘图室、图板、丁字尺、教学模型、供学生参观的建筑施工场地</w:t>
      </w:r>
    </w:p>
    <w:p>
      <w:pPr>
        <w:spacing w:line="360" w:lineRule="auto"/>
        <w:ind w:firstLine="480" w:firstLineChars="200"/>
        <w:rPr>
          <w:rFonts w:ascii="宋体" w:hAnsi="宋体"/>
          <w:sz w:val="24"/>
          <w:szCs w:val="24"/>
        </w:rPr>
      </w:pPr>
      <w:r>
        <w:rPr>
          <w:rFonts w:hint="eastAsia" w:ascii="宋体" w:hAnsi="宋体"/>
          <w:sz w:val="24"/>
          <w:szCs w:val="24"/>
        </w:rPr>
        <w:t>3.教学资源：省级教育资源精品课程《建筑工程识图与计算机绘图》、《建筑工程制图与识图》课程标准、《建筑工程制图与识图》教学实施方案、多媒体教室、教学课件 建筑制图试题库。</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（二）教学建议</w:t>
      </w:r>
    </w:p>
    <w:p>
      <w:pPr>
        <w:spacing w:line="360" w:lineRule="auto"/>
        <w:ind w:firstLine="480" w:firstLineChars="200"/>
        <w:rPr>
          <w:rFonts w:ascii="宋体" w:hAnsi="宋体"/>
          <w:sz w:val="24"/>
          <w:szCs w:val="24"/>
        </w:rPr>
      </w:pPr>
      <w:r>
        <w:rPr>
          <w:rFonts w:hint="eastAsia" w:ascii="宋体" w:hAnsi="宋体"/>
          <w:sz w:val="24"/>
          <w:szCs w:val="24"/>
        </w:rPr>
        <w:t>1.在教学模式上，采取教学做一体教学模式，教师讲解基本知识，同时进行必要的绘图操作，学生进行学习，随后学生按教师布置的任务和要求进行必要的实践操作。</w:t>
      </w:r>
    </w:p>
    <w:p>
      <w:pPr>
        <w:spacing w:line="360" w:lineRule="auto"/>
        <w:ind w:firstLine="480" w:firstLineChars="200"/>
        <w:rPr>
          <w:rFonts w:ascii="宋体" w:hAnsi="宋体"/>
          <w:sz w:val="24"/>
          <w:szCs w:val="24"/>
        </w:rPr>
      </w:pPr>
      <w:r>
        <w:rPr>
          <w:rFonts w:hint="eastAsia" w:ascii="宋体" w:hAnsi="宋体"/>
          <w:sz w:val="24"/>
          <w:szCs w:val="24"/>
        </w:rPr>
        <w:t>2.在教学方法上，有项目教学法，是以学习性任务中的某一个项目为对象，先由教师对该项目进行适当的示范，然后让学生分组围绕各自的项目进行讨论、协作学习；案例教学，建筑制图在真实情境中有很多成功的例子，教师在对每个项目进行设计讲解时，会根据这些成功的案例组织学生讨论制图的内容。</w:t>
      </w:r>
    </w:p>
    <w:p>
      <w:pPr>
        <w:spacing w:line="360" w:lineRule="auto"/>
        <w:rPr>
          <w:rFonts w:ascii="宋体" w:hAnsi="宋体"/>
          <w:sz w:val="24"/>
          <w:szCs w:val="24"/>
        </w:rPr>
      </w:pPr>
      <w:r>
        <w:rPr>
          <w:rFonts w:hint="eastAsia" w:ascii="宋体" w:hAnsi="宋体"/>
          <w:sz w:val="24"/>
          <w:szCs w:val="24"/>
        </w:rPr>
        <w:t>多媒体教学，建筑制图在讲授中需要绘制很多图例及演示作图过程，所以采用多媒体教学可以给学生展示更多的图例，同时也能比较详细的演示每一个作图的步骤。</w:t>
      </w:r>
    </w:p>
    <w:p>
      <w:pPr>
        <w:spacing w:line="360" w:lineRule="auto"/>
        <w:ind w:firstLine="560" w:firstLineChars="200"/>
        <w:rPr>
          <w:rFonts w:ascii="Times New Roman" w:hAnsi="Times New Roman"/>
          <w:szCs w:val="21"/>
        </w:rPr>
      </w:pPr>
      <w:r>
        <w:rPr>
          <w:rFonts w:hint="eastAsia" w:ascii="黑体" w:hAnsi="Times New Roman" w:eastAsia="黑体"/>
          <w:sz w:val="28"/>
          <w:szCs w:val="28"/>
        </w:rPr>
        <w:t>（三）参考书</w:t>
      </w:r>
    </w:p>
    <w:p>
      <w:pPr>
        <w:ind w:left="930" w:leftChars="100" w:hanging="720" w:hangingChars="300"/>
        <w:jc w:val="left"/>
        <w:rPr>
          <w:rFonts w:ascii="Times New Roman" w:hAnsi="Times New Roman"/>
          <w:sz w:val="24"/>
          <w:szCs w:val="24"/>
        </w:rPr>
      </w:pPr>
      <w:r>
        <w:rPr>
          <w:rFonts w:hint="eastAsia" w:ascii="Times New Roman" w:hAnsi="Times New Roman"/>
          <w:sz w:val="24"/>
          <w:szCs w:val="24"/>
        </w:rPr>
        <w:t>1.王强张小平《建筑工程制图与识图》（十一五国家规划教材）第3版</w:t>
      </w:r>
    </w:p>
    <w:p>
      <w:pPr>
        <w:ind w:left="840" w:leftChars="400" w:firstLine="1440" w:firstLineChars="600"/>
        <w:jc w:val="left"/>
        <w:rPr>
          <w:rFonts w:ascii="Times New Roman" w:hAnsi="Times New Roman"/>
          <w:sz w:val="24"/>
          <w:szCs w:val="24"/>
        </w:rPr>
      </w:pPr>
      <w:r>
        <w:rPr>
          <w:rFonts w:hint="eastAsia" w:ascii="Times New Roman" w:hAnsi="Times New Roman"/>
          <w:sz w:val="24"/>
          <w:szCs w:val="24"/>
        </w:rPr>
        <w:t>北京机械工业出版社2017</w:t>
      </w:r>
    </w:p>
    <w:p>
      <w:pPr>
        <w:ind w:firstLine="240" w:firstLineChars="100"/>
        <w:jc w:val="left"/>
        <w:rPr>
          <w:rFonts w:ascii="Times New Roman" w:hAnsi="Times New Roman"/>
          <w:sz w:val="24"/>
          <w:szCs w:val="24"/>
        </w:rPr>
      </w:pPr>
      <w:r>
        <w:rPr>
          <w:rFonts w:hint="eastAsia" w:ascii="Times New Roman" w:hAnsi="Times New Roman"/>
          <w:sz w:val="24"/>
          <w:szCs w:val="24"/>
        </w:rPr>
        <w:t>2.赵研《建筑识图与构造》（十二五职业教育国家规划）第3版北京</w:t>
      </w:r>
    </w:p>
    <w:p>
      <w:pPr>
        <w:ind w:firstLine="1200" w:firstLineChars="500"/>
        <w:jc w:val="left"/>
        <w:rPr>
          <w:rFonts w:ascii="Times New Roman" w:hAnsi="Times New Roman"/>
          <w:sz w:val="24"/>
          <w:szCs w:val="24"/>
        </w:rPr>
      </w:pPr>
      <w:r>
        <w:rPr>
          <w:rFonts w:hint="eastAsia" w:ascii="Times New Roman" w:hAnsi="Times New Roman"/>
          <w:sz w:val="24"/>
          <w:szCs w:val="24"/>
        </w:rPr>
        <w:t>中国建筑工业出版社2016</w:t>
      </w:r>
      <w:r>
        <w:rPr>
          <w:rFonts w:ascii="Times New Roman" w:hAnsi="Times New Roman"/>
          <w:sz w:val="24"/>
          <w:szCs w:val="24"/>
        </w:rPr>
        <w:t>.</w:t>
      </w:r>
    </w:p>
    <w:p>
      <w:p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五、学生考核与评价</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1.考核方式</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本课程采用课堂学习和考试相结合的考核评价模式。考核成绩由平时学习考核成绩和期末考试成绩两部分组成。</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其中平时学习考核成绩占总成绩的50%，平时考核成绩主要从考勤，作业，课堂表现三方面考核，考核依据是提交的作业、成果、平时学习表现记载，其中：</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期末考试试题类型为填空题，作图题和读图题。考试成绩占50%，其中制图基本知识和技能占20%，画法几何占40%,建筑制图读图占40%。</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2.考核标准</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考核标准应与本专业学生绘图、识读图职业能力和施工、预算上岗条件相结合，与相对应的施工员、预算员职业资格证书相对接。</w:t>
      </w:r>
    </w:p>
    <w:p>
      <w:p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01"/>
        <w:gridCol w:w="1388"/>
        <w:gridCol w:w="1754"/>
        <w:gridCol w:w="1580"/>
        <w:gridCol w:w="1120"/>
        <w:gridCol w:w="1418"/>
        <w:gridCol w:w="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pPr>
              <w:jc w:val="center"/>
              <w:rPr>
                <w:rFonts w:ascii="Times New Roman" w:hAnsi="Times New Roman"/>
                <w:b/>
                <w:szCs w:val="24"/>
              </w:rPr>
            </w:pPr>
            <w:r>
              <w:rPr>
                <w:rFonts w:hint="eastAsia" w:ascii="Times New Roman" w:hAnsi="Times New Roman"/>
                <w:b/>
                <w:szCs w:val="24"/>
              </w:rPr>
              <w:t>序号</w:t>
            </w:r>
          </w:p>
        </w:tc>
        <w:tc>
          <w:tcPr>
            <w:tcW w:w="1301" w:type="dxa"/>
            <w:vAlign w:val="center"/>
          </w:tcPr>
          <w:p>
            <w:pPr>
              <w:jc w:val="center"/>
              <w:rPr>
                <w:rFonts w:ascii="Times New Roman" w:hAnsi="Times New Roman"/>
                <w:b/>
                <w:szCs w:val="24"/>
              </w:rPr>
            </w:pPr>
            <w:r>
              <w:rPr>
                <w:rFonts w:hint="eastAsia" w:ascii="Times New Roman" w:hAnsi="Times New Roman"/>
                <w:b/>
                <w:szCs w:val="24"/>
              </w:rPr>
              <w:t>项目（或情境、任务、模块）</w:t>
            </w:r>
          </w:p>
        </w:tc>
        <w:tc>
          <w:tcPr>
            <w:tcW w:w="1388" w:type="dxa"/>
            <w:vAlign w:val="center"/>
          </w:tcPr>
          <w:p>
            <w:pPr>
              <w:jc w:val="center"/>
              <w:rPr>
                <w:rFonts w:ascii="Times New Roman" w:hAnsi="Times New Roman"/>
                <w:b/>
                <w:szCs w:val="24"/>
              </w:rPr>
            </w:pPr>
            <w:r>
              <w:rPr>
                <w:rFonts w:hint="eastAsia" w:ascii="Times New Roman" w:hAnsi="Times New Roman"/>
                <w:b/>
                <w:szCs w:val="24"/>
              </w:rPr>
              <w:t>任务</w:t>
            </w:r>
          </w:p>
        </w:tc>
        <w:tc>
          <w:tcPr>
            <w:tcW w:w="1754" w:type="dxa"/>
            <w:vAlign w:val="center"/>
          </w:tcPr>
          <w:p>
            <w:pPr>
              <w:jc w:val="center"/>
              <w:rPr>
                <w:rFonts w:ascii="Times New Roman" w:hAnsi="Times New Roman"/>
                <w:b/>
                <w:szCs w:val="24"/>
              </w:rPr>
            </w:pPr>
            <w:r>
              <w:rPr>
                <w:rFonts w:hint="eastAsia" w:ascii="Times New Roman" w:hAnsi="Times New Roman"/>
                <w:b/>
                <w:szCs w:val="24"/>
              </w:rPr>
              <w:t>知识点</w:t>
            </w:r>
          </w:p>
        </w:tc>
        <w:tc>
          <w:tcPr>
            <w:tcW w:w="1580"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120" w:type="dxa"/>
            <w:vAlign w:val="center"/>
          </w:tcPr>
          <w:p>
            <w:pPr>
              <w:jc w:val="center"/>
              <w:rPr>
                <w:rFonts w:ascii="Times New Roman" w:hAnsi="Times New Roman"/>
                <w:b/>
                <w:szCs w:val="24"/>
              </w:rPr>
            </w:pPr>
            <w:r>
              <w:rPr>
                <w:rFonts w:hint="eastAsia" w:ascii="Times New Roman" w:hAnsi="Times New Roman"/>
                <w:b/>
                <w:szCs w:val="24"/>
              </w:rPr>
              <w:t>教学重点（思政元素融入）</w:t>
            </w:r>
          </w:p>
        </w:tc>
        <w:tc>
          <w:tcPr>
            <w:tcW w:w="1418" w:type="dxa"/>
            <w:vAlign w:val="center"/>
          </w:tcPr>
          <w:p>
            <w:pPr>
              <w:jc w:val="center"/>
              <w:rPr>
                <w:rFonts w:ascii="Times New Roman" w:hAnsi="Times New Roman"/>
                <w:b/>
                <w:szCs w:val="24"/>
              </w:rPr>
            </w:pPr>
            <w:r>
              <w:rPr>
                <w:rFonts w:hint="eastAsia" w:ascii="Times New Roman" w:hAnsi="Times New Roman"/>
                <w:b/>
                <w:szCs w:val="24"/>
              </w:rPr>
              <w:t>教学设计（或教学情景）</w:t>
            </w:r>
          </w:p>
        </w:tc>
        <w:tc>
          <w:tcPr>
            <w:tcW w:w="552" w:type="dxa"/>
            <w:vAlign w:val="center"/>
          </w:tcPr>
          <w:p>
            <w:pPr>
              <w:jc w:val="center"/>
              <w:rPr>
                <w:rFonts w:ascii="Times New Roman" w:hAnsi="Times New Roman"/>
                <w:b/>
                <w:szCs w:val="24"/>
              </w:rPr>
            </w:pPr>
            <w:r>
              <w:rPr>
                <w:rFonts w:hint="eastAsia" w:ascii="Times New Roman" w:hAnsi="Times New Roman"/>
                <w:b/>
                <w:szCs w:val="24"/>
              </w:rPr>
              <w:t>建议</w:t>
            </w:r>
          </w:p>
          <w:p>
            <w:pPr>
              <w:jc w:val="center"/>
              <w:rPr>
                <w:rFonts w:ascii="Times New Roman" w:hAnsi="Times New Roman"/>
                <w:b/>
                <w:szCs w:val="24"/>
              </w:rPr>
            </w:pPr>
            <w:r>
              <w:rPr>
                <w:rFonts w:hint="eastAsia" w:ascii="Times New Roman" w:hAnsi="Times New Roman"/>
                <w:b/>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1</w:t>
            </w:r>
          </w:p>
        </w:tc>
        <w:tc>
          <w:tcPr>
            <w:tcW w:w="1301" w:type="dxa"/>
            <w:vMerge w:val="restart"/>
          </w:tcPr>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p>
          <w:p>
            <w:pPr>
              <w:jc w:val="center"/>
              <w:rPr>
                <w:rFonts w:ascii="宋体" w:hAnsi="宋体"/>
                <w:szCs w:val="21"/>
              </w:rPr>
            </w:pPr>
            <w:r>
              <w:rPr>
                <w:rFonts w:hint="eastAsia" w:ascii="宋体" w:hAnsi="宋体"/>
                <w:szCs w:val="21"/>
              </w:rPr>
              <w:t>建筑形体的基本表达</w:t>
            </w:r>
          </w:p>
        </w:tc>
        <w:tc>
          <w:tcPr>
            <w:tcW w:w="1388" w:type="dxa"/>
          </w:tcPr>
          <w:p>
            <w:pPr>
              <w:rPr>
                <w:rFonts w:ascii="宋体" w:hAnsi="宋体"/>
                <w:szCs w:val="21"/>
              </w:rPr>
            </w:pPr>
            <w:r>
              <w:rPr>
                <w:rFonts w:hint="eastAsia" w:ascii="宋体" w:hAnsi="宋体"/>
                <w:szCs w:val="21"/>
              </w:rPr>
              <w:t>建筑制图国家标准</w:t>
            </w:r>
          </w:p>
        </w:tc>
        <w:tc>
          <w:tcPr>
            <w:tcW w:w="1754" w:type="dxa"/>
          </w:tcPr>
          <w:p>
            <w:pPr>
              <w:rPr>
                <w:rFonts w:ascii="宋体" w:hAnsi="宋体"/>
                <w:szCs w:val="21"/>
              </w:rPr>
            </w:pPr>
            <w:r>
              <w:rPr>
                <w:rFonts w:hint="eastAsia" w:ascii="宋体" w:hAnsi="宋体"/>
                <w:szCs w:val="21"/>
              </w:rPr>
              <w:t>图幅</w:t>
            </w:r>
          </w:p>
          <w:p>
            <w:pPr>
              <w:rPr>
                <w:rFonts w:ascii="Times New Roman" w:hAnsi="Times New Roman"/>
                <w:szCs w:val="24"/>
              </w:rPr>
            </w:pPr>
            <w:r>
              <w:rPr>
                <w:rFonts w:hint="eastAsia" w:ascii="Times New Roman" w:hAnsi="Times New Roman"/>
                <w:szCs w:val="24"/>
              </w:rPr>
              <w:t>比例</w:t>
            </w:r>
          </w:p>
          <w:p>
            <w:pPr>
              <w:rPr>
                <w:rFonts w:ascii="Times New Roman" w:hAnsi="Times New Roman"/>
                <w:szCs w:val="24"/>
              </w:rPr>
            </w:pPr>
            <w:r>
              <w:rPr>
                <w:rFonts w:hint="eastAsia" w:ascii="Times New Roman" w:hAnsi="Times New Roman"/>
                <w:szCs w:val="24"/>
              </w:rPr>
              <w:t>文字</w:t>
            </w:r>
          </w:p>
          <w:p>
            <w:pPr>
              <w:rPr>
                <w:rFonts w:ascii="Times New Roman" w:hAnsi="Times New Roman"/>
                <w:szCs w:val="24"/>
              </w:rPr>
            </w:pPr>
            <w:r>
              <w:rPr>
                <w:rFonts w:hint="eastAsia" w:ascii="Times New Roman" w:hAnsi="Times New Roman"/>
                <w:szCs w:val="24"/>
              </w:rPr>
              <w:t>标注</w:t>
            </w:r>
          </w:p>
          <w:p>
            <w:pPr>
              <w:rPr>
                <w:rFonts w:ascii="Times New Roman" w:hAnsi="Times New Roman"/>
                <w:szCs w:val="24"/>
              </w:rPr>
            </w:pPr>
            <w:r>
              <w:rPr>
                <w:rFonts w:hint="eastAsia" w:ascii="Times New Roman" w:hAnsi="Times New Roman"/>
                <w:szCs w:val="24"/>
              </w:rPr>
              <w:t>线型</w:t>
            </w:r>
          </w:p>
        </w:tc>
        <w:tc>
          <w:tcPr>
            <w:tcW w:w="1580" w:type="dxa"/>
          </w:tcPr>
          <w:p>
            <w:pPr>
              <w:rPr>
                <w:rFonts w:ascii="宋体" w:hAnsi="宋体"/>
                <w:szCs w:val="21"/>
              </w:rPr>
            </w:pPr>
            <w:r>
              <w:rPr>
                <w:rFonts w:hint="eastAsia" w:ascii="宋体" w:hAnsi="宋体"/>
                <w:szCs w:val="21"/>
              </w:rPr>
              <w:t>1.练仿宋字</w:t>
            </w:r>
          </w:p>
          <w:p>
            <w:pPr>
              <w:rPr>
                <w:rFonts w:ascii="Times New Roman" w:hAnsi="Times New Roman"/>
                <w:szCs w:val="24"/>
              </w:rPr>
            </w:pPr>
            <w:r>
              <w:rPr>
                <w:rFonts w:hint="eastAsia" w:ascii="Times New Roman" w:hAnsi="Times New Roman"/>
                <w:szCs w:val="24"/>
              </w:rPr>
              <w:t>2.绘图</w:t>
            </w:r>
          </w:p>
          <w:p>
            <w:pPr>
              <w:rPr>
                <w:rFonts w:ascii="Times New Roman" w:hAnsi="Times New Roman"/>
                <w:szCs w:val="24"/>
              </w:rPr>
            </w:pPr>
            <w:r>
              <w:rPr>
                <w:rFonts w:hint="eastAsia" w:ascii="Times New Roman" w:hAnsi="Times New Roman"/>
                <w:szCs w:val="24"/>
              </w:rPr>
              <w:t>3.标注尺寸</w:t>
            </w:r>
          </w:p>
        </w:tc>
        <w:tc>
          <w:tcPr>
            <w:tcW w:w="1120" w:type="dxa"/>
          </w:tcPr>
          <w:p>
            <w:pPr>
              <w:rPr>
                <w:rFonts w:ascii="宋体" w:hAnsi="宋体"/>
                <w:szCs w:val="21"/>
              </w:rPr>
            </w:pPr>
          </w:p>
          <w:p>
            <w:pPr>
              <w:rPr>
                <w:rFonts w:ascii="宋体" w:hAnsi="宋体"/>
                <w:szCs w:val="21"/>
              </w:rPr>
            </w:pPr>
            <w:r>
              <w:rPr>
                <w:rFonts w:hint="eastAsia" w:ascii="宋体" w:hAnsi="宋体"/>
                <w:szCs w:val="21"/>
              </w:rPr>
              <w:t>比例尺寸标注</w:t>
            </w:r>
          </w:p>
          <w:p>
            <w:pPr>
              <w:rPr>
                <w:rFonts w:ascii="宋体" w:hAnsi="宋体"/>
                <w:szCs w:val="21"/>
              </w:rPr>
            </w:pPr>
          </w:p>
          <w:p>
            <w:pPr>
              <w:rPr>
                <w:rFonts w:ascii="宋体" w:hAnsi="宋体"/>
                <w:szCs w:val="21"/>
              </w:rPr>
            </w:pPr>
            <w:r>
              <w:rPr>
                <w:rFonts w:hint="eastAsia" w:ascii="宋体" w:hAnsi="宋体"/>
                <w:szCs w:val="21"/>
              </w:rPr>
              <w:t>遵纪守章</w:t>
            </w:r>
          </w:p>
        </w:tc>
        <w:tc>
          <w:tcPr>
            <w:tcW w:w="1418" w:type="dxa"/>
          </w:tcPr>
          <w:p>
            <w:pPr>
              <w:rPr>
                <w:rFonts w:ascii="宋体" w:hAnsi="宋体"/>
                <w:szCs w:val="21"/>
              </w:rPr>
            </w:pPr>
            <w:r>
              <w:rPr>
                <w:rFonts w:hint="eastAsia" w:ascii="宋体" w:hAnsi="宋体"/>
                <w:szCs w:val="21"/>
              </w:rPr>
              <w:t>教师布置任务，学生学习，老师讲解</w:t>
            </w:r>
          </w:p>
          <w:p>
            <w:pPr>
              <w:rPr>
                <w:rFonts w:ascii="Times New Roman" w:hAnsi="Times New Roman"/>
                <w:szCs w:val="24"/>
              </w:rPr>
            </w:pPr>
            <w:r>
              <w:rPr>
                <w:rFonts w:hint="eastAsia" w:ascii="Times New Roman" w:hAnsi="Times New Roman"/>
                <w:szCs w:val="24"/>
              </w:rPr>
              <w:t>学生绘图</w:t>
            </w:r>
          </w:p>
        </w:tc>
        <w:tc>
          <w:tcPr>
            <w:tcW w:w="552" w:type="dxa"/>
            <w:vMerge w:val="restart"/>
            <w:vAlign w:val="center"/>
          </w:tcPr>
          <w:p>
            <w:pPr>
              <w:spacing w:line="360" w:lineRule="auto"/>
              <w:jc w:val="center"/>
              <w:rPr>
                <w:rFonts w:ascii="宋体" w:hAnsi="宋体"/>
                <w:szCs w:val="21"/>
              </w:rPr>
            </w:pPr>
            <w:r>
              <w:rPr>
                <w:rFonts w:hint="eastAsia" w:ascii="宋体" w:hAnsi="宋体"/>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投影基本知识</w:t>
            </w:r>
          </w:p>
        </w:tc>
        <w:tc>
          <w:tcPr>
            <w:tcW w:w="1754" w:type="dxa"/>
          </w:tcPr>
          <w:p>
            <w:pPr>
              <w:spacing w:line="360" w:lineRule="auto"/>
              <w:rPr>
                <w:rFonts w:ascii="宋体" w:hAnsi="宋体"/>
                <w:szCs w:val="21"/>
              </w:rPr>
            </w:pPr>
            <w:r>
              <w:rPr>
                <w:rFonts w:hint="eastAsia" w:ascii="宋体" w:hAnsi="宋体"/>
                <w:szCs w:val="21"/>
              </w:rPr>
              <w:t>1.点的投影规律</w:t>
            </w:r>
          </w:p>
          <w:p>
            <w:pPr>
              <w:rPr>
                <w:rFonts w:ascii="Times New Roman" w:hAnsi="Times New Roman"/>
                <w:szCs w:val="24"/>
              </w:rPr>
            </w:pPr>
            <w:r>
              <w:rPr>
                <w:rFonts w:hint="eastAsia" w:ascii="Times New Roman" w:hAnsi="Times New Roman"/>
                <w:szCs w:val="24"/>
              </w:rPr>
              <w:t>2.线的投影</w:t>
            </w:r>
          </w:p>
          <w:p>
            <w:pPr>
              <w:rPr>
                <w:rFonts w:ascii="Times New Roman" w:hAnsi="Times New Roman"/>
                <w:szCs w:val="24"/>
              </w:rPr>
            </w:pPr>
            <w:r>
              <w:rPr>
                <w:rFonts w:hint="eastAsia" w:ascii="Times New Roman" w:hAnsi="Times New Roman"/>
                <w:szCs w:val="24"/>
              </w:rPr>
              <w:t>3.面的投影</w:t>
            </w:r>
          </w:p>
        </w:tc>
        <w:tc>
          <w:tcPr>
            <w:tcW w:w="1580" w:type="dxa"/>
          </w:tcPr>
          <w:p>
            <w:pPr>
              <w:spacing w:line="360" w:lineRule="auto"/>
              <w:rPr>
                <w:rFonts w:ascii="宋体" w:hAnsi="宋体"/>
                <w:szCs w:val="21"/>
              </w:rPr>
            </w:pPr>
            <w:r>
              <w:rPr>
                <w:rFonts w:hint="eastAsia" w:ascii="宋体" w:hAnsi="宋体"/>
                <w:szCs w:val="21"/>
              </w:rPr>
              <w:t>1.根据点的两面投影作第三面投影</w:t>
            </w:r>
          </w:p>
          <w:p>
            <w:pPr>
              <w:rPr>
                <w:rFonts w:ascii="Times New Roman" w:hAnsi="Times New Roman"/>
                <w:szCs w:val="24"/>
              </w:rPr>
            </w:pPr>
            <w:r>
              <w:rPr>
                <w:rFonts w:hint="eastAsia" w:ascii="Times New Roman" w:hAnsi="Times New Roman"/>
                <w:szCs w:val="24"/>
              </w:rPr>
              <w:t>2.根据线两面投影，作第三面投影</w:t>
            </w:r>
          </w:p>
          <w:p>
            <w:pPr>
              <w:rPr>
                <w:rFonts w:ascii="Times New Roman" w:hAnsi="Times New Roman"/>
                <w:szCs w:val="24"/>
              </w:rPr>
            </w:pPr>
            <w:r>
              <w:rPr>
                <w:rFonts w:hint="eastAsia" w:ascii="Times New Roman" w:hAnsi="Times New Roman"/>
                <w:szCs w:val="24"/>
              </w:rPr>
              <w:t>3.判断空间点，直线，平面位置关系</w:t>
            </w:r>
          </w:p>
        </w:tc>
        <w:tc>
          <w:tcPr>
            <w:tcW w:w="1120"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点的投影规律</w:t>
            </w:r>
          </w:p>
          <w:p>
            <w:pPr>
              <w:spacing w:line="360" w:lineRule="auto"/>
              <w:rPr>
                <w:rFonts w:ascii="宋体" w:hAnsi="宋体"/>
                <w:szCs w:val="21"/>
              </w:rPr>
            </w:pPr>
            <w:r>
              <w:rPr>
                <w:rFonts w:hint="eastAsia" w:ascii="宋体" w:hAnsi="宋体"/>
                <w:szCs w:val="21"/>
              </w:rPr>
              <w:t>严谨细致，善于思考</w:t>
            </w:r>
          </w:p>
        </w:tc>
        <w:tc>
          <w:tcPr>
            <w:tcW w:w="1418" w:type="dxa"/>
          </w:tcPr>
          <w:p>
            <w:pPr>
              <w:spacing w:line="360" w:lineRule="auto"/>
              <w:rPr>
                <w:rFonts w:ascii="宋体" w:hAnsi="宋体"/>
                <w:szCs w:val="21"/>
              </w:rPr>
            </w:pPr>
            <w:r>
              <w:rPr>
                <w:rFonts w:hint="eastAsia" w:ascii="宋体" w:hAnsi="宋体"/>
                <w:szCs w:val="21"/>
              </w:rPr>
              <w:t>利用多媒体课件展示提出问题学生思考学习绘图练习</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轴测图绘制表达</w:t>
            </w:r>
          </w:p>
        </w:tc>
        <w:tc>
          <w:tcPr>
            <w:tcW w:w="1754" w:type="dxa"/>
          </w:tcPr>
          <w:p>
            <w:pPr>
              <w:spacing w:line="360" w:lineRule="auto"/>
              <w:rPr>
                <w:rFonts w:ascii="宋体" w:hAnsi="宋体"/>
                <w:szCs w:val="21"/>
              </w:rPr>
            </w:pPr>
            <w:r>
              <w:rPr>
                <w:rFonts w:hint="eastAsia" w:ascii="宋体" w:hAnsi="宋体"/>
                <w:szCs w:val="21"/>
              </w:rPr>
              <w:t>1.正等测</w:t>
            </w:r>
          </w:p>
          <w:p>
            <w:pPr>
              <w:rPr>
                <w:rFonts w:ascii="Times New Roman" w:hAnsi="Times New Roman"/>
                <w:szCs w:val="24"/>
              </w:rPr>
            </w:pPr>
            <w:r>
              <w:rPr>
                <w:rFonts w:hint="eastAsia" w:ascii="Times New Roman" w:hAnsi="Times New Roman"/>
                <w:szCs w:val="24"/>
              </w:rPr>
              <w:t>2.斜二测</w:t>
            </w:r>
          </w:p>
        </w:tc>
        <w:tc>
          <w:tcPr>
            <w:tcW w:w="1580" w:type="dxa"/>
          </w:tcPr>
          <w:p>
            <w:pPr>
              <w:spacing w:line="360" w:lineRule="auto"/>
              <w:rPr>
                <w:rFonts w:ascii="宋体" w:hAnsi="宋体"/>
                <w:szCs w:val="21"/>
              </w:rPr>
            </w:pPr>
            <w:r>
              <w:rPr>
                <w:rFonts w:hint="eastAsia" w:ascii="宋体" w:hAnsi="宋体"/>
                <w:szCs w:val="21"/>
              </w:rPr>
              <w:t>根据三视图绘制轴测图</w:t>
            </w:r>
          </w:p>
        </w:tc>
        <w:tc>
          <w:tcPr>
            <w:tcW w:w="1120" w:type="dxa"/>
          </w:tcPr>
          <w:p>
            <w:pPr>
              <w:spacing w:line="360" w:lineRule="auto"/>
              <w:rPr>
                <w:rFonts w:ascii="宋体" w:hAnsi="宋体"/>
                <w:szCs w:val="21"/>
              </w:rPr>
            </w:pPr>
            <w:r>
              <w:rPr>
                <w:rFonts w:hint="eastAsia" w:ascii="宋体" w:hAnsi="宋体"/>
                <w:szCs w:val="21"/>
              </w:rPr>
              <w:t>正等测</w:t>
            </w:r>
          </w:p>
          <w:p>
            <w:pPr>
              <w:spacing w:line="360" w:lineRule="auto"/>
              <w:rPr>
                <w:rFonts w:ascii="宋体" w:hAnsi="宋体"/>
                <w:szCs w:val="21"/>
              </w:rPr>
            </w:pPr>
            <w:r>
              <w:rPr>
                <w:rFonts w:hint="eastAsia" w:ascii="宋体" w:hAnsi="宋体"/>
                <w:szCs w:val="21"/>
              </w:rPr>
              <w:t>善于观察思考分析能力</w:t>
            </w:r>
          </w:p>
        </w:tc>
        <w:tc>
          <w:tcPr>
            <w:tcW w:w="1418" w:type="dxa"/>
          </w:tcPr>
          <w:p>
            <w:pPr>
              <w:spacing w:line="360" w:lineRule="auto"/>
              <w:rPr>
                <w:rFonts w:ascii="宋体" w:hAnsi="宋体"/>
                <w:szCs w:val="21"/>
              </w:rPr>
            </w:pPr>
            <w:r>
              <w:rPr>
                <w:rFonts w:hint="eastAsia" w:ascii="宋体" w:hAnsi="宋体"/>
                <w:szCs w:val="21"/>
              </w:rPr>
              <w:t>教学做一体化</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绘制断面图和剖面图</w:t>
            </w:r>
          </w:p>
        </w:tc>
        <w:tc>
          <w:tcPr>
            <w:tcW w:w="1754" w:type="dxa"/>
          </w:tcPr>
          <w:p>
            <w:pPr>
              <w:spacing w:line="360" w:lineRule="auto"/>
              <w:rPr>
                <w:rFonts w:ascii="宋体" w:hAnsi="宋体"/>
                <w:szCs w:val="21"/>
              </w:rPr>
            </w:pPr>
            <w:r>
              <w:rPr>
                <w:rFonts w:hint="eastAsia" w:ascii="宋体" w:hAnsi="宋体"/>
                <w:szCs w:val="21"/>
              </w:rPr>
              <w:t>1.断面图的画法</w:t>
            </w:r>
          </w:p>
          <w:p>
            <w:pPr>
              <w:rPr>
                <w:rFonts w:ascii="Times New Roman" w:hAnsi="Times New Roman"/>
                <w:szCs w:val="24"/>
              </w:rPr>
            </w:pPr>
            <w:r>
              <w:rPr>
                <w:rFonts w:hint="eastAsia" w:ascii="Times New Roman" w:hAnsi="Times New Roman"/>
                <w:szCs w:val="24"/>
              </w:rPr>
              <w:t>2.剖面图</w:t>
            </w:r>
          </w:p>
        </w:tc>
        <w:tc>
          <w:tcPr>
            <w:tcW w:w="1580" w:type="dxa"/>
          </w:tcPr>
          <w:p>
            <w:pPr>
              <w:spacing w:line="360" w:lineRule="auto"/>
              <w:rPr>
                <w:rFonts w:ascii="宋体" w:hAnsi="宋体"/>
                <w:szCs w:val="21"/>
              </w:rPr>
            </w:pPr>
            <w:r>
              <w:rPr>
                <w:rFonts w:hint="eastAsia" w:ascii="宋体" w:hAnsi="宋体"/>
                <w:szCs w:val="21"/>
              </w:rPr>
              <w:t>1.绘制断面图</w:t>
            </w:r>
          </w:p>
          <w:p>
            <w:pPr>
              <w:rPr>
                <w:rFonts w:ascii="Times New Roman" w:hAnsi="Times New Roman"/>
                <w:szCs w:val="24"/>
              </w:rPr>
            </w:pPr>
            <w:r>
              <w:rPr>
                <w:rFonts w:hint="eastAsia" w:ascii="Times New Roman" w:hAnsi="Times New Roman"/>
                <w:szCs w:val="24"/>
              </w:rPr>
              <w:t>2.绘制剖面图</w:t>
            </w:r>
          </w:p>
        </w:tc>
        <w:tc>
          <w:tcPr>
            <w:tcW w:w="1120" w:type="dxa"/>
          </w:tcPr>
          <w:p>
            <w:pPr>
              <w:spacing w:line="360" w:lineRule="auto"/>
              <w:rPr>
                <w:rFonts w:ascii="宋体" w:hAnsi="宋体"/>
                <w:szCs w:val="21"/>
              </w:rPr>
            </w:pPr>
            <w:r>
              <w:rPr>
                <w:rFonts w:hint="eastAsia" w:ascii="宋体" w:hAnsi="宋体"/>
                <w:szCs w:val="21"/>
              </w:rPr>
              <w:t>剖面图</w:t>
            </w:r>
          </w:p>
          <w:p>
            <w:pPr>
              <w:spacing w:line="360" w:lineRule="auto"/>
              <w:rPr>
                <w:rFonts w:ascii="宋体" w:hAnsi="宋体"/>
                <w:szCs w:val="21"/>
              </w:rPr>
            </w:pPr>
            <w:r>
              <w:rPr>
                <w:rFonts w:hint="eastAsia" w:ascii="宋体" w:hAnsi="宋体"/>
                <w:szCs w:val="21"/>
              </w:rPr>
              <w:t>刻苦钻研独立思考解决问题能力</w:t>
            </w:r>
          </w:p>
        </w:tc>
        <w:tc>
          <w:tcPr>
            <w:tcW w:w="1418" w:type="dxa"/>
          </w:tcPr>
          <w:p>
            <w:pPr>
              <w:spacing w:line="360" w:lineRule="auto"/>
              <w:rPr>
                <w:rFonts w:ascii="宋体" w:hAnsi="宋体"/>
                <w:szCs w:val="21"/>
              </w:rPr>
            </w:pPr>
            <w:r>
              <w:rPr>
                <w:rFonts w:hint="eastAsia" w:ascii="宋体" w:hAnsi="宋体"/>
                <w:szCs w:val="21"/>
              </w:rPr>
              <w:t>利用多媒体及教学模型展示加深学生理解学习绘图</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w:t>
            </w: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建筑施工图</w:t>
            </w:r>
          </w:p>
        </w:tc>
        <w:tc>
          <w:tcPr>
            <w:tcW w:w="1388" w:type="dxa"/>
          </w:tcPr>
          <w:p>
            <w:pPr>
              <w:rPr>
                <w:rFonts w:ascii="宋体" w:hAnsi="宋体"/>
                <w:szCs w:val="21"/>
              </w:rPr>
            </w:pPr>
            <w:r>
              <w:rPr>
                <w:rFonts w:hint="eastAsia" w:ascii="宋体" w:hAnsi="宋体"/>
                <w:szCs w:val="21"/>
              </w:rPr>
              <w:t>建筑平面图</w:t>
            </w:r>
          </w:p>
        </w:tc>
        <w:tc>
          <w:tcPr>
            <w:tcW w:w="1754" w:type="dxa"/>
          </w:tcPr>
          <w:p>
            <w:pPr>
              <w:spacing w:line="360" w:lineRule="auto"/>
              <w:rPr>
                <w:rFonts w:ascii="宋体" w:hAnsi="宋体"/>
                <w:szCs w:val="21"/>
              </w:rPr>
            </w:pPr>
            <w:r>
              <w:rPr>
                <w:rFonts w:hint="eastAsia" w:ascii="宋体" w:hAnsi="宋体"/>
                <w:szCs w:val="21"/>
              </w:rPr>
              <w:t>1.平面图的形成</w:t>
            </w:r>
          </w:p>
          <w:p>
            <w:pPr>
              <w:rPr>
                <w:rFonts w:ascii="Times New Roman" w:hAnsi="Times New Roman"/>
                <w:szCs w:val="24"/>
              </w:rPr>
            </w:pPr>
            <w:r>
              <w:rPr>
                <w:rFonts w:hint="eastAsia" w:ascii="Times New Roman" w:hAnsi="Times New Roman"/>
                <w:szCs w:val="24"/>
              </w:rPr>
              <w:t>2.平面图的图示内容</w:t>
            </w:r>
          </w:p>
        </w:tc>
        <w:tc>
          <w:tcPr>
            <w:tcW w:w="1580" w:type="dxa"/>
          </w:tcPr>
          <w:p>
            <w:pPr>
              <w:spacing w:line="360" w:lineRule="auto"/>
              <w:rPr>
                <w:rFonts w:ascii="宋体" w:hAnsi="宋体"/>
                <w:szCs w:val="21"/>
              </w:rPr>
            </w:pPr>
            <w:r>
              <w:rPr>
                <w:rFonts w:hint="eastAsia" w:ascii="宋体" w:hAnsi="宋体"/>
                <w:szCs w:val="21"/>
              </w:rPr>
              <w:t>识读施工图纸中的平面图</w:t>
            </w:r>
          </w:p>
        </w:tc>
        <w:tc>
          <w:tcPr>
            <w:tcW w:w="1120" w:type="dxa"/>
          </w:tcPr>
          <w:p>
            <w:pPr>
              <w:spacing w:line="360" w:lineRule="auto"/>
              <w:rPr>
                <w:rFonts w:ascii="宋体" w:hAnsi="宋体"/>
                <w:szCs w:val="21"/>
              </w:rPr>
            </w:pPr>
            <w:r>
              <w:rPr>
                <w:rFonts w:hint="eastAsia" w:ascii="宋体" w:hAnsi="宋体"/>
                <w:szCs w:val="21"/>
              </w:rPr>
              <w:t>平面图图示内容</w:t>
            </w:r>
          </w:p>
          <w:p>
            <w:pPr>
              <w:spacing w:line="360" w:lineRule="auto"/>
              <w:rPr>
                <w:rFonts w:ascii="宋体" w:hAnsi="宋体"/>
                <w:szCs w:val="21"/>
              </w:rPr>
            </w:pPr>
            <w:r>
              <w:rPr>
                <w:rFonts w:hint="eastAsia" w:ascii="宋体" w:hAnsi="宋体"/>
                <w:szCs w:val="21"/>
              </w:rPr>
              <w:t>细心观察精益求精工匠精神</w:t>
            </w:r>
          </w:p>
        </w:tc>
        <w:tc>
          <w:tcPr>
            <w:tcW w:w="1418" w:type="dxa"/>
          </w:tcPr>
          <w:p>
            <w:pPr>
              <w:spacing w:line="360" w:lineRule="auto"/>
              <w:rPr>
                <w:rFonts w:ascii="宋体" w:hAnsi="宋体"/>
                <w:szCs w:val="21"/>
              </w:rPr>
            </w:pPr>
            <w:r>
              <w:rPr>
                <w:rFonts w:hint="eastAsia" w:ascii="宋体" w:hAnsi="宋体"/>
                <w:szCs w:val="21"/>
              </w:rPr>
              <w:t>教师布置任务学生学习在引入真正施工图纸引导学生识读</w:t>
            </w:r>
          </w:p>
        </w:tc>
        <w:tc>
          <w:tcPr>
            <w:tcW w:w="552"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建筑立面图</w:t>
            </w:r>
          </w:p>
        </w:tc>
        <w:tc>
          <w:tcPr>
            <w:tcW w:w="1754" w:type="dxa"/>
          </w:tcPr>
          <w:p>
            <w:pPr>
              <w:spacing w:line="360" w:lineRule="auto"/>
              <w:rPr>
                <w:rFonts w:ascii="宋体" w:hAnsi="宋体"/>
                <w:szCs w:val="21"/>
              </w:rPr>
            </w:pPr>
            <w:r>
              <w:rPr>
                <w:rFonts w:hint="eastAsia" w:ascii="宋体" w:hAnsi="宋体"/>
                <w:szCs w:val="21"/>
              </w:rPr>
              <w:t>1.立面图的形成</w:t>
            </w:r>
          </w:p>
          <w:p>
            <w:pPr>
              <w:rPr>
                <w:rFonts w:ascii="Times New Roman" w:hAnsi="Times New Roman"/>
                <w:szCs w:val="24"/>
              </w:rPr>
            </w:pPr>
            <w:r>
              <w:rPr>
                <w:rFonts w:hint="eastAsia" w:ascii="Times New Roman" w:hAnsi="Times New Roman"/>
                <w:szCs w:val="24"/>
              </w:rPr>
              <w:t>2.立面图图示内容</w:t>
            </w:r>
          </w:p>
        </w:tc>
        <w:tc>
          <w:tcPr>
            <w:tcW w:w="1580" w:type="dxa"/>
          </w:tcPr>
          <w:p>
            <w:pPr>
              <w:spacing w:line="360" w:lineRule="auto"/>
              <w:rPr>
                <w:rFonts w:ascii="宋体" w:hAnsi="宋体"/>
                <w:szCs w:val="21"/>
              </w:rPr>
            </w:pPr>
            <w:r>
              <w:rPr>
                <w:rFonts w:hint="eastAsia" w:ascii="宋体" w:hAnsi="宋体"/>
                <w:szCs w:val="21"/>
              </w:rPr>
              <w:t>识读立面图</w:t>
            </w:r>
          </w:p>
        </w:tc>
        <w:tc>
          <w:tcPr>
            <w:tcW w:w="1120" w:type="dxa"/>
          </w:tcPr>
          <w:p>
            <w:pPr>
              <w:spacing w:line="360" w:lineRule="auto"/>
              <w:rPr>
                <w:rFonts w:ascii="宋体" w:hAnsi="宋体"/>
                <w:szCs w:val="21"/>
              </w:rPr>
            </w:pPr>
            <w:r>
              <w:rPr>
                <w:rFonts w:hint="eastAsia" w:ascii="宋体" w:hAnsi="宋体"/>
                <w:szCs w:val="21"/>
              </w:rPr>
              <w:t>立面图图示内容吃苦耐劳刻苦认真民族自豪感</w:t>
            </w:r>
          </w:p>
        </w:tc>
        <w:tc>
          <w:tcPr>
            <w:tcW w:w="1418" w:type="dxa"/>
          </w:tcPr>
          <w:p>
            <w:pPr>
              <w:spacing w:line="360" w:lineRule="auto"/>
              <w:rPr>
                <w:rFonts w:ascii="宋体" w:hAnsi="宋体"/>
                <w:szCs w:val="21"/>
              </w:rPr>
            </w:pPr>
            <w:r>
              <w:rPr>
                <w:rFonts w:hint="eastAsia" w:ascii="宋体" w:hAnsi="宋体"/>
                <w:szCs w:val="21"/>
              </w:rPr>
              <w:t>教学做一体化</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建筑剖面图</w:t>
            </w:r>
          </w:p>
        </w:tc>
        <w:tc>
          <w:tcPr>
            <w:tcW w:w="1754" w:type="dxa"/>
          </w:tcPr>
          <w:p>
            <w:pPr>
              <w:spacing w:line="360" w:lineRule="auto"/>
              <w:rPr>
                <w:rFonts w:ascii="宋体" w:hAnsi="宋体"/>
                <w:szCs w:val="21"/>
              </w:rPr>
            </w:pPr>
            <w:r>
              <w:rPr>
                <w:rFonts w:hint="eastAsia" w:ascii="宋体" w:hAnsi="宋体"/>
                <w:szCs w:val="21"/>
              </w:rPr>
              <w:t>1.剖面图的形成</w:t>
            </w:r>
          </w:p>
          <w:p>
            <w:pPr>
              <w:rPr>
                <w:rFonts w:ascii="Times New Roman" w:hAnsi="Times New Roman"/>
                <w:szCs w:val="24"/>
              </w:rPr>
            </w:pPr>
            <w:r>
              <w:rPr>
                <w:rFonts w:hint="eastAsia" w:ascii="Times New Roman" w:hAnsi="Times New Roman"/>
                <w:szCs w:val="24"/>
              </w:rPr>
              <w:t>2.剖面图读图步骤</w:t>
            </w:r>
          </w:p>
        </w:tc>
        <w:tc>
          <w:tcPr>
            <w:tcW w:w="1580" w:type="dxa"/>
          </w:tcPr>
          <w:p>
            <w:pPr>
              <w:spacing w:line="360" w:lineRule="auto"/>
              <w:rPr>
                <w:rFonts w:ascii="宋体" w:hAnsi="宋体"/>
                <w:szCs w:val="21"/>
              </w:rPr>
            </w:pPr>
            <w:r>
              <w:rPr>
                <w:rFonts w:hint="eastAsia" w:ascii="宋体" w:hAnsi="宋体"/>
                <w:szCs w:val="21"/>
              </w:rPr>
              <w:t>剖面图识读</w:t>
            </w:r>
          </w:p>
        </w:tc>
        <w:tc>
          <w:tcPr>
            <w:tcW w:w="1120" w:type="dxa"/>
          </w:tcPr>
          <w:p>
            <w:pPr>
              <w:spacing w:line="360" w:lineRule="auto"/>
              <w:rPr>
                <w:rFonts w:ascii="宋体" w:hAnsi="宋体"/>
                <w:szCs w:val="21"/>
              </w:rPr>
            </w:pPr>
            <w:r>
              <w:rPr>
                <w:rFonts w:hint="eastAsia" w:ascii="宋体" w:hAnsi="宋体"/>
                <w:szCs w:val="21"/>
              </w:rPr>
              <w:t>剖面图读图步骤</w:t>
            </w:r>
          </w:p>
          <w:p>
            <w:pPr>
              <w:spacing w:line="360" w:lineRule="auto"/>
              <w:rPr>
                <w:rFonts w:ascii="宋体" w:hAnsi="宋体"/>
                <w:szCs w:val="21"/>
              </w:rPr>
            </w:pPr>
            <w:r>
              <w:rPr>
                <w:rFonts w:hint="eastAsia" w:ascii="宋体" w:hAnsi="宋体"/>
                <w:szCs w:val="21"/>
              </w:rPr>
              <w:t>独立分析思考</w:t>
            </w:r>
          </w:p>
          <w:p>
            <w:pPr>
              <w:spacing w:line="360" w:lineRule="auto"/>
              <w:rPr>
                <w:rFonts w:ascii="宋体" w:hAnsi="宋体"/>
                <w:szCs w:val="21"/>
              </w:rPr>
            </w:pPr>
          </w:p>
        </w:tc>
        <w:tc>
          <w:tcPr>
            <w:tcW w:w="1418" w:type="dxa"/>
          </w:tcPr>
          <w:p>
            <w:pPr>
              <w:spacing w:line="360" w:lineRule="auto"/>
              <w:rPr>
                <w:rFonts w:ascii="宋体" w:hAnsi="宋体"/>
                <w:szCs w:val="21"/>
              </w:rPr>
            </w:pPr>
            <w:r>
              <w:rPr>
                <w:rFonts w:hint="eastAsia" w:ascii="宋体" w:hAnsi="宋体"/>
                <w:szCs w:val="21"/>
              </w:rPr>
              <w:t>利用多媒体及教学模型展示加深学生理解学习读图</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建筑详图</w:t>
            </w:r>
          </w:p>
        </w:tc>
        <w:tc>
          <w:tcPr>
            <w:tcW w:w="1754" w:type="dxa"/>
          </w:tcPr>
          <w:p>
            <w:pPr>
              <w:numPr>
                <w:ilvl w:val="0"/>
                <w:numId w:val="7"/>
              </w:numPr>
              <w:spacing w:line="360" w:lineRule="auto"/>
              <w:rPr>
                <w:rFonts w:ascii="宋体" w:hAnsi="宋体"/>
                <w:szCs w:val="21"/>
              </w:rPr>
            </w:pPr>
            <w:r>
              <w:rPr>
                <w:rFonts w:hint="eastAsia" w:ascii="宋体" w:hAnsi="宋体"/>
                <w:szCs w:val="21"/>
              </w:rPr>
              <w:t>建筑详图的形成</w:t>
            </w:r>
          </w:p>
          <w:p>
            <w:pPr>
              <w:rPr>
                <w:rFonts w:ascii="Times New Roman" w:hAnsi="Times New Roman"/>
                <w:szCs w:val="24"/>
              </w:rPr>
            </w:pPr>
            <w:r>
              <w:rPr>
                <w:rFonts w:hint="eastAsia" w:ascii="Times New Roman" w:hAnsi="Times New Roman"/>
                <w:szCs w:val="24"/>
              </w:rPr>
              <w:t>2.建筑详图图示内容</w:t>
            </w:r>
          </w:p>
        </w:tc>
        <w:tc>
          <w:tcPr>
            <w:tcW w:w="1580" w:type="dxa"/>
          </w:tcPr>
          <w:p>
            <w:pPr>
              <w:spacing w:line="360" w:lineRule="auto"/>
              <w:rPr>
                <w:rFonts w:ascii="宋体" w:hAnsi="宋体"/>
                <w:szCs w:val="21"/>
              </w:rPr>
            </w:pPr>
            <w:r>
              <w:rPr>
                <w:rFonts w:hint="eastAsia" w:ascii="宋体" w:hAnsi="宋体"/>
                <w:szCs w:val="21"/>
              </w:rPr>
              <w:t>识读墙大样图楼梯详图门窗图</w:t>
            </w:r>
          </w:p>
        </w:tc>
        <w:tc>
          <w:tcPr>
            <w:tcW w:w="1120" w:type="dxa"/>
          </w:tcPr>
          <w:p>
            <w:pPr>
              <w:spacing w:line="360" w:lineRule="auto"/>
              <w:rPr>
                <w:rFonts w:ascii="宋体" w:hAnsi="宋体"/>
                <w:szCs w:val="21"/>
              </w:rPr>
            </w:pPr>
            <w:r>
              <w:rPr>
                <w:rFonts w:hint="eastAsia" w:ascii="宋体" w:hAnsi="宋体"/>
                <w:szCs w:val="21"/>
              </w:rPr>
              <w:t>详图图示内容严谨认真，注意细节</w:t>
            </w:r>
          </w:p>
        </w:tc>
        <w:tc>
          <w:tcPr>
            <w:tcW w:w="1418" w:type="dxa"/>
          </w:tcPr>
          <w:p>
            <w:pPr>
              <w:spacing w:line="360" w:lineRule="auto"/>
              <w:rPr>
                <w:rFonts w:ascii="宋体" w:hAnsi="宋体"/>
                <w:szCs w:val="21"/>
              </w:rPr>
            </w:pPr>
            <w:r>
              <w:rPr>
                <w:rFonts w:hint="eastAsia" w:ascii="宋体" w:hAnsi="宋体"/>
                <w:szCs w:val="21"/>
              </w:rPr>
              <w:t>教师布置任务学生学习在引入真正施工图纸引导学生识读</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3</w:t>
            </w: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结构施工图</w:t>
            </w:r>
          </w:p>
        </w:tc>
        <w:tc>
          <w:tcPr>
            <w:tcW w:w="1388" w:type="dxa"/>
          </w:tcPr>
          <w:p>
            <w:pPr>
              <w:rPr>
                <w:rFonts w:ascii="宋体" w:hAnsi="宋体"/>
                <w:szCs w:val="21"/>
              </w:rPr>
            </w:pPr>
            <w:r>
              <w:rPr>
                <w:rFonts w:hint="eastAsia" w:ascii="宋体" w:hAnsi="宋体"/>
                <w:szCs w:val="21"/>
              </w:rPr>
              <w:t>钢筋混凝土构件图</w:t>
            </w:r>
          </w:p>
        </w:tc>
        <w:tc>
          <w:tcPr>
            <w:tcW w:w="1754" w:type="dxa"/>
          </w:tcPr>
          <w:p>
            <w:pPr>
              <w:spacing w:line="360" w:lineRule="auto"/>
              <w:rPr>
                <w:rFonts w:ascii="宋体" w:hAnsi="宋体"/>
                <w:szCs w:val="21"/>
              </w:rPr>
            </w:pPr>
            <w:r>
              <w:rPr>
                <w:rFonts w:hint="eastAsia" w:ascii="宋体" w:hAnsi="宋体"/>
                <w:szCs w:val="21"/>
              </w:rPr>
              <w:t>1.钢筋2.保护层3.钢筋弯钩4.钢筋图示与标注</w:t>
            </w:r>
          </w:p>
        </w:tc>
        <w:tc>
          <w:tcPr>
            <w:tcW w:w="1580" w:type="dxa"/>
          </w:tcPr>
          <w:p>
            <w:pPr>
              <w:spacing w:line="360" w:lineRule="auto"/>
              <w:rPr>
                <w:rFonts w:ascii="宋体" w:hAnsi="宋体"/>
                <w:szCs w:val="21"/>
              </w:rPr>
            </w:pPr>
            <w:r>
              <w:rPr>
                <w:rFonts w:hint="eastAsia" w:ascii="宋体" w:hAnsi="宋体"/>
                <w:szCs w:val="21"/>
              </w:rPr>
              <w:t>识读构件图中钢筋尺寸形状标注</w:t>
            </w:r>
          </w:p>
        </w:tc>
        <w:tc>
          <w:tcPr>
            <w:tcW w:w="1120" w:type="dxa"/>
          </w:tcPr>
          <w:p>
            <w:pPr>
              <w:spacing w:line="360" w:lineRule="auto"/>
              <w:rPr>
                <w:rFonts w:ascii="宋体" w:hAnsi="宋体"/>
                <w:szCs w:val="21"/>
              </w:rPr>
            </w:pPr>
            <w:r>
              <w:rPr>
                <w:rFonts w:hint="eastAsia" w:ascii="宋体" w:hAnsi="宋体"/>
                <w:szCs w:val="21"/>
              </w:rPr>
              <w:t>钢筋图示与标注</w:t>
            </w:r>
          </w:p>
          <w:p>
            <w:pPr>
              <w:spacing w:line="360" w:lineRule="auto"/>
              <w:rPr>
                <w:rFonts w:ascii="宋体" w:hAnsi="宋体"/>
                <w:szCs w:val="21"/>
              </w:rPr>
            </w:pPr>
            <w:r>
              <w:rPr>
                <w:rFonts w:hint="eastAsia" w:ascii="宋体" w:hAnsi="宋体"/>
                <w:szCs w:val="21"/>
              </w:rPr>
              <w:t>严谨认真</w:t>
            </w:r>
          </w:p>
        </w:tc>
        <w:tc>
          <w:tcPr>
            <w:tcW w:w="1418" w:type="dxa"/>
          </w:tcPr>
          <w:p>
            <w:pPr>
              <w:spacing w:line="360" w:lineRule="auto"/>
              <w:rPr>
                <w:rFonts w:ascii="宋体" w:hAnsi="宋体"/>
                <w:szCs w:val="21"/>
              </w:rPr>
            </w:pPr>
            <w:r>
              <w:rPr>
                <w:rFonts w:hint="eastAsia" w:ascii="宋体" w:hAnsi="宋体"/>
                <w:szCs w:val="21"/>
              </w:rPr>
              <w:t>利用多媒体及教学模型展示加深学生理解学习识图</w:t>
            </w:r>
          </w:p>
        </w:tc>
        <w:tc>
          <w:tcPr>
            <w:tcW w:w="552"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基础图</w:t>
            </w:r>
          </w:p>
        </w:tc>
        <w:tc>
          <w:tcPr>
            <w:tcW w:w="1754" w:type="dxa"/>
          </w:tcPr>
          <w:p>
            <w:pPr>
              <w:spacing w:line="360" w:lineRule="auto"/>
              <w:rPr>
                <w:rFonts w:ascii="宋体" w:hAnsi="宋体"/>
                <w:szCs w:val="21"/>
              </w:rPr>
            </w:pPr>
            <w:r>
              <w:rPr>
                <w:rFonts w:hint="eastAsia" w:ascii="宋体" w:hAnsi="宋体"/>
                <w:szCs w:val="21"/>
              </w:rPr>
              <w:t>1.基础平面图2.基础详图</w:t>
            </w:r>
          </w:p>
        </w:tc>
        <w:tc>
          <w:tcPr>
            <w:tcW w:w="1580" w:type="dxa"/>
          </w:tcPr>
          <w:p>
            <w:pPr>
              <w:spacing w:line="360" w:lineRule="auto"/>
              <w:rPr>
                <w:rFonts w:ascii="宋体" w:hAnsi="宋体"/>
                <w:szCs w:val="21"/>
              </w:rPr>
            </w:pPr>
            <w:r>
              <w:rPr>
                <w:rFonts w:hint="eastAsia" w:ascii="宋体" w:hAnsi="宋体"/>
                <w:szCs w:val="21"/>
              </w:rPr>
              <w:t>识读施工图纸中的的基础图</w:t>
            </w:r>
          </w:p>
        </w:tc>
        <w:tc>
          <w:tcPr>
            <w:tcW w:w="1120" w:type="dxa"/>
          </w:tcPr>
          <w:p>
            <w:pPr>
              <w:spacing w:line="360" w:lineRule="auto"/>
              <w:rPr>
                <w:rFonts w:ascii="宋体" w:hAnsi="宋体"/>
                <w:szCs w:val="21"/>
              </w:rPr>
            </w:pPr>
            <w:r>
              <w:rPr>
                <w:rFonts w:hint="eastAsia" w:ascii="宋体" w:hAnsi="宋体"/>
                <w:szCs w:val="21"/>
              </w:rPr>
              <w:t>基础详图</w:t>
            </w:r>
          </w:p>
          <w:p>
            <w:pPr>
              <w:rPr>
                <w:rFonts w:ascii="Times New Roman" w:hAnsi="Times New Roman"/>
                <w:szCs w:val="24"/>
              </w:rPr>
            </w:pPr>
            <w:r>
              <w:rPr>
                <w:rFonts w:hint="eastAsia" w:ascii="Times New Roman" w:hAnsi="Times New Roman"/>
                <w:szCs w:val="24"/>
              </w:rPr>
              <w:t>注意细节</w:t>
            </w:r>
          </w:p>
        </w:tc>
        <w:tc>
          <w:tcPr>
            <w:tcW w:w="1418" w:type="dxa"/>
          </w:tcPr>
          <w:p>
            <w:pPr>
              <w:spacing w:line="360" w:lineRule="auto"/>
              <w:rPr>
                <w:rFonts w:ascii="宋体" w:hAnsi="宋体"/>
                <w:szCs w:val="21"/>
              </w:rPr>
            </w:pPr>
            <w:r>
              <w:rPr>
                <w:rFonts w:hint="eastAsia" w:ascii="宋体" w:hAnsi="宋体"/>
                <w:szCs w:val="21"/>
              </w:rPr>
              <w:t>教师布置任务学生学习在引入真正施工图纸引导学生识读</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楼层结构平面图</w:t>
            </w:r>
          </w:p>
        </w:tc>
        <w:tc>
          <w:tcPr>
            <w:tcW w:w="1754" w:type="dxa"/>
          </w:tcPr>
          <w:p>
            <w:pPr>
              <w:spacing w:line="360" w:lineRule="auto"/>
              <w:rPr>
                <w:rFonts w:ascii="宋体" w:hAnsi="宋体"/>
                <w:szCs w:val="21"/>
              </w:rPr>
            </w:pPr>
            <w:r>
              <w:rPr>
                <w:rFonts w:hint="eastAsia" w:ascii="宋体" w:hAnsi="宋体"/>
                <w:szCs w:val="21"/>
              </w:rPr>
              <w:t>1.楼层结构平面图的表示方法、</w:t>
            </w:r>
          </w:p>
          <w:p>
            <w:pPr>
              <w:rPr>
                <w:rFonts w:ascii="Times New Roman" w:hAnsi="Times New Roman"/>
                <w:szCs w:val="24"/>
              </w:rPr>
            </w:pPr>
            <w:r>
              <w:rPr>
                <w:rFonts w:hint="eastAsia" w:ascii="Times New Roman" w:hAnsi="Times New Roman"/>
                <w:szCs w:val="24"/>
              </w:rPr>
              <w:t>2.楼层结构平面图的图示内容</w:t>
            </w:r>
          </w:p>
        </w:tc>
        <w:tc>
          <w:tcPr>
            <w:tcW w:w="1580" w:type="dxa"/>
          </w:tcPr>
          <w:p>
            <w:pPr>
              <w:spacing w:line="360" w:lineRule="auto"/>
              <w:rPr>
                <w:rFonts w:ascii="宋体" w:hAnsi="宋体"/>
                <w:szCs w:val="21"/>
              </w:rPr>
            </w:pPr>
            <w:r>
              <w:rPr>
                <w:rFonts w:hint="eastAsia" w:ascii="宋体" w:hAnsi="宋体"/>
                <w:szCs w:val="21"/>
              </w:rPr>
              <w:t>识读楼层结构平面图</w:t>
            </w:r>
          </w:p>
        </w:tc>
        <w:tc>
          <w:tcPr>
            <w:tcW w:w="1120" w:type="dxa"/>
          </w:tcPr>
          <w:p>
            <w:pPr>
              <w:spacing w:line="360" w:lineRule="auto"/>
              <w:rPr>
                <w:rFonts w:ascii="宋体" w:hAnsi="宋体"/>
                <w:szCs w:val="21"/>
              </w:rPr>
            </w:pPr>
            <w:r>
              <w:rPr>
                <w:rFonts w:hint="eastAsia" w:ascii="宋体" w:hAnsi="宋体"/>
                <w:szCs w:val="21"/>
              </w:rPr>
              <w:t>楼层结构图示内容</w:t>
            </w:r>
          </w:p>
          <w:p>
            <w:pPr>
              <w:rPr>
                <w:rFonts w:ascii="Times New Roman" w:hAnsi="Times New Roman"/>
                <w:szCs w:val="24"/>
              </w:rPr>
            </w:pPr>
            <w:r>
              <w:rPr>
                <w:rFonts w:hint="eastAsia" w:ascii="Times New Roman" w:hAnsi="Times New Roman"/>
                <w:szCs w:val="24"/>
              </w:rPr>
              <w:t>独立思考分析</w:t>
            </w:r>
          </w:p>
        </w:tc>
        <w:tc>
          <w:tcPr>
            <w:tcW w:w="1418" w:type="dxa"/>
          </w:tcPr>
          <w:p>
            <w:pPr>
              <w:spacing w:line="360" w:lineRule="auto"/>
              <w:rPr>
                <w:rFonts w:ascii="宋体" w:hAnsi="宋体"/>
                <w:szCs w:val="21"/>
              </w:rPr>
            </w:pPr>
            <w:r>
              <w:rPr>
                <w:rFonts w:hint="eastAsia" w:ascii="宋体" w:hAnsi="宋体"/>
                <w:szCs w:val="21"/>
              </w:rPr>
              <w:t>教师布置任务学生学习在引入真正施工图纸引导学生识读</w:t>
            </w:r>
          </w:p>
        </w:tc>
        <w:tc>
          <w:tcPr>
            <w:tcW w:w="552"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388" w:type="dxa"/>
          </w:tcPr>
          <w:p>
            <w:pPr>
              <w:rPr>
                <w:rFonts w:ascii="宋体" w:hAnsi="宋体"/>
                <w:szCs w:val="21"/>
              </w:rPr>
            </w:pPr>
            <w:r>
              <w:rPr>
                <w:rFonts w:hint="eastAsia" w:ascii="宋体" w:hAnsi="宋体"/>
                <w:szCs w:val="21"/>
              </w:rPr>
              <w:t>结构构件详图</w:t>
            </w:r>
          </w:p>
        </w:tc>
        <w:tc>
          <w:tcPr>
            <w:tcW w:w="1754" w:type="dxa"/>
          </w:tcPr>
          <w:p>
            <w:pPr>
              <w:spacing w:line="360" w:lineRule="auto"/>
              <w:rPr>
                <w:rFonts w:ascii="宋体" w:hAnsi="宋体"/>
                <w:szCs w:val="21"/>
              </w:rPr>
            </w:pPr>
            <w:r>
              <w:rPr>
                <w:rFonts w:hint="eastAsia" w:ascii="宋体" w:hAnsi="宋体"/>
                <w:szCs w:val="21"/>
              </w:rPr>
              <w:t>1.钢筋砼梁、柱、板 2.楼梯详图</w:t>
            </w:r>
          </w:p>
        </w:tc>
        <w:tc>
          <w:tcPr>
            <w:tcW w:w="1580" w:type="dxa"/>
          </w:tcPr>
          <w:p>
            <w:pPr>
              <w:spacing w:line="360" w:lineRule="auto"/>
              <w:rPr>
                <w:rFonts w:ascii="宋体" w:hAnsi="宋体"/>
                <w:szCs w:val="21"/>
              </w:rPr>
            </w:pPr>
            <w:r>
              <w:rPr>
                <w:rFonts w:hint="eastAsia" w:ascii="宋体" w:hAnsi="宋体"/>
                <w:szCs w:val="21"/>
              </w:rPr>
              <w:t>识读柱梁板钢筋结构详图</w:t>
            </w:r>
          </w:p>
        </w:tc>
        <w:tc>
          <w:tcPr>
            <w:tcW w:w="1120" w:type="dxa"/>
          </w:tcPr>
          <w:p>
            <w:pPr>
              <w:spacing w:line="360" w:lineRule="auto"/>
              <w:rPr>
                <w:rFonts w:ascii="宋体" w:hAnsi="宋体"/>
                <w:szCs w:val="21"/>
              </w:rPr>
            </w:pPr>
            <w:r>
              <w:rPr>
                <w:rFonts w:hint="eastAsia" w:ascii="宋体" w:hAnsi="宋体"/>
                <w:szCs w:val="21"/>
              </w:rPr>
              <w:t>柱梁钢筋详图注意细节，解决能力</w:t>
            </w:r>
          </w:p>
        </w:tc>
        <w:tc>
          <w:tcPr>
            <w:tcW w:w="1418" w:type="dxa"/>
          </w:tcPr>
          <w:p>
            <w:pPr>
              <w:spacing w:line="360" w:lineRule="auto"/>
              <w:rPr>
                <w:rFonts w:ascii="宋体" w:hAnsi="宋体"/>
                <w:szCs w:val="21"/>
              </w:rPr>
            </w:pPr>
            <w:r>
              <w:rPr>
                <w:rFonts w:hint="eastAsia" w:ascii="宋体" w:hAnsi="宋体"/>
                <w:szCs w:val="21"/>
              </w:rPr>
              <w:t>教师布置任务学生学习在引入真正施工图纸引导学生识读</w:t>
            </w:r>
          </w:p>
        </w:tc>
        <w:tc>
          <w:tcPr>
            <w:tcW w:w="552" w:type="dxa"/>
            <w:vMerge w:val="continue"/>
          </w:tcPr>
          <w:p>
            <w:pPr>
              <w:spacing w:line="360" w:lineRule="auto"/>
              <w:rPr>
                <w:rFonts w:ascii="宋体" w:hAnsi="宋体"/>
                <w:szCs w:val="21"/>
              </w:rPr>
            </w:pPr>
          </w:p>
        </w:tc>
      </w:tr>
    </w:tbl>
    <w:p>
      <w:pPr>
        <w:spacing w:line="360" w:lineRule="auto"/>
        <w:ind w:firstLine="240"/>
        <w:rPr>
          <w:rFonts w:ascii="Times New Roman" w:hAnsi="Times New Roman"/>
          <w:sz w:val="24"/>
          <w:szCs w:val="24"/>
        </w:rPr>
      </w:pPr>
      <w:r>
        <w:rPr>
          <w:rFonts w:hint="eastAsia" w:ascii="Times New Roman" w:hAnsi="Times New Roman"/>
          <w:sz w:val="24"/>
          <w:szCs w:val="24"/>
        </w:rPr>
        <w:t>执笔人：审核人：</w:t>
      </w:r>
    </w:p>
    <w:p>
      <w:pPr>
        <w:spacing w:line="360" w:lineRule="auto"/>
        <w:ind w:firstLine="240"/>
        <w:rPr>
          <w:rFonts w:ascii="Times New Roman" w:hAnsi="Times New Roman"/>
          <w:sz w:val="24"/>
          <w:szCs w:val="24"/>
        </w:rPr>
      </w:pPr>
      <w:r>
        <w:rPr>
          <w:rFonts w:hint="eastAsia" w:ascii="Times New Roman" w:hAnsi="Times New Roman"/>
          <w:sz w:val="24"/>
          <w:szCs w:val="24"/>
        </w:rPr>
        <w:t>制定（修订）日期：2023.09</w:t>
      </w: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spacing w:before="240" w:after="60"/>
        <w:jc w:val="center"/>
        <w:outlineLvl w:val="0"/>
        <w:rPr>
          <w:rFonts w:ascii="等线 Light" w:hAnsi="等线 Light"/>
          <w:b/>
          <w:bCs/>
          <w:sz w:val="32"/>
          <w:szCs w:val="32"/>
        </w:rPr>
      </w:pPr>
      <w:bookmarkStart w:id="133" w:name="_Toc119633079"/>
      <w:r>
        <w:rPr>
          <w:rFonts w:hint="eastAsia" w:ascii="等线 Light" w:hAnsi="等线 Light"/>
          <w:b/>
          <w:bCs/>
          <w:sz w:val="32"/>
          <w:szCs w:val="32"/>
        </w:rPr>
        <w:t>建筑专业《建筑材料与检测》课程标准</w:t>
      </w:r>
      <w:bookmarkEnd w:id="133"/>
    </w:p>
    <w:p>
      <w:pPr>
        <w:spacing w:line="360" w:lineRule="auto"/>
        <w:rPr>
          <w:rFonts w:ascii="黑体" w:hAnsi="宋体" w:eastAsia="黑体"/>
          <w:b/>
          <w:caps/>
          <w:szCs w:val="21"/>
        </w:rPr>
      </w:pPr>
    </w:p>
    <w:p>
      <w:pPr>
        <w:spacing w:line="360" w:lineRule="auto"/>
        <w:rPr>
          <w:rFonts w:ascii="黑体" w:hAnsi="宋体" w:eastAsia="黑体"/>
          <w:caps/>
          <w:sz w:val="24"/>
          <w:szCs w:val="24"/>
        </w:rPr>
      </w:pPr>
      <w:r>
        <w:rPr>
          <w:rFonts w:hint="eastAsia" w:ascii="黑体" w:hAnsi="宋体" w:eastAsia="黑体"/>
          <w:b/>
          <w:caps/>
          <w:sz w:val="24"/>
          <w:szCs w:val="24"/>
        </w:rPr>
        <w:t>课程性质：</w:t>
      </w:r>
      <w:r>
        <w:rPr>
          <w:rFonts w:hint="eastAsia" w:ascii="黑体" w:hAnsi="宋体" w:eastAsia="黑体"/>
          <w:caps/>
          <w:sz w:val="24"/>
          <w:szCs w:val="24"/>
        </w:rPr>
        <w:t>专业基础课程</w:t>
      </w:r>
    </w:p>
    <w:p>
      <w:pPr>
        <w:spacing w:line="360" w:lineRule="auto"/>
        <w:rPr>
          <w:rFonts w:hint="eastAsia" w:ascii="黑体" w:hAnsi="宋体" w:eastAsia="微软雅黑"/>
          <w:b/>
          <w:caps/>
          <w:sz w:val="24"/>
          <w:szCs w:val="24"/>
          <w:lang w:val="en-US" w:eastAsia="zh-CN"/>
        </w:rPr>
      </w:pPr>
      <w:r>
        <w:rPr>
          <w:rFonts w:hint="eastAsia" w:ascii="黑体" w:hAnsi="宋体" w:eastAsia="黑体"/>
          <w:b/>
          <w:caps/>
          <w:sz w:val="24"/>
          <w:szCs w:val="24"/>
        </w:rPr>
        <w:t>课程代码：</w:t>
      </w:r>
      <w:r>
        <w:rPr>
          <w:rFonts w:ascii="微软雅黑" w:hAnsi="微软雅黑" w:eastAsia="微软雅黑"/>
          <w:sz w:val="18"/>
          <w:szCs w:val="18"/>
        </w:rPr>
        <w:t>QJZ12100</w:t>
      </w:r>
      <w:r>
        <w:rPr>
          <w:rFonts w:hint="eastAsia" w:ascii="微软雅黑" w:hAnsi="微软雅黑" w:eastAsia="微软雅黑"/>
          <w:sz w:val="18"/>
          <w:szCs w:val="18"/>
          <w:lang w:val="en-US" w:eastAsia="zh-CN"/>
        </w:rPr>
        <w:t>2</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 xml:space="preserve">64 </w:t>
      </w:r>
    </w:p>
    <w:p>
      <w:pPr>
        <w:spacing w:line="360" w:lineRule="auto"/>
        <w:rPr>
          <w:rFonts w:hint="eastAsia" w:ascii="黑体" w:hAnsi="宋体" w:eastAsia="黑体"/>
          <w:caps/>
          <w:sz w:val="24"/>
          <w:szCs w:val="24"/>
          <w:lang w:eastAsia="zh-CN"/>
        </w:rPr>
      </w:pPr>
      <w:r>
        <w:rPr>
          <w:rFonts w:hint="eastAsia" w:ascii="黑体" w:hAnsi="宋体" w:eastAsia="黑体"/>
          <w:b/>
          <w:caps/>
          <w:sz w:val="24"/>
          <w:szCs w:val="24"/>
        </w:rPr>
        <w:t>学分数：</w:t>
      </w:r>
      <w:r>
        <w:rPr>
          <w:rFonts w:hint="eastAsia" w:ascii="黑体" w:hAnsi="宋体" w:eastAsia="黑体"/>
          <w:caps/>
          <w:sz w:val="24"/>
          <w:szCs w:val="24"/>
          <w:lang w:val="en-US" w:eastAsia="zh-CN"/>
        </w:rPr>
        <w:t>4</w:t>
      </w:r>
    </w:p>
    <w:p>
      <w:pPr>
        <w:spacing w:line="360" w:lineRule="auto"/>
        <w:rPr>
          <w:rFonts w:ascii="黑体" w:hAnsi="宋体" w:eastAsia="黑体"/>
          <w:caps/>
          <w:sz w:val="24"/>
          <w:szCs w:val="24"/>
        </w:rPr>
      </w:pPr>
      <w:r>
        <w:rPr>
          <w:rFonts w:hint="eastAsia" w:ascii="黑体" w:hAnsi="宋体" w:eastAsia="黑体"/>
          <w:b/>
          <w:caps/>
          <w:sz w:val="24"/>
          <w:szCs w:val="24"/>
        </w:rPr>
        <w:t>开设学期：</w:t>
      </w:r>
      <w:r>
        <w:rPr>
          <w:rFonts w:hint="eastAsia" w:ascii="黑体" w:hAnsi="宋体" w:eastAsia="黑体"/>
          <w:caps/>
          <w:sz w:val="24"/>
          <w:szCs w:val="24"/>
        </w:rPr>
        <w:t>1</w:t>
      </w:r>
    </w:p>
    <w:p>
      <w:pPr>
        <w:spacing w:line="360" w:lineRule="auto"/>
        <w:rPr>
          <w:rFonts w:ascii="黑体" w:hAnsi="宋体" w:eastAsia="黑体"/>
          <w:caps/>
          <w:sz w:val="24"/>
          <w:szCs w:val="24"/>
        </w:rPr>
      </w:pPr>
      <w:r>
        <w:rPr>
          <w:rFonts w:hint="eastAsia" w:ascii="黑体" w:hAnsi="宋体" w:eastAsia="黑体"/>
          <w:b/>
          <w:caps/>
          <w:sz w:val="24"/>
          <w:szCs w:val="24"/>
        </w:rPr>
        <w:t>适用对象：</w:t>
      </w:r>
      <w:r>
        <w:rPr>
          <w:rFonts w:hint="eastAsia" w:ascii="黑体" w:hAnsi="宋体" w:eastAsia="黑体"/>
          <w:caps/>
          <w:sz w:val="24"/>
          <w:szCs w:val="24"/>
        </w:rPr>
        <w:t>三年制高职建筑工程技术</w:t>
      </w:r>
    </w:p>
    <w:p>
      <w:pPr>
        <w:spacing w:line="360" w:lineRule="auto"/>
        <w:rPr>
          <w:rFonts w:ascii="Times New Roman" w:hAnsi="Times New Roman"/>
          <w:sz w:val="24"/>
          <w:szCs w:val="24"/>
        </w:rPr>
      </w:pPr>
      <w:r>
        <w:rPr>
          <w:rFonts w:hint="eastAsia" w:ascii="黑体" w:hAnsi="Times New Roman" w:eastAsia="黑体"/>
          <w:b/>
          <w:sz w:val="24"/>
          <w:szCs w:val="24"/>
        </w:rPr>
        <w:t>开课系部：</w:t>
      </w:r>
      <w:r>
        <w:rPr>
          <w:rFonts w:hint="eastAsia" w:ascii="黑体" w:hAnsi="Times New Roman" w:eastAsia="黑体"/>
          <w:sz w:val="24"/>
          <w:szCs w:val="24"/>
        </w:rPr>
        <w:t>智能工程学院</w:t>
      </w:r>
    </w:p>
    <w:p>
      <w:pPr>
        <w:spacing w:line="360" w:lineRule="auto"/>
        <w:jc w:val="left"/>
        <w:rPr>
          <w:rFonts w:ascii="Times New Roman" w:hAnsi="Times New Roman"/>
          <w:b/>
          <w:sz w:val="24"/>
          <w:szCs w:val="24"/>
        </w:rPr>
      </w:pPr>
    </w:p>
    <w:p>
      <w:pPr>
        <w:spacing w:line="360" w:lineRule="auto"/>
        <w:jc w:val="center"/>
        <w:rPr>
          <w:rFonts w:ascii="黑体" w:hAnsi="Times New Roman" w:eastAsia="黑体"/>
          <w:b/>
          <w:sz w:val="28"/>
          <w:szCs w:val="28"/>
        </w:rPr>
      </w:pPr>
      <w:r>
        <w:rPr>
          <w:rFonts w:hint="eastAsia" w:ascii="黑体" w:hAnsi="Times New Roman" w:eastAsia="黑体"/>
          <w:b/>
          <w:sz w:val="28"/>
          <w:szCs w:val="28"/>
        </w:rPr>
        <w:t>一、课程性质</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（一）课程定位</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本课程是建筑工程技术专业学生</w:t>
      </w:r>
      <w:r>
        <w:rPr>
          <w:rFonts w:ascii="Times New Roman" w:hAnsi="Times New Roman"/>
          <w:spacing w:val="2"/>
          <w:sz w:val="24"/>
          <w:szCs w:val="24"/>
        </w:rPr>
        <w:t>必修的</w:t>
      </w:r>
      <w:r>
        <w:rPr>
          <w:rFonts w:hint="eastAsia" w:ascii="Times New Roman" w:hAnsi="Times New Roman"/>
          <w:spacing w:val="2"/>
          <w:sz w:val="24"/>
          <w:szCs w:val="24"/>
        </w:rPr>
        <w:t>专业基础</w:t>
      </w:r>
      <w:r>
        <w:rPr>
          <w:rFonts w:ascii="Times New Roman" w:hAnsi="Times New Roman"/>
          <w:spacing w:val="-10"/>
          <w:sz w:val="24"/>
          <w:szCs w:val="24"/>
        </w:rPr>
        <w:t>课程。</w:t>
      </w:r>
      <w:r>
        <w:rPr>
          <w:rFonts w:hint="eastAsia" w:ascii="Times New Roman" w:hAnsi="Times New Roman"/>
          <w:sz w:val="24"/>
          <w:szCs w:val="24"/>
        </w:rPr>
        <w:t>在该专业课程体系中，后续课程有《建筑工程施工技术》、《房屋建筑学》、《建筑设计》、《质量控制》、《工程造价》、《结构设计》等课程。</w:t>
      </w:r>
      <w:r>
        <w:rPr>
          <w:rFonts w:ascii="Times New Roman" w:hAnsi="Times New Roman"/>
          <w:spacing w:val="-10"/>
          <w:sz w:val="24"/>
          <w:szCs w:val="24"/>
        </w:rPr>
        <w:t>学生通过学习本课程，</w:t>
      </w:r>
      <w:r>
        <w:rPr>
          <w:rFonts w:hint="eastAsia" w:ascii="Times New Roman" w:hAnsi="Times New Roman"/>
          <w:spacing w:val="-10"/>
          <w:sz w:val="24"/>
          <w:szCs w:val="24"/>
        </w:rPr>
        <w:t>培养学生具备建筑工程、水利工程施工现场质量员、施工员、试验员岗位的职业能力和职业素质，通过学习，学生能熟悉常用建筑材料的质量标准，能编制常用建筑材料检测方案，并能在保证环境和安全的条件下实施检测，填写检测报告，最终能根据检测结果正确判断材料质量状况，正确选用、验收和保管材料同时进一步培养学生树立独立思考、吃苦耐劳、勤奋工作的意识以及团结协作、诚实守信的优秀品质</w:t>
      </w:r>
      <w:r>
        <w:rPr>
          <w:rFonts w:ascii="Times New Roman" w:hAnsi="Times New Roman"/>
          <w:spacing w:val="-8"/>
          <w:sz w:val="24"/>
          <w:szCs w:val="24"/>
        </w:rPr>
        <w:t>为其职业发展、终身学习</w:t>
      </w:r>
      <w:r>
        <w:rPr>
          <w:rFonts w:ascii="Times New Roman" w:hAnsi="Times New Roman"/>
          <w:sz w:val="24"/>
          <w:szCs w:val="24"/>
        </w:rPr>
        <w:t>和服务社会奠定基础。</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（二）设计思路</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建筑材料是依据召开实践专家访谈会，分析典型工作任务，确定工作与学习内容参照建设工程试验检测员的资格标准，与企业合作共同制定课程标准和评价方法。以“工程材料”和工作情境为载体，由简单到复杂，依据工作过程组织教学，合理采用案例导入，任务驱动等教学方法</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按照完成该工程施工现场建筑材料应用与检测任务要求选择教学内容，根据施工过程中建筑材料应用与检测出现的顺序，兼顾材料构成的前后顺序，构建了6个学习情境，教学内容之间层次渐进、内容联贯、主线分明。）</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二、课程目标</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（一）素质目标</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1、培养学生热爱本专业、爱岗敬业的精神；</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2、培养学生工作认真负责、一丝不苟、实事求是的工作态度；</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3、培养学生勤于思考、善于钻研、吃苦耐劳的品质。</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（二）知识目标</w:t>
      </w:r>
    </w:p>
    <w:p>
      <w:pPr>
        <w:spacing w:line="360" w:lineRule="auto"/>
        <w:ind w:firstLine="480" w:firstLineChars="200"/>
        <w:rPr>
          <w:rFonts w:ascii="宋体" w:hAnsi="宋体"/>
          <w:sz w:val="24"/>
          <w:szCs w:val="24"/>
        </w:rPr>
      </w:pPr>
      <w:r>
        <w:rPr>
          <w:rFonts w:hint="eastAsia" w:ascii="宋体" w:hAnsi="宋体"/>
          <w:sz w:val="24"/>
          <w:szCs w:val="24"/>
        </w:rPr>
        <w:t>1．了解有关常用建筑材料的来源、分类、质量要求，学会建设工程用的主要建筑材料的技术性能检测和评定方法。</w:t>
      </w:r>
    </w:p>
    <w:p>
      <w:pPr>
        <w:spacing w:line="360" w:lineRule="auto"/>
        <w:ind w:firstLine="480" w:firstLineChars="200"/>
        <w:rPr>
          <w:rFonts w:ascii="宋体" w:hAnsi="宋体"/>
          <w:sz w:val="24"/>
          <w:szCs w:val="24"/>
        </w:rPr>
      </w:pPr>
      <w:r>
        <w:rPr>
          <w:rFonts w:hint="eastAsia" w:ascii="宋体" w:hAnsi="宋体"/>
          <w:sz w:val="24"/>
          <w:szCs w:val="24"/>
        </w:rPr>
        <w:t>2．掌握物理、化学和材料力学的基本知识分析材料的影响因素及工程应用。</w:t>
      </w:r>
    </w:p>
    <w:p>
      <w:pPr>
        <w:spacing w:line="360" w:lineRule="auto"/>
        <w:ind w:firstLine="480" w:firstLineChars="200"/>
        <w:rPr>
          <w:rFonts w:ascii="宋体" w:hAnsi="宋体"/>
          <w:sz w:val="24"/>
          <w:szCs w:val="24"/>
        </w:rPr>
      </w:pPr>
      <w:r>
        <w:rPr>
          <w:rFonts w:hint="eastAsia" w:ascii="宋体" w:hAnsi="宋体"/>
          <w:sz w:val="24"/>
          <w:szCs w:val="24"/>
        </w:rPr>
        <w:t>3．了解新型材料的发展方向及跟踪新材料、新技术、新工艺。</w:t>
      </w:r>
    </w:p>
    <w:p>
      <w:pPr>
        <w:spacing w:line="360" w:lineRule="auto"/>
        <w:ind w:firstLine="560" w:firstLineChars="200"/>
        <w:rPr>
          <w:rFonts w:ascii="黑体" w:hAnsi="Times New Roman" w:eastAsia="黑体"/>
          <w:sz w:val="28"/>
          <w:szCs w:val="28"/>
        </w:rPr>
      </w:pPr>
      <w:r>
        <w:rPr>
          <w:rFonts w:hint="eastAsia" w:ascii="黑体" w:hAnsi="Times New Roman" w:eastAsia="黑体"/>
          <w:sz w:val="28"/>
          <w:szCs w:val="28"/>
        </w:rPr>
        <w:t>（三）能力目标</w:t>
      </w:r>
    </w:p>
    <w:p>
      <w:pPr>
        <w:spacing w:line="360" w:lineRule="auto"/>
        <w:ind w:firstLine="480" w:firstLineChars="200"/>
        <w:rPr>
          <w:rFonts w:ascii="宋体" w:hAnsi="宋体"/>
          <w:sz w:val="24"/>
          <w:szCs w:val="24"/>
        </w:rPr>
      </w:pPr>
      <w:r>
        <w:rPr>
          <w:rFonts w:hint="eastAsia" w:ascii="宋体" w:hAnsi="宋体"/>
          <w:sz w:val="24"/>
          <w:szCs w:val="24"/>
        </w:rPr>
        <w:t>（1）能够科学、合理、经济地选用各种建筑材料；</w:t>
      </w:r>
    </w:p>
    <w:p>
      <w:pPr>
        <w:spacing w:line="360" w:lineRule="auto"/>
        <w:ind w:firstLine="480" w:firstLineChars="200"/>
        <w:rPr>
          <w:rFonts w:ascii="宋体" w:hAnsi="宋体"/>
          <w:sz w:val="24"/>
          <w:szCs w:val="24"/>
        </w:rPr>
      </w:pPr>
      <w:r>
        <w:rPr>
          <w:rFonts w:hint="eastAsia" w:ascii="宋体" w:hAnsi="宋体"/>
          <w:sz w:val="24"/>
          <w:szCs w:val="24"/>
        </w:rPr>
        <w:t>（2）能根据工程标准规范要求进行水泥、普通混凝土、砌筑砂浆、砌墙砖、建筑钢材等各项材料试验检测并评定结果，存放及保管；具有分析判别的能力，并能提出改善方案的措施。</w:t>
      </w:r>
    </w:p>
    <w:p>
      <w:pPr>
        <w:spacing w:line="360" w:lineRule="auto"/>
        <w:ind w:firstLine="480" w:firstLineChars="200"/>
        <w:rPr>
          <w:rFonts w:ascii="宋体" w:hAnsi="宋体"/>
          <w:sz w:val="24"/>
          <w:szCs w:val="24"/>
        </w:rPr>
      </w:pPr>
      <w:r>
        <w:rPr>
          <w:rFonts w:hint="eastAsia" w:ascii="宋体" w:hAnsi="宋体"/>
          <w:sz w:val="24"/>
          <w:szCs w:val="24"/>
        </w:rPr>
        <w:t>（3）会较快熟悉新型材料和掌握其技术性能、新技术标准、并应用于工程实践的能力。</w:t>
      </w:r>
    </w:p>
    <w:p>
      <w:pPr>
        <w:spacing w:line="360" w:lineRule="auto"/>
        <w:ind w:firstLine="480" w:firstLineChars="200"/>
        <w:rPr>
          <w:rFonts w:ascii="宋体" w:hAnsi="宋体"/>
          <w:sz w:val="24"/>
          <w:szCs w:val="24"/>
        </w:rPr>
      </w:pPr>
      <w:r>
        <w:rPr>
          <w:rFonts w:hint="eastAsia" w:ascii="宋体" w:hAnsi="宋体"/>
          <w:sz w:val="24"/>
          <w:szCs w:val="24"/>
        </w:rPr>
        <w:t>（4）会根据试验规范标准要求，正确完成建筑材料各种常规试验、数据处理，书写检测报告及资料的分析整理，以达到试验检测人员的资格水平。</w:t>
      </w:r>
    </w:p>
    <w:p>
      <w:pPr>
        <w:spacing w:line="360" w:lineRule="auto"/>
        <w:jc w:val="center"/>
        <w:rPr>
          <w:rFonts w:ascii="黑体" w:hAnsi="Times New Roman" w:eastAsia="黑体"/>
          <w:b/>
          <w:sz w:val="28"/>
          <w:szCs w:val="28"/>
        </w:rPr>
      </w:pPr>
      <w:r>
        <w:rPr>
          <w:rFonts w:hint="eastAsia" w:ascii="黑体" w:hAnsi="Times New Roman"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建筑材料导论</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cs="宋体"/>
                <w:szCs w:val="21"/>
              </w:rPr>
              <w:t>材料发展方向新材料</w:t>
            </w:r>
          </w:p>
        </w:tc>
        <w:tc>
          <w:tcPr>
            <w:tcW w:w="2180" w:type="dxa"/>
            <w:tcBorders>
              <w:top w:val="single" w:color="auto" w:sz="4" w:space="0"/>
            </w:tcBorders>
            <w:vAlign w:val="center"/>
          </w:tcPr>
          <w:p>
            <w:pPr>
              <w:rPr>
                <w:rFonts w:ascii="宋体" w:hAnsi="宋体" w:cs="宋体"/>
                <w:szCs w:val="24"/>
                <w:lang w:val="zh-CN"/>
              </w:rPr>
            </w:pPr>
            <w:r>
              <w:rPr>
                <w:rFonts w:hint="eastAsia" w:ascii="宋体" w:hAnsi="宋体" w:cs="宋体"/>
                <w:szCs w:val="24"/>
                <w:lang w:val="zh-CN"/>
              </w:rPr>
              <w:t>勇于挑战，不畏艰难</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泉州湾大桥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材料的耐热性</w:t>
            </w:r>
          </w:p>
        </w:tc>
        <w:tc>
          <w:tcPr>
            <w:tcW w:w="2180" w:type="dxa"/>
            <w:vAlign w:val="center"/>
          </w:tcPr>
          <w:p>
            <w:pPr>
              <w:jc w:val="left"/>
              <w:rPr>
                <w:rFonts w:ascii="宋体" w:hAnsi="宋体" w:cs="宋体"/>
                <w:szCs w:val="24"/>
              </w:rPr>
            </w:pPr>
            <w:r>
              <w:rPr>
                <w:rFonts w:hint="eastAsia" w:ascii="宋体" w:hAnsi="宋体" w:cs="宋体"/>
                <w:szCs w:val="24"/>
              </w:rPr>
              <w:t>防患于未然，遵纪守法</w:t>
            </w:r>
          </w:p>
        </w:tc>
        <w:tc>
          <w:tcPr>
            <w:tcW w:w="2087" w:type="dxa"/>
            <w:vAlign w:val="center"/>
          </w:tcPr>
          <w:p>
            <w:pPr>
              <w:rPr>
                <w:rFonts w:ascii="宋体" w:hAnsi="宋体" w:cs="宋体"/>
                <w:szCs w:val="21"/>
              </w:rPr>
            </w:pPr>
            <w:r>
              <w:rPr>
                <w:rFonts w:hint="eastAsia" w:ascii="宋体" w:hAnsi="宋体" w:cs="宋体"/>
                <w:szCs w:val="21"/>
              </w:rPr>
              <w:t>央视大楼火灾事故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材料的抗渗性</w:t>
            </w:r>
          </w:p>
        </w:tc>
        <w:tc>
          <w:tcPr>
            <w:tcW w:w="2180" w:type="dxa"/>
            <w:vAlign w:val="center"/>
          </w:tcPr>
          <w:p>
            <w:pPr>
              <w:jc w:val="left"/>
              <w:rPr>
                <w:rFonts w:ascii="宋体" w:hAnsi="宋体" w:cs="宋体"/>
                <w:szCs w:val="24"/>
              </w:rPr>
            </w:pPr>
            <w:r>
              <w:rPr>
                <w:rFonts w:hint="eastAsia" w:ascii="宋体" w:hAnsi="宋体" w:cs="宋体"/>
                <w:szCs w:val="24"/>
              </w:rPr>
              <w:t>恪守职业道德，培养分析处理质量事故能力</w:t>
            </w:r>
          </w:p>
        </w:tc>
        <w:tc>
          <w:tcPr>
            <w:tcW w:w="2087" w:type="dxa"/>
            <w:vAlign w:val="center"/>
          </w:tcPr>
          <w:p>
            <w:pPr>
              <w:rPr>
                <w:rFonts w:ascii="宋体" w:hAnsi="宋体" w:cs="宋体"/>
                <w:szCs w:val="21"/>
              </w:rPr>
            </w:pPr>
            <w:r>
              <w:rPr>
                <w:rFonts w:hint="eastAsia" w:ascii="宋体" w:hAnsi="宋体" w:cs="宋体"/>
                <w:szCs w:val="21"/>
              </w:rPr>
              <w:t>美国密歇根州大坝决堤事件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材料基本性能新材料</w:t>
            </w:r>
          </w:p>
        </w:tc>
        <w:tc>
          <w:tcPr>
            <w:tcW w:w="2180" w:type="dxa"/>
            <w:vAlign w:val="center"/>
          </w:tcPr>
          <w:p>
            <w:pPr>
              <w:jc w:val="left"/>
              <w:rPr>
                <w:rFonts w:ascii="宋体" w:hAnsi="宋体" w:cs="宋体"/>
                <w:szCs w:val="24"/>
              </w:rPr>
            </w:pPr>
            <w:r>
              <w:rPr>
                <w:rFonts w:hint="eastAsia" w:ascii="宋体" w:hAnsi="宋体" w:cs="宋体"/>
                <w:szCs w:val="24"/>
              </w:rPr>
              <w:t>勇于创新，工匠精神</w:t>
            </w:r>
          </w:p>
        </w:tc>
        <w:tc>
          <w:tcPr>
            <w:tcW w:w="2087" w:type="dxa"/>
            <w:vAlign w:val="center"/>
          </w:tcPr>
          <w:p>
            <w:pPr>
              <w:rPr>
                <w:rFonts w:ascii="宋体" w:hAnsi="宋体" w:cs="宋体"/>
                <w:szCs w:val="21"/>
              </w:rPr>
            </w:pPr>
            <w:r>
              <w:rPr>
                <w:rFonts w:hint="eastAsia" w:ascii="宋体" w:hAnsi="宋体" w:cs="宋体"/>
                <w:szCs w:val="21"/>
              </w:rPr>
              <w:t>嫦娥系列飞船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普通混凝土应用与检测</w:t>
            </w:r>
          </w:p>
        </w:tc>
        <w:tc>
          <w:tcPr>
            <w:tcW w:w="2152" w:type="dxa"/>
            <w:vAlign w:val="center"/>
          </w:tcPr>
          <w:p>
            <w:pPr>
              <w:jc w:val="center"/>
              <w:rPr>
                <w:rFonts w:ascii="宋体" w:hAnsi="宋体" w:cs="宋体"/>
                <w:szCs w:val="21"/>
              </w:rPr>
            </w:pPr>
            <w:r>
              <w:rPr>
                <w:rFonts w:hint="eastAsia" w:ascii="宋体" w:hAnsi="宋体" w:cs="宋体"/>
                <w:szCs w:val="21"/>
              </w:rPr>
              <w:t>混凝土拌合物性能</w:t>
            </w:r>
          </w:p>
        </w:tc>
        <w:tc>
          <w:tcPr>
            <w:tcW w:w="2180" w:type="dxa"/>
            <w:vAlign w:val="center"/>
          </w:tcPr>
          <w:p>
            <w:pPr>
              <w:jc w:val="left"/>
              <w:rPr>
                <w:rFonts w:ascii="宋体" w:hAnsi="宋体" w:cs="宋体"/>
                <w:szCs w:val="21"/>
              </w:rPr>
            </w:pPr>
            <w:r>
              <w:rPr>
                <w:rFonts w:hint="eastAsia" w:ascii="宋体" w:hAnsi="宋体" w:cs="宋体"/>
                <w:szCs w:val="21"/>
              </w:rPr>
              <w:t>创新精神，工匠精神</w:t>
            </w:r>
          </w:p>
        </w:tc>
        <w:tc>
          <w:tcPr>
            <w:tcW w:w="2087" w:type="dxa"/>
            <w:vAlign w:val="center"/>
          </w:tcPr>
          <w:p>
            <w:pPr>
              <w:rPr>
                <w:rFonts w:ascii="宋体" w:hAnsi="宋体" w:cs="宋体"/>
                <w:szCs w:val="21"/>
              </w:rPr>
            </w:pPr>
            <w:r>
              <w:rPr>
                <w:rFonts w:hint="eastAsia" w:ascii="宋体" w:hAnsi="宋体" w:cs="宋体"/>
                <w:szCs w:val="21"/>
              </w:rPr>
              <w:t>镜面混凝土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cs="宋体"/>
                <w:szCs w:val="21"/>
              </w:rPr>
              <w:t>混凝土基本性能</w:t>
            </w:r>
          </w:p>
        </w:tc>
        <w:tc>
          <w:tcPr>
            <w:tcW w:w="2180" w:type="dxa"/>
            <w:vAlign w:val="center"/>
          </w:tcPr>
          <w:p>
            <w:pPr>
              <w:jc w:val="left"/>
              <w:rPr>
                <w:rFonts w:ascii="宋体" w:hAnsi="宋体" w:cs="宋体"/>
                <w:szCs w:val="21"/>
              </w:rPr>
            </w:pPr>
            <w:r>
              <w:rPr>
                <w:rFonts w:hint="eastAsia" w:ascii="宋体" w:hAnsi="宋体" w:cs="宋体"/>
                <w:szCs w:val="21"/>
              </w:rPr>
              <w:t>坚持创新爱国精神</w:t>
            </w:r>
          </w:p>
        </w:tc>
        <w:tc>
          <w:tcPr>
            <w:tcW w:w="2087" w:type="dxa"/>
            <w:vAlign w:val="center"/>
          </w:tcPr>
          <w:p>
            <w:pPr>
              <w:rPr>
                <w:rFonts w:ascii="宋体" w:hAnsi="宋体" w:cs="宋体"/>
                <w:szCs w:val="21"/>
              </w:rPr>
            </w:pPr>
            <w:r>
              <w:rPr>
                <w:rFonts w:hint="eastAsia" w:ascii="宋体" w:hAnsi="宋体" w:cs="宋体"/>
                <w:szCs w:val="21"/>
              </w:rPr>
              <w:t>北京大兴机场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建筑砂浆应用与检测</w:t>
            </w:r>
          </w:p>
        </w:tc>
        <w:tc>
          <w:tcPr>
            <w:tcW w:w="2152" w:type="dxa"/>
            <w:vAlign w:val="center"/>
          </w:tcPr>
          <w:p>
            <w:pPr>
              <w:jc w:val="center"/>
              <w:rPr>
                <w:rFonts w:ascii="宋体" w:hAnsi="宋体" w:cs="宋体"/>
                <w:szCs w:val="21"/>
              </w:rPr>
            </w:pPr>
            <w:r>
              <w:rPr>
                <w:rFonts w:hint="eastAsia" w:ascii="宋体" w:hAnsi="宋体" w:cs="宋体"/>
                <w:szCs w:val="21"/>
              </w:rPr>
              <w:t>石灰石膏性能</w:t>
            </w:r>
          </w:p>
        </w:tc>
        <w:tc>
          <w:tcPr>
            <w:tcW w:w="2180" w:type="dxa"/>
            <w:vAlign w:val="center"/>
          </w:tcPr>
          <w:p>
            <w:pPr>
              <w:jc w:val="left"/>
              <w:rPr>
                <w:rFonts w:ascii="宋体" w:hAnsi="宋体" w:cs="宋体"/>
                <w:szCs w:val="21"/>
              </w:rPr>
            </w:pPr>
            <w:r>
              <w:rPr>
                <w:rFonts w:hint="eastAsia" w:ascii="宋体" w:hAnsi="宋体" w:cs="宋体"/>
                <w:szCs w:val="21"/>
              </w:rPr>
              <w:t>廉洁正直诚实守信</w:t>
            </w:r>
          </w:p>
        </w:tc>
        <w:tc>
          <w:tcPr>
            <w:tcW w:w="2087" w:type="dxa"/>
            <w:vAlign w:val="center"/>
          </w:tcPr>
          <w:p>
            <w:pPr>
              <w:rPr>
                <w:rFonts w:ascii="宋体" w:hAnsi="宋体" w:cs="宋体"/>
                <w:szCs w:val="21"/>
              </w:rPr>
            </w:pPr>
            <w:r>
              <w:rPr>
                <w:rFonts w:hint="eastAsia" w:ascii="宋体" w:hAnsi="宋体" w:cs="宋体"/>
                <w:szCs w:val="21"/>
              </w:rPr>
              <w:t>《石灰吟》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pPr>
              <w:jc w:val="center"/>
              <w:rPr>
                <w:rFonts w:ascii="宋体" w:hAnsi="宋体" w:cs="宋体"/>
                <w:szCs w:val="21"/>
              </w:rPr>
            </w:pPr>
            <w:r>
              <w:rPr>
                <w:rFonts w:hint="eastAsia" w:ascii="宋体" w:hAnsi="宋体" w:cs="宋体"/>
                <w:szCs w:val="21"/>
              </w:rPr>
              <w:t>钢材应用与检测</w:t>
            </w:r>
          </w:p>
        </w:tc>
        <w:tc>
          <w:tcPr>
            <w:tcW w:w="2152" w:type="dxa"/>
            <w:vAlign w:val="center"/>
          </w:tcPr>
          <w:p>
            <w:pPr>
              <w:jc w:val="center"/>
              <w:rPr>
                <w:rFonts w:ascii="宋体" w:hAnsi="宋体" w:cs="宋体"/>
                <w:szCs w:val="21"/>
              </w:rPr>
            </w:pPr>
            <w:r>
              <w:rPr>
                <w:rFonts w:hint="eastAsia" w:ascii="宋体" w:hAnsi="宋体" w:cs="宋体"/>
                <w:szCs w:val="21"/>
              </w:rPr>
              <w:t>钢材基本性能</w:t>
            </w:r>
          </w:p>
        </w:tc>
        <w:tc>
          <w:tcPr>
            <w:tcW w:w="2180" w:type="dxa"/>
            <w:vAlign w:val="center"/>
          </w:tcPr>
          <w:p>
            <w:pPr>
              <w:jc w:val="left"/>
              <w:rPr>
                <w:rFonts w:ascii="宋体" w:hAnsi="宋体" w:cs="宋体"/>
                <w:szCs w:val="21"/>
              </w:rPr>
            </w:pPr>
            <w:r>
              <w:rPr>
                <w:rFonts w:hint="eastAsia" w:ascii="宋体" w:hAnsi="宋体" w:cs="宋体"/>
                <w:szCs w:val="21"/>
              </w:rPr>
              <w:t>自主创新锐意进取</w:t>
            </w:r>
          </w:p>
        </w:tc>
        <w:tc>
          <w:tcPr>
            <w:tcW w:w="2087" w:type="dxa"/>
            <w:vAlign w:val="center"/>
          </w:tcPr>
          <w:p>
            <w:pPr>
              <w:rPr>
                <w:rFonts w:ascii="宋体" w:hAnsi="宋体" w:cs="宋体"/>
                <w:szCs w:val="21"/>
              </w:rPr>
            </w:pPr>
            <w:r>
              <w:rPr>
                <w:rFonts w:hint="eastAsia" w:ascii="宋体" w:hAnsi="宋体" w:cs="宋体"/>
                <w:szCs w:val="21"/>
              </w:rPr>
              <w:t>太钢手撕钢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p>
        </w:tc>
        <w:tc>
          <w:tcPr>
            <w:tcW w:w="2180" w:type="dxa"/>
            <w:vAlign w:val="center"/>
          </w:tcPr>
          <w:p>
            <w:pPr>
              <w:jc w:val="left"/>
              <w:rPr>
                <w:rFonts w:ascii="宋体" w:hAnsi="宋体" w:cs="宋体"/>
                <w:szCs w:val="21"/>
              </w:rPr>
            </w:pPr>
          </w:p>
        </w:tc>
        <w:tc>
          <w:tcPr>
            <w:tcW w:w="2087" w:type="dxa"/>
            <w:vAlign w:val="center"/>
          </w:tcPr>
          <w:p>
            <w:pPr>
              <w:rPr>
                <w:rFonts w:ascii="宋体" w:hAnsi="宋体" w:cs="宋体"/>
                <w:szCs w:val="21"/>
              </w:rPr>
            </w:pPr>
          </w:p>
        </w:tc>
      </w:tr>
    </w:tbl>
    <w:p>
      <w:pPr>
        <w:spacing w:line="360" w:lineRule="auto"/>
        <w:jc w:val="center"/>
        <w:rPr>
          <w:rFonts w:ascii="黑体" w:hAnsi="Times New Roman" w:eastAsia="黑体"/>
          <w:b/>
          <w:sz w:val="28"/>
          <w:szCs w:val="28"/>
        </w:rPr>
      </w:pPr>
      <w:r>
        <w:rPr>
          <w:rFonts w:hint="eastAsia" w:ascii="黑体" w:hAnsi="Times New Roman" w:eastAsia="黑体"/>
          <w:b/>
          <w:sz w:val="28"/>
          <w:szCs w:val="28"/>
        </w:rPr>
        <w:t>四、实施建议</w:t>
      </w:r>
    </w:p>
    <w:p>
      <w:pPr>
        <w:spacing w:line="360" w:lineRule="auto"/>
        <w:ind w:firstLine="480" w:firstLineChars="200"/>
        <w:rPr>
          <w:rFonts w:ascii="宋体" w:hAnsi="宋体"/>
          <w:sz w:val="24"/>
          <w:szCs w:val="24"/>
        </w:rPr>
      </w:pPr>
      <w:r>
        <w:rPr>
          <w:rFonts w:hint="eastAsia" w:ascii="宋体" w:hAnsi="宋体"/>
          <w:sz w:val="24"/>
          <w:szCs w:val="24"/>
        </w:rPr>
        <w:t>1.教学团队</w:t>
      </w:r>
    </w:p>
    <w:p>
      <w:pPr>
        <w:spacing w:line="360" w:lineRule="auto"/>
        <w:ind w:firstLine="480" w:firstLineChars="200"/>
        <w:rPr>
          <w:rFonts w:ascii="宋体" w:hAnsi="宋体"/>
          <w:sz w:val="24"/>
          <w:szCs w:val="24"/>
        </w:rPr>
      </w:pPr>
      <w:r>
        <w:rPr>
          <w:rFonts w:hint="eastAsia" w:ascii="宋体" w:hAnsi="宋体"/>
          <w:sz w:val="24"/>
          <w:szCs w:val="24"/>
        </w:rPr>
        <w:t>（1）在团队构成方面本课程教学团队由4名校内专职主讲教师和1名企业兼职教师形成“4+1”教学团队。采用了老中青结合的团队结构，教授1个、3位副教授、工程师两名均毕业于综合性大学的土木建筑大类专业</w:t>
      </w:r>
    </w:p>
    <w:p>
      <w:pPr>
        <w:spacing w:line="360" w:lineRule="auto"/>
        <w:ind w:firstLine="480" w:firstLineChars="200"/>
        <w:rPr>
          <w:rFonts w:ascii="宋体" w:hAnsi="宋体"/>
          <w:sz w:val="24"/>
          <w:szCs w:val="24"/>
        </w:rPr>
      </w:pPr>
      <w:r>
        <w:rPr>
          <w:rFonts w:hint="eastAsia" w:ascii="宋体" w:hAnsi="宋体"/>
          <w:sz w:val="24"/>
          <w:szCs w:val="24"/>
        </w:rPr>
        <w:t>（2）在教师素质方面</w:t>
      </w:r>
    </w:p>
    <w:p>
      <w:pPr>
        <w:spacing w:line="360" w:lineRule="auto"/>
        <w:ind w:firstLine="480" w:firstLineChars="200"/>
        <w:rPr>
          <w:rFonts w:ascii="宋体" w:hAnsi="宋体"/>
          <w:sz w:val="24"/>
          <w:szCs w:val="24"/>
        </w:rPr>
      </w:pPr>
      <w:r>
        <w:rPr>
          <w:rFonts w:hint="eastAsia" w:ascii="宋体" w:hAnsi="宋体"/>
          <w:sz w:val="24"/>
          <w:szCs w:val="24"/>
        </w:rPr>
        <w:t>在教师素质方面，主讲教师应具有教师资格证，要通过学院职业教育教学能力测评；有一年以上建筑行业企业工作经历或企业锻炼经历，具有与该课程内容相关的建筑制图识图实践经验，获取了相关职业资格证书，能够不断学习掌握建筑行业新的发展方向，新的技术改进，具有一定的科研能力。</w:t>
      </w:r>
    </w:p>
    <w:p>
      <w:pPr>
        <w:spacing w:line="360" w:lineRule="auto"/>
        <w:ind w:firstLine="480" w:firstLineChars="200"/>
        <w:rPr>
          <w:rFonts w:ascii="宋体" w:hAnsi="宋体"/>
          <w:sz w:val="24"/>
          <w:szCs w:val="24"/>
        </w:rPr>
      </w:pPr>
      <w:r>
        <w:rPr>
          <w:rFonts w:hint="eastAsia" w:ascii="宋体" w:hAnsi="宋体"/>
          <w:sz w:val="24"/>
          <w:szCs w:val="24"/>
        </w:rPr>
        <w:t>企业兼职教师在企业需是技术骨干或业务骨干，本科学历，具有中级及以上职称。要具有较高的师德修养，懂得教学规律。应遵守学校教学管理制度。积极参与专业建设和课程建设</w:t>
      </w:r>
    </w:p>
    <w:p>
      <w:pPr>
        <w:spacing w:line="360" w:lineRule="auto"/>
        <w:ind w:firstLine="480" w:firstLineChars="200"/>
        <w:rPr>
          <w:rFonts w:ascii="宋体" w:hAnsi="宋体"/>
          <w:sz w:val="24"/>
          <w:szCs w:val="24"/>
        </w:rPr>
      </w:pPr>
      <w:r>
        <w:rPr>
          <w:rFonts w:hint="eastAsia" w:ascii="宋体" w:hAnsi="宋体"/>
          <w:sz w:val="24"/>
          <w:szCs w:val="24"/>
        </w:rPr>
        <w:t>2.实训条件：有多媒体教室、专用建筑材料实验室、建筑材料实验设备，部分建筑材料、教学模型、供学生参观的建筑施工场地</w:t>
      </w:r>
    </w:p>
    <w:p>
      <w:pPr>
        <w:spacing w:line="360" w:lineRule="auto"/>
        <w:ind w:firstLine="480" w:firstLineChars="200"/>
        <w:rPr>
          <w:rFonts w:ascii="宋体" w:hAnsi="宋体"/>
          <w:sz w:val="24"/>
          <w:szCs w:val="24"/>
        </w:rPr>
      </w:pPr>
      <w:r>
        <w:rPr>
          <w:rFonts w:hint="eastAsia" w:ascii="宋体" w:hAnsi="宋体"/>
          <w:sz w:val="24"/>
          <w:szCs w:val="24"/>
        </w:rPr>
        <w:t>3.教学资源：、《建筑材料》课程标准、《建筑材料》教学实施方案、多媒体教室、教学课件 建筑材料试题库。</w:t>
      </w:r>
    </w:p>
    <w:p>
      <w:pPr>
        <w:spacing w:line="360" w:lineRule="auto"/>
        <w:ind w:firstLine="480" w:firstLineChars="200"/>
        <w:rPr>
          <w:rFonts w:ascii="宋体" w:hAnsi="宋体"/>
          <w:sz w:val="24"/>
          <w:szCs w:val="24"/>
        </w:rPr>
      </w:pPr>
      <w:r>
        <w:rPr>
          <w:rFonts w:hint="eastAsia" w:ascii="宋体" w:hAnsi="宋体"/>
          <w:sz w:val="24"/>
          <w:szCs w:val="24"/>
        </w:rPr>
        <w:t>（二）教学建议</w:t>
      </w:r>
    </w:p>
    <w:p>
      <w:pPr>
        <w:spacing w:line="360" w:lineRule="auto"/>
        <w:ind w:firstLine="480" w:firstLineChars="200"/>
        <w:rPr>
          <w:rFonts w:ascii="宋体" w:hAnsi="宋体"/>
          <w:sz w:val="24"/>
          <w:szCs w:val="24"/>
        </w:rPr>
      </w:pPr>
      <w:r>
        <w:rPr>
          <w:rFonts w:hint="eastAsia" w:ascii="宋体" w:hAnsi="宋体"/>
          <w:sz w:val="24"/>
          <w:szCs w:val="24"/>
        </w:rPr>
        <w:t>1.在教学模式上，采取教学做一体教学模式，教师讲解基本知识，同时进行必要的实验操作，学生进行学习，随后学生按教师布置的任务和要求进行必要的实践操作。</w:t>
      </w:r>
    </w:p>
    <w:p>
      <w:pPr>
        <w:spacing w:line="360" w:lineRule="auto"/>
        <w:ind w:firstLine="480" w:firstLineChars="200"/>
        <w:rPr>
          <w:rFonts w:ascii="宋体" w:hAnsi="宋体"/>
          <w:sz w:val="24"/>
          <w:szCs w:val="24"/>
        </w:rPr>
      </w:pPr>
      <w:r>
        <w:rPr>
          <w:rFonts w:hint="eastAsia" w:ascii="宋体" w:hAnsi="宋体"/>
          <w:sz w:val="24"/>
          <w:szCs w:val="24"/>
        </w:rPr>
        <w:t>2.在教学方法上，有项目教学法，是以学习性任务中的某一个项目为对象，先由教师对该项目进行适当的示范，然后让学生分组围绕各自的项目进行讨论、协作学习；案例教学，建筑材料在真实情境中有很多成功的例子，教师在对每个项目进行设计讲解时，会根据这些成功的案例组织学生讨论建材达到合格的标准。</w:t>
      </w:r>
    </w:p>
    <w:p>
      <w:pPr>
        <w:spacing w:line="360" w:lineRule="auto"/>
        <w:ind w:firstLine="480" w:firstLineChars="200"/>
        <w:rPr>
          <w:rFonts w:ascii="宋体" w:hAnsi="宋体"/>
          <w:sz w:val="24"/>
          <w:szCs w:val="24"/>
        </w:rPr>
      </w:pPr>
      <w:r>
        <w:rPr>
          <w:rFonts w:hint="eastAsia" w:ascii="宋体" w:hAnsi="宋体"/>
          <w:sz w:val="24"/>
          <w:szCs w:val="24"/>
        </w:rPr>
        <w:t>多媒体教学，建筑材料在讲授中需要实验操作及演示作图过程，所以采用多媒体教学可以给学生展示更多的实验，同时也能比较详细的演示每一个实验的步骤。</w:t>
      </w:r>
    </w:p>
    <w:p>
      <w:pPr>
        <w:spacing w:line="360" w:lineRule="auto"/>
        <w:ind w:firstLine="480" w:firstLineChars="200"/>
        <w:rPr>
          <w:rFonts w:ascii="宋体" w:hAnsi="宋体"/>
          <w:sz w:val="24"/>
          <w:szCs w:val="24"/>
        </w:rPr>
      </w:pPr>
      <w:r>
        <w:rPr>
          <w:rFonts w:hint="eastAsia" w:ascii="宋体" w:hAnsi="宋体"/>
          <w:sz w:val="24"/>
          <w:szCs w:val="24"/>
        </w:rPr>
        <w:t>（三）参考书</w:t>
      </w:r>
    </w:p>
    <w:p>
      <w:pPr>
        <w:spacing w:line="360" w:lineRule="auto"/>
        <w:ind w:firstLine="480" w:firstLineChars="200"/>
        <w:rPr>
          <w:rFonts w:ascii="宋体" w:hAnsi="宋体"/>
          <w:sz w:val="24"/>
          <w:szCs w:val="24"/>
        </w:rPr>
      </w:pPr>
      <w:r>
        <w:rPr>
          <w:rFonts w:hint="eastAsia" w:ascii="宋体" w:hAnsi="宋体"/>
          <w:sz w:val="24"/>
          <w:szCs w:val="24"/>
        </w:rPr>
        <w:t>1.魏鸿汉   《建筑材料》（住建部十四五规划教材）第6版 北京  中国建筑工业出版社  2022</w:t>
      </w:r>
    </w:p>
    <w:p>
      <w:pPr>
        <w:spacing w:line="360" w:lineRule="auto"/>
        <w:ind w:firstLine="480" w:firstLineChars="200"/>
        <w:rPr>
          <w:rFonts w:ascii="宋体" w:hAnsi="宋体"/>
          <w:sz w:val="24"/>
          <w:szCs w:val="24"/>
        </w:rPr>
      </w:pPr>
      <w:r>
        <w:rPr>
          <w:rFonts w:hint="eastAsia" w:ascii="宋体" w:hAnsi="宋体"/>
          <w:sz w:val="24"/>
          <w:szCs w:val="24"/>
        </w:rPr>
        <w:t xml:space="preserve">2.胡新萍   《建筑材料》（十三五高校土建专业创新规划）第1版   北京  </w:t>
      </w:r>
    </w:p>
    <w:p>
      <w:pPr>
        <w:spacing w:line="360" w:lineRule="auto"/>
        <w:ind w:firstLine="480" w:firstLineChars="200"/>
        <w:rPr>
          <w:rFonts w:ascii="宋体" w:hAnsi="宋体"/>
          <w:sz w:val="24"/>
          <w:szCs w:val="24"/>
        </w:rPr>
      </w:pPr>
      <w:r>
        <w:rPr>
          <w:rFonts w:hint="eastAsia" w:ascii="宋体" w:hAnsi="宋体"/>
          <w:sz w:val="24"/>
          <w:szCs w:val="24"/>
        </w:rPr>
        <w:t>北京大学出版社  2018.</w:t>
      </w:r>
    </w:p>
    <w:p>
      <w:p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五、学生考核与评价</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1.考核方式</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本课程采用课堂学习和考试相结合的考核评价模式。考核成绩由平时学习考核成绩和期末考试成绩两部分组成。</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其中平时学习考核成绩占总成绩的50%，平时考核成绩主要从考勤，作业，课堂表现三方面考核，考核依据是提交的作业、成果、平时学习表现记载，其中：</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期末考试包括理论知识考试和技能考试，占考核成绩的60%，技能知识考试占考核成绩的40%。理论考试重点考察基本概念和基本理论知识，技能考试主要考察材料性能的检测，标准、规范的应用能力。</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2.考核标准</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考核标准应与本专业学生建造师、预算师职业能力和………上岗条件相结合，与相对应的………职业资格证书相对接。</w:t>
      </w:r>
    </w:p>
    <w:p>
      <w:pPr>
        <w:spacing w:line="360" w:lineRule="auto"/>
        <w:ind w:firstLine="240"/>
        <w:jc w:val="center"/>
        <w:rPr>
          <w:rFonts w:ascii="黑体" w:hAnsi="Times New Roman" w:eastAsia="黑体"/>
          <w:b/>
          <w:sz w:val="28"/>
          <w:szCs w:val="28"/>
        </w:rPr>
      </w:pPr>
      <w:r>
        <w:rPr>
          <w:rFonts w:hint="eastAsia" w:ascii="黑体" w:hAnsi="Times New Roman"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1301"/>
        <w:gridCol w:w="1294"/>
        <w:gridCol w:w="1263"/>
        <w:gridCol w:w="1797"/>
        <w:gridCol w:w="1261"/>
        <w:gridCol w:w="1421"/>
        <w:gridCol w:w="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vAlign w:val="center"/>
          </w:tcPr>
          <w:p>
            <w:pPr>
              <w:jc w:val="center"/>
              <w:rPr>
                <w:rFonts w:ascii="Times New Roman" w:hAnsi="Times New Roman"/>
                <w:b/>
                <w:szCs w:val="24"/>
              </w:rPr>
            </w:pPr>
            <w:r>
              <w:rPr>
                <w:rFonts w:hint="eastAsia" w:ascii="Times New Roman" w:hAnsi="Times New Roman"/>
                <w:b/>
                <w:szCs w:val="24"/>
              </w:rPr>
              <w:t>序号</w:t>
            </w:r>
          </w:p>
        </w:tc>
        <w:tc>
          <w:tcPr>
            <w:tcW w:w="1301" w:type="dxa"/>
            <w:vAlign w:val="center"/>
          </w:tcPr>
          <w:p>
            <w:pPr>
              <w:jc w:val="center"/>
              <w:rPr>
                <w:rFonts w:ascii="Times New Roman" w:hAnsi="Times New Roman"/>
                <w:b/>
                <w:szCs w:val="24"/>
              </w:rPr>
            </w:pPr>
            <w:r>
              <w:rPr>
                <w:rFonts w:hint="eastAsia" w:ascii="Times New Roman" w:hAnsi="Times New Roman"/>
                <w:b/>
                <w:szCs w:val="24"/>
              </w:rPr>
              <w:t>项目（或情境、任务、模块）</w:t>
            </w:r>
          </w:p>
        </w:tc>
        <w:tc>
          <w:tcPr>
            <w:tcW w:w="1294" w:type="dxa"/>
            <w:vAlign w:val="center"/>
          </w:tcPr>
          <w:p>
            <w:pPr>
              <w:jc w:val="center"/>
              <w:rPr>
                <w:rFonts w:ascii="Times New Roman" w:hAnsi="Times New Roman"/>
                <w:b/>
                <w:szCs w:val="24"/>
              </w:rPr>
            </w:pPr>
            <w:r>
              <w:rPr>
                <w:rFonts w:hint="eastAsia" w:ascii="Times New Roman" w:hAnsi="Times New Roman"/>
                <w:b/>
                <w:szCs w:val="24"/>
              </w:rPr>
              <w:t>任务</w:t>
            </w:r>
          </w:p>
        </w:tc>
        <w:tc>
          <w:tcPr>
            <w:tcW w:w="1263" w:type="dxa"/>
            <w:vAlign w:val="center"/>
          </w:tcPr>
          <w:p>
            <w:pPr>
              <w:jc w:val="center"/>
              <w:rPr>
                <w:rFonts w:ascii="Times New Roman" w:hAnsi="Times New Roman"/>
                <w:b/>
                <w:szCs w:val="24"/>
              </w:rPr>
            </w:pPr>
            <w:r>
              <w:rPr>
                <w:rFonts w:hint="eastAsia" w:ascii="Times New Roman" w:hAnsi="Times New Roman"/>
                <w:b/>
                <w:szCs w:val="24"/>
              </w:rPr>
              <w:t>知识点</w:t>
            </w:r>
          </w:p>
        </w:tc>
        <w:tc>
          <w:tcPr>
            <w:tcW w:w="1797" w:type="dxa"/>
            <w:vAlign w:val="center"/>
          </w:tcPr>
          <w:p>
            <w:pPr>
              <w:jc w:val="center"/>
              <w:rPr>
                <w:rFonts w:ascii="Times New Roman" w:hAnsi="Times New Roman"/>
                <w:b/>
                <w:szCs w:val="24"/>
              </w:rPr>
            </w:pPr>
            <w:r>
              <w:rPr>
                <w:rFonts w:hint="eastAsia" w:ascii="Times New Roman" w:hAnsi="Times New Roman"/>
                <w:b/>
                <w:szCs w:val="24"/>
              </w:rPr>
              <w:t>技能训练（</w:t>
            </w:r>
          </w:p>
        </w:tc>
        <w:tc>
          <w:tcPr>
            <w:tcW w:w="1261" w:type="dxa"/>
            <w:vAlign w:val="center"/>
          </w:tcPr>
          <w:p>
            <w:pPr>
              <w:jc w:val="center"/>
              <w:rPr>
                <w:rFonts w:ascii="Times New Roman" w:hAnsi="Times New Roman"/>
                <w:b/>
                <w:szCs w:val="24"/>
              </w:rPr>
            </w:pPr>
            <w:r>
              <w:rPr>
                <w:rFonts w:hint="eastAsia" w:ascii="Times New Roman" w:hAnsi="Times New Roman"/>
                <w:b/>
                <w:szCs w:val="24"/>
              </w:rPr>
              <w:t>教学重点（思政元素融入）</w:t>
            </w:r>
          </w:p>
        </w:tc>
        <w:tc>
          <w:tcPr>
            <w:tcW w:w="1421" w:type="dxa"/>
            <w:vAlign w:val="center"/>
          </w:tcPr>
          <w:p>
            <w:pPr>
              <w:jc w:val="center"/>
              <w:rPr>
                <w:rFonts w:ascii="Times New Roman" w:hAnsi="Times New Roman"/>
                <w:b/>
                <w:szCs w:val="24"/>
              </w:rPr>
            </w:pPr>
            <w:r>
              <w:rPr>
                <w:rFonts w:hint="eastAsia" w:ascii="Times New Roman" w:hAnsi="Times New Roman"/>
                <w:b/>
                <w:szCs w:val="24"/>
              </w:rPr>
              <w:t>教学设计（或教学情景）</w:t>
            </w:r>
          </w:p>
        </w:tc>
        <w:tc>
          <w:tcPr>
            <w:tcW w:w="679" w:type="dxa"/>
            <w:vAlign w:val="center"/>
          </w:tcPr>
          <w:p>
            <w:pPr>
              <w:jc w:val="center"/>
              <w:rPr>
                <w:rFonts w:ascii="Times New Roman" w:hAnsi="Times New Roman"/>
                <w:b/>
                <w:szCs w:val="24"/>
              </w:rPr>
            </w:pPr>
            <w:r>
              <w:rPr>
                <w:rFonts w:hint="eastAsia" w:ascii="Times New Roman" w:hAnsi="Times New Roman"/>
                <w:b/>
                <w:szCs w:val="24"/>
              </w:rPr>
              <w:t>建议</w:t>
            </w:r>
          </w:p>
          <w:p>
            <w:pPr>
              <w:jc w:val="center"/>
              <w:rPr>
                <w:rFonts w:ascii="Times New Roman" w:hAnsi="Times New Roman"/>
                <w:b/>
                <w:szCs w:val="24"/>
              </w:rPr>
            </w:pPr>
            <w:r>
              <w:rPr>
                <w:rFonts w:hint="eastAsia" w:ascii="Times New Roman" w:hAnsi="Times New Roman"/>
                <w:b/>
                <w:szCs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restart"/>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1</w:t>
            </w:r>
          </w:p>
        </w:tc>
        <w:tc>
          <w:tcPr>
            <w:tcW w:w="1301" w:type="dxa"/>
            <w:vMerge w:val="restart"/>
          </w:tcPr>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建筑材料导论</w:t>
            </w:r>
          </w:p>
        </w:tc>
        <w:tc>
          <w:tcPr>
            <w:tcW w:w="1294" w:type="dxa"/>
          </w:tcPr>
          <w:p>
            <w:pPr>
              <w:rPr>
                <w:rFonts w:ascii="宋体" w:hAnsi="宋体"/>
                <w:szCs w:val="21"/>
              </w:rPr>
            </w:pPr>
            <w:r>
              <w:rPr>
                <w:rFonts w:hint="eastAsia" w:ascii="宋体" w:hAnsi="宋体"/>
                <w:szCs w:val="21"/>
              </w:rPr>
              <w:t>1.建筑材料的含义及发展</w:t>
            </w:r>
          </w:p>
        </w:tc>
        <w:tc>
          <w:tcPr>
            <w:tcW w:w="1263" w:type="dxa"/>
          </w:tcPr>
          <w:p>
            <w:pPr>
              <w:rPr>
                <w:rFonts w:ascii="宋体" w:hAnsi="宋体"/>
                <w:szCs w:val="21"/>
              </w:rPr>
            </w:pPr>
            <w:r>
              <w:rPr>
                <w:rFonts w:hint="eastAsia" w:ascii="宋体" w:hAnsi="宋体"/>
                <w:szCs w:val="21"/>
              </w:rPr>
              <w:t>1.材料的定义分类</w:t>
            </w:r>
          </w:p>
          <w:p>
            <w:pPr>
              <w:rPr>
                <w:rFonts w:ascii="Times New Roman" w:hAnsi="Times New Roman"/>
                <w:szCs w:val="24"/>
              </w:rPr>
            </w:pPr>
            <w:r>
              <w:rPr>
                <w:rFonts w:hint="eastAsia" w:ascii="Times New Roman" w:hAnsi="Times New Roman"/>
                <w:szCs w:val="24"/>
              </w:rPr>
              <w:t>2.材料发展方向</w:t>
            </w:r>
          </w:p>
        </w:tc>
        <w:tc>
          <w:tcPr>
            <w:tcW w:w="1797" w:type="dxa"/>
          </w:tcPr>
          <w:p>
            <w:pPr>
              <w:rPr>
                <w:rFonts w:ascii="宋体" w:hAnsi="宋体"/>
                <w:szCs w:val="21"/>
              </w:rPr>
            </w:pPr>
            <w:r>
              <w:rPr>
                <w:rFonts w:hint="eastAsia" w:ascii="宋体" w:hAnsi="宋体"/>
                <w:szCs w:val="21"/>
              </w:rPr>
              <w:t>论述我国建筑材料发展的悠久历史</w:t>
            </w:r>
          </w:p>
        </w:tc>
        <w:tc>
          <w:tcPr>
            <w:tcW w:w="1261" w:type="dxa"/>
          </w:tcPr>
          <w:p>
            <w:pPr>
              <w:rPr>
                <w:rFonts w:ascii="宋体" w:hAnsi="宋体"/>
                <w:szCs w:val="21"/>
              </w:rPr>
            </w:pPr>
            <w:r>
              <w:rPr>
                <w:rFonts w:hint="eastAsia" w:ascii="宋体" w:hAnsi="宋体"/>
                <w:szCs w:val="21"/>
              </w:rPr>
              <w:t>材料的发展体会我们民族的能力更要努力学习为国奉献</w:t>
            </w:r>
          </w:p>
        </w:tc>
        <w:tc>
          <w:tcPr>
            <w:tcW w:w="1421" w:type="dxa"/>
          </w:tcPr>
          <w:p>
            <w:pPr>
              <w:rPr>
                <w:rFonts w:ascii="宋体" w:hAnsi="宋体"/>
                <w:szCs w:val="21"/>
              </w:rPr>
            </w:pPr>
            <w:r>
              <w:rPr>
                <w:rFonts w:hint="eastAsia" w:ascii="宋体" w:hAnsi="宋体"/>
                <w:szCs w:val="21"/>
              </w:rPr>
              <w:t>老师布置任务让学生查阅资料学习，然后进行讨论</w:t>
            </w:r>
          </w:p>
        </w:tc>
        <w:tc>
          <w:tcPr>
            <w:tcW w:w="679" w:type="dxa"/>
            <w:vMerge w:val="restart"/>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294" w:type="dxa"/>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2．材料的各种性质</w:t>
            </w:r>
          </w:p>
        </w:tc>
        <w:tc>
          <w:tcPr>
            <w:tcW w:w="1263" w:type="dxa"/>
          </w:tcPr>
          <w:p>
            <w:pPr>
              <w:spacing w:line="360" w:lineRule="auto"/>
              <w:rPr>
                <w:rFonts w:ascii="宋体" w:hAnsi="宋体"/>
                <w:szCs w:val="21"/>
              </w:rPr>
            </w:pPr>
            <w:r>
              <w:rPr>
                <w:rFonts w:hint="eastAsia" w:ascii="宋体" w:hAnsi="宋体"/>
                <w:szCs w:val="21"/>
              </w:rPr>
              <w:t>1.材料的密度孔隙比孔隙率</w:t>
            </w:r>
          </w:p>
          <w:p>
            <w:pPr>
              <w:rPr>
                <w:rFonts w:ascii="Times New Roman" w:hAnsi="Times New Roman"/>
                <w:szCs w:val="24"/>
              </w:rPr>
            </w:pPr>
            <w:r>
              <w:rPr>
                <w:rFonts w:hint="eastAsia" w:ascii="Times New Roman" w:hAnsi="Times New Roman"/>
                <w:szCs w:val="24"/>
              </w:rPr>
              <w:t>2.材料的含水率亲水性</w:t>
            </w:r>
          </w:p>
          <w:p>
            <w:pPr>
              <w:rPr>
                <w:rFonts w:ascii="Times New Roman" w:hAnsi="Times New Roman"/>
                <w:szCs w:val="24"/>
              </w:rPr>
            </w:pPr>
            <w:r>
              <w:rPr>
                <w:rFonts w:hint="eastAsia" w:ascii="Times New Roman" w:hAnsi="Times New Roman"/>
                <w:szCs w:val="24"/>
              </w:rPr>
              <w:t>3.材料的强度热工性质</w:t>
            </w:r>
          </w:p>
        </w:tc>
        <w:tc>
          <w:tcPr>
            <w:tcW w:w="1797" w:type="dxa"/>
          </w:tcPr>
          <w:p>
            <w:pPr>
              <w:spacing w:line="360" w:lineRule="auto"/>
              <w:rPr>
                <w:rFonts w:ascii="宋体" w:hAnsi="宋体"/>
                <w:szCs w:val="21"/>
              </w:rPr>
            </w:pPr>
            <w:r>
              <w:rPr>
                <w:rFonts w:hint="eastAsia" w:ascii="宋体" w:hAnsi="宋体"/>
                <w:szCs w:val="21"/>
              </w:rPr>
              <w:t>1.材料密度的实验测定</w:t>
            </w:r>
          </w:p>
          <w:p>
            <w:pPr>
              <w:rPr>
                <w:rFonts w:ascii="Times New Roman" w:hAnsi="Times New Roman"/>
                <w:szCs w:val="24"/>
              </w:rPr>
            </w:pPr>
            <w:r>
              <w:rPr>
                <w:rFonts w:hint="eastAsia" w:ascii="Times New Roman" w:hAnsi="Times New Roman"/>
                <w:szCs w:val="24"/>
              </w:rPr>
              <w:t>2.材料含水量的测定实验</w:t>
            </w:r>
          </w:p>
        </w:tc>
        <w:tc>
          <w:tcPr>
            <w:tcW w:w="1261" w:type="dxa"/>
          </w:tcPr>
          <w:p>
            <w:pPr>
              <w:spacing w:line="360" w:lineRule="auto"/>
              <w:rPr>
                <w:rFonts w:ascii="宋体" w:hAnsi="宋体"/>
                <w:szCs w:val="21"/>
              </w:rPr>
            </w:pPr>
            <w:r>
              <w:rPr>
                <w:rFonts w:hint="eastAsia" w:ascii="宋体" w:hAnsi="宋体"/>
                <w:szCs w:val="21"/>
              </w:rPr>
              <w:t>严格操作要求按步骤进行材料密度测定</w:t>
            </w:r>
          </w:p>
        </w:tc>
        <w:tc>
          <w:tcPr>
            <w:tcW w:w="1421" w:type="dxa"/>
          </w:tcPr>
          <w:p>
            <w:pPr>
              <w:spacing w:line="360" w:lineRule="auto"/>
              <w:rPr>
                <w:rFonts w:ascii="宋体" w:hAnsi="宋体"/>
                <w:szCs w:val="21"/>
              </w:rPr>
            </w:pPr>
            <w:r>
              <w:rPr>
                <w:rFonts w:hint="eastAsia" w:ascii="宋体" w:hAnsi="宋体"/>
                <w:szCs w:val="21"/>
              </w:rPr>
              <w:t>以完成工作任务的六个步骤，分组进行建筑材料性质的学习，训练学生对知识和技能的掌握程度。</w:t>
            </w:r>
          </w:p>
        </w:tc>
        <w:tc>
          <w:tcPr>
            <w:tcW w:w="679"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w:t>
            </w: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水泥应用与检测</w:t>
            </w:r>
          </w:p>
        </w:tc>
        <w:tc>
          <w:tcPr>
            <w:tcW w:w="1294" w:type="dxa"/>
          </w:tcPr>
          <w:p>
            <w:pPr>
              <w:rPr>
                <w:rFonts w:ascii="宋体" w:hAnsi="宋体"/>
                <w:szCs w:val="21"/>
              </w:rPr>
            </w:pPr>
            <w:r>
              <w:rPr>
                <w:rFonts w:hint="eastAsia" w:ascii="宋体" w:hAnsi="宋体"/>
                <w:szCs w:val="21"/>
              </w:rPr>
              <w:t>1.正确完成水泥材料常规试验、数据处理、并评定检测结果、书写检测报告及资料的分析整理</w:t>
            </w:r>
          </w:p>
        </w:tc>
        <w:tc>
          <w:tcPr>
            <w:tcW w:w="1263" w:type="dxa"/>
          </w:tcPr>
          <w:p>
            <w:pPr>
              <w:spacing w:line="360" w:lineRule="auto"/>
              <w:rPr>
                <w:rFonts w:ascii="宋体" w:hAnsi="宋体"/>
                <w:szCs w:val="21"/>
              </w:rPr>
            </w:pPr>
            <w:r>
              <w:rPr>
                <w:rFonts w:hint="eastAsia" w:ascii="宋体" w:hAnsi="宋体"/>
                <w:szCs w:val="21"/>
              </w:rPr>
              <w:t>1.通用水泥的来源、分类、质量要求</w:t>
            </w:r>
          </w:p>
          <w:p>
            <w:pPr>
              <w:spacing w:line="360" w:lineRule="auto"/>
              <w:rPr>
                <w:rFonts w:ascii="宋体" w:hAnsi="宋体"/>
                <w:szCs w:val="21"/>
              </w:rPr>
            </w:pPr>
            <w:r>
              <w:rPr>
                <w:rFonts w:hint="eastAsia" w:ascii="宋体" w:hAnsi="宋体"/>
                <w:szCs w:val="21"/>
              </w:rPr>
              <w:t>2.水泥的技术性能检测和评定方法；。</w:t>
            </w:r>
          </w:p>
        </w:tc>
        <w:tc>
          <w:tcPr>
            <w:tcW w:w="1797" w:type="dxa"/>
          </w:tcPr>
          <w:p>
            <w:pPr>
              <w:spacing w:line="360" w:lineRule="auto"/>
              <w:rPr>
                <w:rFonts w:ascii="宋体" w:hAnsi="宋体"/>
                <w:szCs w:val="21"/>
              </w:rPr>
            </w:pPr>
            <w:r>
              <w:rPr>
                <w:rFonts w:hint="eastAsia" w:ascii="宋体" w:hAnsi="宋体"/>
                <w:szCs w:val="21"/>
              </w:rPr>
              <w:t>进行水泥技术性能的试验检测</w:t>
            </w:r>
          </w:p>
        </w:tc>
        <w:tc>
          <w:tcPr>
            <w:tcW w:w="1261" w:type="dxa"/>
            <w:vMerge w:val="restart"/>
          </w:tcPr>
          <w:p>
            <w:pPr>
              <w:spacing w:line="360" w:lineRule="auto"/>
              <w:rPr>
                <w:rFonts w:ascii="宋体" w:hAnsi="宋体"/>
                <w:szCs w:val="21"/>
              </w:rPr>
            </w:pPr>
            <w:r>
              <w:rPr>
                <w:rFonts w:hint="eastAsia" w:ascii="宋体" w:hAnsi="宋体"/>
                <w:szCs w:val="21"/>
              </w:rPr>
              <w:t>按照规范的步骤和设备使用的注意事项进行实验操作体会工匠精神</w:t>
            </w:r>
          </w:p>
        </w:tc>
        <w:tc>
          <w:tcPr>
            <w:tcW w:w="1421" w:type="dxa"/>
            <w:vMerge w:val="restart"/>
          </w:tcPr>
          <w:p>
            <w:pPr>
              <w:spacing w:line="360" w:lineRule="auto"/>
              <w:rPr>
                <w:rFonts w:ascii="宋体" w:hAnsi="宋体"/>
                <w:szCs w:val="21"/>
              </w:rPr>
            </w:pPr>
            <w:r>
              <w:rPr>
                <w:rFonts w:hint="eastAsia" w:ascii="宋体" w:hAnsi="宋体"/>
                <w:szCs w:val="21"/>
              </w:rPr>
              <w:t>以完成工作任务的六个步骤，分组进行建筑材料性质的学习，训练学生对知识和技能的掌握程度</w:t>
            </w:r>
          </w:p>
        </w:tc>
        <w:tc>
          <w:tcPr>
            <w:tcW w:w="679"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294" w:type="dxa"/>
          </w:tcPr>
          <w:p>
            <w:pPr>
              <w:rPr>
                <w:rFonts w:ascii="宋体" w:hAnsi="宋体"/>
                <w:szCs w:val="21"/>
              </w:rPr>
            </w:pPr>
            <w:r>
              <w:rPr>
                <w:rFonts w:hint="eastAsia" w:ascii="宋体" w:hAnsi="宋体"/>
                <w:szCs w:val="21"/>
              </w:rPr>
              <w:t>2.熟悉新型材料和掌握其技术性能、技术标准</w:t>
            </w:r>
          </w:p>
        </w:tc>
        <w:tc>
          <w:tcPr>
            <w:tcW w:w="1263" w:type="dxa"/>
          </w:tcPr>
          <w:p>
            <w:pPr>
              <w:spacing w:line="360" w:lineRule="auto"/>
              <w:rPr>
                <w:rFonts w:ascii="宋体" w:hAnsi="宋体"/>
                <w:szCs w:val="21"/>
              </w:rPr>
            </w:pPr>
            <w:r>
              <w:rPr>
                <w:rFonts w:hint="eastAsia" w:ascii="宋体" w:hAnsi="宋体"/>
                <w:szCs w:val="21"/>
              </w:rPr>
              <w:t>材料力学分析材料应用</w:t>
            </w:r>
          </w:p>
        </w:tc>
        <w:tc>
          <w:tcPr>
            <w:tcW w:w="1797" w:type="dxa"/>
          </w:tcPr>
          <w:p>
            <w:pPr>
              <w:spacing w:line="360" w:lineRule="auto"/>
              <w:rPr>
                <w:rFonts w:ascii="宋体" w:hAnsi="宋体"/>
                <w:szCs w:val="21"/>
              </w:rPr>
            </w:pPr>
            <w:r>
              <w:rPr>
                <w:rFonts w:hint="eastAsia" w:ascii="宋体" w:hAnsi="宋体"/>
                <w:szCs w:val="21"/>
              </w:rPr>
              <w:t>查阅资料了解材料发展新方向</w:t>
            </w:r>
          </w:p>
        </w:tc>
        <w:tc>
          <w:tcPr>
            <w:tcW w:w="1261" w:type="dxa"/>
            <w:vMerge w:val="continue"/>
          </w:tcPr>
          <w:p>
            <w:pPr>
              <w:spacing w:line="360" w:lineRule="auto"/>
              <w:rPr>
                <w:rFonts w:ascii="宋体" w:hAnsi="宋体"/>
                <w:szCs w:val="21"/>
              </w:rPr>
            </w:pPr>
          </w:p>
        </w:tc>
        <w:tc>
          <w:tcPr>
            <w:tcW w:w="1421" w:type="dxa"/>
            <w:vMerge w:val="continue"/>
          </w:tcPr>
          <w:p>
            <w:pPr>
              <w:spacing w:line="360" w:lineRule="auto"/>
              <w:rPr>
                <w:rFonts w:ascii="宋体" w:hAnsi="宋体"/>
                <w:szCs w:val="21"/>
              </w:rPr>
            </w:pPr>
          </w:p>
        </w:tc>
        <w:tc>
          <w:tcPr>
            <w:tcW w:w="679"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3</w:t>
            </w: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普通混凝土应用与检测</w:t>
            </w:r>
          </w:p>
        </w:tc>
        <w:tc>
          <w:tcPr>
            <w:tcW w:w="1294" w:type="dxa"/>
          </w:tcPr>
          <w:p>
            <w:pPr>
              <w:rPr>
                <w:rFonts w:ascii="宋体" w:hAnsi="宋体"/>
                <w:szCs w:val="21"/>
              </w:rPr>
            </w:pPr>
            <w:r>
              <w:rPr>
                <w:rFonts w:hint="eastAsia" w:ascii="宋体" w:hAnsi="宋体"/>
                <w:szCs w:val="21"/>
              </w:rPr>
              <w:t>正确完成普通混凝土配合比设计</w:t>
            </w:r>
          </w:p>
        </w:tc>
        <w:tc>
          <w:tcPr>
            <w:tcW w:w="1263" w:type="dxa"/>
          </w:tcPr>
          <w:p>
            <w:pPr>
              <w:spacing w:line="360" w:lineRule="auto"/>
              <w:rPr>
                <w:rFonts w:ascii="宋体" w:hAnsi="宋体"/>
                <w:szCs w:val="21"/>
              </w:rPr>
            </w:pPr>
            <w:r>
              <w:rPr>
                <w:rFonts w:hint="eastAsia" w:ascii="宋体" w:hAnsi="宋体"/>
                <w:szCs w:val="21"/>
              </w:rPr>
              <w:t>普通混凝土配合比设计方法</w:t>
            </w:r>
          </w:p>
        </w:tc>
        <w:tc>
          <w:tcPr>
            <w:tcW w:w="1797" w:type="dxa"/>
          </w:tcPr>
          <w:p>
            <w:pPr>
              <w:spacing w:line="360" w:lineRule="auto"/>
              <w:rPr>
                <w:rFonts w:ascii="宋体" w:hAnsi="宋体"/>
                <w:szCs w:val="21"/>
              </w:rPr>
            </w:pPr>
            <w:r>
              <w:rPr>
                <w:rFonts w:hint="eastAsia" w:ascii="宋体" w:hAnsi="宋体"/>
                <w:szCs w:val="21"/>
              </w:rPr>
              <w:t>C20混凝土配合比设计</w:t>
            </w:r>
          </w:p>
        </w:tc>
        <w:tc>
          <w:tcPr>
            <w:tcW w:w="1261" w:type="dxa"/>
          </w:tcPr>
          <w:p>
            <w:pPr>
              <w:spacing w:line="360" w:lineRule="auto"/>
              <w:rPr>
                <w:rFonts w:ascii="宋体" w:hAnsi="宋体"/>
                <w:szCs w:val="21"/>
              </w:rPr>
            </w:pPr>
            <w:r>
              <w:rPr>
                <w:rFonts w:hint="eastAsia" w:ascii="宋体" w:hAnsi="宋体"/>
                <w:szCs w:val="21"/>
              </w:rPr>
              <w:t>按步骤设计混凝土配合比</w:t>
            </w:r>
          </w:p>
        </w:tc>
        <w:tc>
          <w:tcPr>
            <w:tcW w:w="1421" w:type="dxa"/>
            <w:vMerge w:val="restart"/>
          </w:tcPr>
          <w:p>
            <w:pPr>
              <w:spacing w:line="360" w:lineRule="auto"/>
              <w:rPr>
                <w:rFonts w:ascii="宋体" w:hAnsi="宋体"/>
                <w:szCs w:val="21"/>
              </w:rPr>
            </w:pPr>
            <w:r>
              <w:rPr>
                <w:rFonts w:hint="eastAsia" w:ascii="宋体" w:hAnsi="宋体"/>
                <w:szCs w:val="21"/>
              </w:rPr>
              <w:t>按完成工作任务的六个步骤，分组进行建筑材料性质的学习，训练学生对知识和技能的掌握程度</w:t>
            </w:r>
          </w:p>
        </w:tc>
        <w:tc>
          <w:tcPr>
            <w:tcW w:w="679" w:type="dxa"/>
            <w:vMerge w:val="restart"/>
          </w:tcPr>
          <w:p>
            <w:pPr>
              <w:spacing w:line="360" w:lineRule="auto"/>
              <w:rPr>
                <w:rFonts w:ascii="宋体" w:hAnsi="宋体"/>
                <w:szCs w:val="21"/>
              </w:rPr>
            </w:pPr>
          </w:p>
          <w:p>
            <w:pPr>
              <w:ind w:firstLine="420" w:firstLineChars="200"/>
              <w:rPr>
                <w:rFonts w:ascii="Times New Roman" w:hAnsi="Times New Roman"/>
                <w:szCs w:val="24"/>
              </w:rPr>
            </w:pPr>
          </w:p>
          <w:p>
            <w:pPr>
              <w:ind w:firstLine="420" w:firstLineChars="200"/>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p>
          <w:p>
            <w:pPr>
              <w:rPr>
                <w:rFonts w:ascii="Times New Roman" w:hAnsi="Times New Roman"/>
                <w:szCs w:val="24"/>
              </w:rPr>
            </w:pPr>
            <w:r>
              <w:rPr>
                <w:rFonts w:hint="eastAsia" w:ascii="Times New Roman" w:hAnsi="Times New Roman"/>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294" w:type="dxa"/>
          </w:tcPr>
          <w:p>
            <w:pPr>
              <w:rPr>
                <w:rFonts w:ascii="宋体" w:hAnsi="宋体"/>
                <w:szCs w:val="21"/>
              </w:rPr>
            </w:pPr>
            <w:r>
              <w:rPr>
                <w:rFonts w:hint="eastAsia" w:ascii="宋体" w:hAnsi="宋体"/>
                <w:szCs w:val="21"/>
              </w:rPr>
              <w:t>混凝土拌和物性能、混凝土强度的常规试验、数据处理、并评定检测结果、书写检测报告及资料的分析整理</w:t>
            </w:r>
          </w:p>
        </w:tc>
        <w:tc>
          <w:tcPr>
            <w:tcW w:w="1263" w:type="dxa"/>
          </w:tcPr>
          <w:p>
            <w:pPr>
              <w:spacing w:line="360" w:lineRule="auto"/>
              <w:rPr>
                <w:rFonts w:ascii="宋体" w:hAnsi="宋体"/>
                <w:szCs w:val="21"/>
              </w:rPr>
            </w:pPr>
            <w:r>
              <w:rPr>
                <w:rFonts w:hint="eastAsia" w:ascii="宋体" w:hAnsi="宋体"/>
                <w:szCs w:val="21"/>
              </w:rPr>
              <w:t>1.混凝土拌和物性能、</w:t>
            </w:r>
          </w:p>
          <w:p>
            <w:pPr>
              <w:spacing w:line="360" w:lineRule="auto"/>
              <w:rPr>
                <w:rFonts w:ascii="宋体" w:hAnsi="宋体"/>
                <w:szCs w:val="21"/>
              </w:rPr>
            </w:pPr>
            <w:r>
              <w:rPr>
                <w:rFonts w:hint="eastAsia" w:ascii="宋体" w:hAnsi="宋体"/>
                <w:szCs w:val="21"/>
              </w:rPr>
              <w:t>2.混凝土强度的常规试验</w:t>
            </w:r>
          </w:p>
        </w:tc>
        <w:tc>
          <w:tcPr>
            <w:tcW w:w="1797" w:type="dxa"/>
          </w:tcPr>
          <w:p>
            <w:pPr>
              <w:spacing w:line="360" w:lineRule="auto"/>
              <w:rPr>
                <w:rFonts w:ascii="宋体" w:hAnsi="宋体"/>
                <w:szCs w:val="21"/>
              </w:rPr>
            </w:pPr>
            <w:r>
              <w:rPr>
                <w:rFonts w:hint="eastAsia" w:ascii="宋体" w:hAnsi="宋体"/>
                <w:szCs w:val="21"/>
              </w:rPr>
              <w:t>1.混凝土塌落度的测定</w:t>
            </w:r>
          </w:p>
          <w:p>
            <w:pPr>
              <w:rPr>
                <w:rFonts w:ascii="Times New Roman" w:hAnsi="Times New Roman"/>
                <w:szCs w:val="24"/>
              </w:rPr>
            </w:pPr>
            <w:r>
              <w:rPr>
                <w:rFonts w:hint="eastAsia" w:ascii="Times New Roman" w:hAnsi="Times New Roman"/>
                <w:szCs w:val="24"/>
              </w:rPr>
              <w:t>2.混凝土抗压强度实验</w:t>
            </w:r>
          </w:p>
        </w:tc>
        <w:tc>
          <w:tcPr>
            <w:tcW w:w="1261" w:type="dxa"/>
          </w:tcPr>
          <w:p>
            <w:pPr>
              <w:spacing w:line="360" w:lineRule="auto"/>
              <w:rPr>
                <w:rFonts w:ascii="宋体" w:hAnsi="宋体"/>
                <w:szCs w:val="21"/>
              </w:rPr>
            </w:pPr>
            <w:r>
              <w:rPr>
                <w:rFonts w:hint="eastAsia" w:ascii="宋体" w:hAnsi="宋体"/>
                <w:szCs w:val="21"/>
              </w:rPr>
              <w:t>拌合混凝土，然后测坍落度反思性能与配合比</w:t>
            </w:r>
          </w:p>
        </w:tc>
        <w:tc>
          <w:tcPr>
            <w:tcW w:w="1421" w:type="dxa"/>
            <w:vMerge w:val="continue"/>
          </w:tcPr>
          <w:p>
            <w:pPr>
              <w:spacing w:line="360" w:lineRule="auto"/>
              <w:rPr>
                <w:rFonts w:ascii="宋体" w:hAnsi="宋体"/>
                <w:szCs w:val="21"/>
              </w:rPr>
            </w:pPr>
          </w:p>
        </w:tc>
        <w:tc>
          <w:tcPr>
            <w:tcW w:w="679"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4.</w:t>
            </w: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建筑砂浆应用与检测</w:t>
            </w:r>
          </w:p>
        </w:tc>
        <w:tc>
          <w:tcPr>
            <w:tcW w:w="1294" w:type="dxa"/>
          </w:tcPr>
          <w:p>
            <w:pPr>
              <w:rPr>
                <w:rFonts w:ascii="宋体" w:hAnsi="宋体"/>
                <w:szCs w:val="21"/>
              </w:rPr>
            </w:pPr>
            <w:r>
              <w:rPr>
                <w:rFonts w:hint="eastAsia" w:ascii="宋体" w:hAnsi="宋体"/>
                <w:szCs w:val="21"/>
              </w:rPr>
              <w:t>正确完成砌筑砂浆配合比设计</w:t>
            </w:r>
          </w:p>
        </w:tc>
        <w:tc>
          <w:tcPr>
            <w:tcW w:w="1263" w:type="dxa"/>
          </w:tcPr>
          <w:p>
            <w:pPr>
              <w:spacing w:line="360" w:lineRule="auto"/>
              <w:rPr>
                <w:rFonts w:ascii="宋体" w:hAnsi="宋体"/>
                <w:szCs w:val="21"/>
              </w:rPr>
            </w:pPr>
            <w:r>
              <w:rPr>
                <w:rFonts w:hint="eastAsia" w:ascii="宋体" w:hAnsi="宋体"/>
                <w:szCs w:val="21"/>
              </w:rPr>
              <w:t>1.砂浆的分类、质量要求</w:t>
            </w:r>
          </w:p>
          <w:p>
            <w:pPr>
              <w:rPr>
                <w:rFonts w:ascii="Times New Roman" w:hAnsi="Times New Roman"/>
                <w:szCs w:val="24"/>
              </w:rPr>
            </w:pPr>
            <w:r>
              <w:rPr>
                <w:rFonts w:hint="eastAsia" w:ascii="Times New Roman" w:hAnsi="Times New Roman"/>
                <w:szCs w:val="24"/>
              </w:rPr>
              <w:t>2.石灰、石膏的性能及应用</w:t>
            </w:r>
          </w:p>
        </w:tc>
        <w:tc>
          <w:tcPr>
            <w:tcW w:w="1797" w:type="dxa"/>
          </w:tcPr>
          <w:p>
            <w:pPr>
              <w:spacing w:line="360" w:lineRule="auto"/>
              <w:rPr>
                <w:rFonts w:ascii="宋体" w:hAnsi="宋体"/>
                <w:szCs w:val="21"/>
              </w:rPr>
            </w:pPr>
            <w:r>
              <w:rPr>
                <w:rFonts w:hint="eastAsia" w:ascii="宋体" w:hAnsi="宋体"/>
                <w:szCs w:val="21"/>
              </w:rPr>
              <w:t>进行M5混合砂浆配合比设计</w:t>
            </w:r>
          </w:p>
        </w:tc>
        <w:tc>
          <w:tcPr>
            <w:tcW w:w="1261" w:type="dxa"/>
          </w:tcPr>
          <w:p>
            <w:pPr>
              <w:spacing w:line="360" w:lineRule="auto"/>
              <w:rPr>
                <w:rFonts w:ascii="宋体" w:hAnsi="宋体"/>
                <w:szCs w:val="21"/>
              </w:rPr>
            </w:pPr>
            <w:r>
              <w:rPr>
                <w:rFonts w:hint="eastAsia" w:ascii="宋体" w:hAnsi="宋体"/>
                <w:szCs w:val="21"/>
              </w:rPr>
              <w:t>按步骤进行砂浆配合比设计并制作试件养护</w:t>
            </w:r>
          </w:p>
        </w:tc>
        <w:tc>
          <w:tcPr>
            <w:tcW w:w="1421" w:type="dxa"/>
            <w:vMerge w:val="restart"/>
          </w:tcPr>
          <w:p>
            <w:pPr>
              <w:spacing w:line="360" w:lineRule="auto"/>
              <w:rPr>
                <w:rFonts w:ascii="宋体" w:hAnsi="宋体"/>
                <w:szCs w:val="21"/>
              </w:rPr>
            </w:pPr>
            <w:r>
              <w:rPr>
                <w:rFonts w:hint="eastAsia" w:ascii="宋体" w:hAnsi="宋体"/>
                <w:szCs w:val="21"/>
              </w:rPr>
              <w:t>按完成工作任务的六个步骤，分组进行建筑材料性质的学习，训练学生对知识和技能的掌握程度</w:t>
            </w:r>
          </w:p>
        </w:tc>
        <w:tc>
          <w:tcPr>
            <w:tcW w:w="679"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294" w:type="dxa"/>
          </w:tcPr>
          <w:p>
            <w:pPr>
              <w:rPr>
                <w:rFonts w:ascii="宋体" w:hAnsi="宋体"/>
                <w:szCs w:val="21"/>
              </w:rPr>
            </w:pPr>
            <w:r>
              <w:rPr>
                <w:rFonts w:hint="eastAsia" w:ascii="宋体" w:hAnsi="宋体"/>
                <w:szCs w:val="21"/>
              </w:rPr>
              <w:t>砌筑砂浆材料常规试验</w:t>
            </w:r>
          </w:p>
        </w:tc>
        <w:tc>
          <w:tcPr>
            <w:tcW w:w="1263" w:type="dxa"/>
          </w:tcPr>
          <w:p>
            <w:pPr>
              <w:spacing w:line="360" w:lineRule="auto"/>
              <w:rPr>
                <w:rFonts w:ascii="宋体" w:hAnsi="宋体"/>
                <w:szCs w:val="21"/>
              </w:rPr>
            </w:pPr>
            <w:r>
              <w:rPr>
                <w:rFonts w:hint="eastAsia" w:ascii="宋体" w:hAnsi="宋体"/>
                <w:szCs w:val="21"/>
              </w:rPr>
              <w:t>砂浆的技术性能检测和评定方法</w:t>
            </w:r>
          </w:p>
        </w:tc>
        <w:tc>
          <w:tcPr>
            <w:tcW w:w="1797" w:type="dxa"/>
          </w:tcPr>
          <w:p>
            <w:pPr>
              <w:spacing w:line="360" w:lineRule="auto"/>
              <w:rPr>
                <w:rFonts w:ascii="宋体" w:hAnsi="宋体"/>
                <w:szCs w:val="21"/>
              </w:rPr>
            </w:pPr>
            <w:r>
              <w:rPr>
                <w:rFonts w:hint="eastAsia" w:ascii="宋体" w:hAnsi="宋体"/>
                <w:szCs w:val="21"/>
              </w:rPr>
              <w:t>进行砂浆性能实验测定</w:t>
            </w:r>
          </w:p>
        </w:tc>
        <w:tc>
          <w:tcPr>
            <w:tcW w:w="1261" w:type="dxa"/>
          </w:tcPr>
          <w:p>
            <w:pPr>
              <w:spacing w:line="360" w:lineRule="auto"/>
              <w:rPr>
                <w:rFonts w:ascii="宋体" w:hAnsi="宋体"/>
                <w:szCs w:val="21"/>
              </w:rPr>
            </w:pPr>
            <w:r>
              <w:rPr>
                <w:rFonts w:hint="eastAsia" w:ascii="宋体" w:hAnsi="宋体"/>
                <w:szCs w:val="21"/>
              </w:rPr>
              <w:t>进行砂浆试验、数据处理、并评定检测结果、书写检测报告及资料的分析整理。</w:t>
            </w:r>
          </w:p>
        </w:tc>
        <w:tc>
          <w:tcPr>
            <w:tcW w:w="1421" w:type="dxa"/>
            <w:vMerge w:val="continue"/>
          </w:tcPr>
          <w:p>
            <w:pPr>
              <w:spacing w:line="360" w:lineRule="auto"/>
              <w:rPr>
                <w:rFonts w:ascii="宋体" w:hAnsi="宋体"/>
                <w:szCs w:val="21"/>
              </w:rPr>
            </w:pPr>
          </w:p>
        </w:tc>
        <w:tc>
          <w:tcPr>
            <w:tcW w:w="679"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5</w:t>
            </w: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砖墙应用与检测</w:t>
            </w:r>
          </w:p>
        </w:tc>
        <w:tc>
          <w:tcPr>
            <w:tcW w:w="1294" w:type="dxa"/>
          </w:tcPr>
          <w:p>
            <w:pPr>
              <w:rPr>
                <w:rFonts w:ascii="宋体" w:hAnsi="宋体"/>
                <w:szCs w:val="21"/>
              </w:rPr>
            </w:pPr>
            <w:r>
              <w:rPr>
                <w:rFonts w:hint="eastAsia" w:ascii="宋体" w:hAnsi="宋体"/>
                <w:szCs w:val="21"/>
              </w:rPr>
              <w:t>1．应用建筑材料的基础知识，能科学、合理、经济地选用各种建筑材料；</w:t>
            </w:r>
          </w:p>
        </w:tc>
        <w:tc>
          <w:tcPr>
            <w:tcW w:w="1263" w:type="dxa"/>
          </w:tcPr>
          <w:p>
            <w:pPr>
              <w:spacing w:line="360" w:lineRule="auto"/>
              <w:rPr>
                <w:rFonts w:ascii="宋体" w:hAnsi="宋体"/>
                <w:szCs w:val="21"/>
              </w:rPr>
            </w:pPr>
            <w:r>
              <w:rPr>
                <w:rFonts w:hint="eastAsia" w:ascii="宋体" w:hAnsi="宋体"/>
                <w:szCs w:val="21"/>
              </w:rPr>
              <w:t>1.砖的来源、分类、2.砖的质量要求</w:t>
            </w:r>
          </w:p>
        </w:tc>
        <w:tc>
          <w:tcPr>
            <w:tcW w:w="1797" w:type="dxa"/>
          </w:tcPr>
          <w:p>
            <w:pPr>
              <w:spacing w:line="360" w:lineRule="auto"/>
              <w:rPr>
                <w:rFonts w:ascii="宋体" w:hAnsi="宋体"/>
                <w:szCs w:val="21"/>
              </w:rPr>
            </w:pPr>
            <w:r>
              <w:rPr>
                <w:rFonts w:hint="eastAsia" w:ascii="宋体" w:hAnsi="宋体"/>
                <w:szCs w:val="21"/>
              </w:rPr>
              <w:t>选部分砖比较质量优劣</w:t>
            </w:r>
          </w:p>
        </w:tc>
        <w:tc>
          <w:tcPr>
            <w:tcW w:w="1261" w:type="dxa"/>
            <w:vMerge w:val="restart"/>
          </w:tcPr>
          <w:p>
            <w:pPr>
              <w:spacing w:line="360" w:lineRule="auto"/>
              <w:rPr>
                <w:rFonts w:ascii="宋体" w:hAnsi="宋体"/>
                <w:szCs w:val="21"/>
              </w:rPr>
            </w:pPr>
            <w:r>
              <w:rPr>
                <w:rFonts w:hint="eastAsia" w:ascii="宋体" w:hAnsi="宋体"/>
                <w:szCs w:val="21"/>
              </w:rPr>
              <w:t>选择合适工具设备按标准方法检测周围砖墙质量并进行数据处理、评定检测结果、书写检测报告及资料的分析整理</w:t>
            </w:r>
          </w:p>
        </w:tc>
        <w:tc>
          <w:tcPr>
            <w:tcW w:w="1421" w:type="dxa"/>
            <w:vMerge w:val="restart"/>
          </w:tcPr>
          <w:p>
            <w:pPr>
              <w:spacing w:line="360" w:lineRule="auto"/>
              <w:rPr>
                <w:rFonts w:ascii="宋体" w:hAnsi="宋体"/>
                <w:szCs w:val="21"/>
              </w:rPr>
            </w:pPr>
            <w:r>
              <w:rPr>
                <w:rFonts w:hint="eastAsia" w:ascii="宋体" w:hAnsi="宋体"/>
                <w:szCs w:val="21"/>
              </w:rPr>
              <w:t>按完成工作任务的六个步骤，分组进行建筑材料性质的学习，训练学生对知识和技能的掌握程度</w:t>
            </w:r>
          </w:p>
        </w:tc>
        <w:tc>
          <w:tcPr>
            <w:tcW w:w="679"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294" w:type="dxa"/>
          </w:tcPr>
          <w:p>
            <w:pPr>
              <w:rPr>
                <w:rFonts w:ascii="宋体" w:hAnsi="宋体"/>
                <w:szCs w:val="21"/>
              </w:rPr>
            </w:pPr>
            <w:r>
              <w:rPr>
                <w:rFonts w:hint="eastAsia" w:ascii="宋体" w:hAnsi="宋体"/>
                <w:szCs w:val="21"/>
              </w:rPr>
              <w:t>正确完成砌墙砖等各项材料常规试验</w:t>
            </w:r>
          </w:p>
        </w:tc>
        <w:tc>
          <w:tcPr>
            <w:tcW w:w="1263" w:type="dxa"/>
          </w:tcPr>
          <w:p>
            <w:pPr>
              <w:numPr>
                <w:ilvl w:val="0"/>
                <w:numId w:val="8"/>
              </w:numPr>
              <w:spacing w:line="360" w:lineRule="auto"/>
              <w:rPr>
                <w:rFonts w:ascii="宋体" w:hAnsi="宋体"/>
                <w:szCs w:val="21"/>
              </w:rPr>
            </w:pPr>
            <w:r>
              <w:rPr>
                <w:rFonts w:hint="eastAsia" w:ascii="宋体" w:hAnsi="宋体"/>
                <w:szCs w:val="21"/>
              </w:rPr>
              <w:t>砌墙砖的技术性能</w:t>
            </w:r>
          </w:p>
          <w:p>
            <w:pPr>
              <w:spacing w:line="360" w:lineRule="auto"/>
              <w:rPr>
                <w:rFonts w:ascii="宋体" w:hAnsi="宋体"/>
                <w:szCs w:val="21"/>
              </w:rPr>
            </w:pPr>
            <w:r>
              <w:rPr>
                <w:rFonts w:hint="eastAsia" w:ascii="宋体" w:hAnsi="宋体"/>
                <w:szCs w:val="21"/>
              </w:rPr>
              <w:t>2.砖墙检测和评定方法；</w:t>
            </w:r>
          </w:p>
        </w:tc>
        <w:tc>
          <w:tcPr>
            <w:tcW w:w="1797" w:type="dxa"/>
          </w:tcPr>
          <w:p>
            <w:pPr>
              <w:spacing w:line="360" w:lineRule="auto"/>
              <w:rPr>
                <w:rFonts w:ascii="宋体" w:hAnsi="宋体"/>
                <w:szCs w:val="21"/>
              </w:rPr>
            </w:pPr>
            <w:r>
              <w:rPr>
                <w:rFonts w:hint="eastAsia" w:ascii="宋体" w:hAnsi="宋体"/>
                <w:szCs w:val="21"/>
              </w:rPr>
              <w:t>选择合适工具设备按标准方法检测周围砖墙质量</w:t>
            </w:r>
          </w:p>
        </w:tc>
        <w:tc>
          <w:tcPr>
            <w:tcW w:w="1261" w:type="dxa"/>
            <w:vMerge w:val="continue"/>
          </w:tcPr>
          <w:p>
            <w:pPr>
              <w:spacing w:line="360" w:lineRule="auto"/>
              <w:rPr>
                <w:rFonts w:ascii="宋体" w:hAnsi="宋体"/>
                <w:szCs w:val="21"/>
              </w:rPr>
            </w:pPr>
          </w:p>
        </w:tc>
        <w:tc>
          <w:tcPr>
            <w:tcW w:w="1421" w:type="dxa"/>
            <w:vMerge w:val="continue"/>
          </w:tcPr>
          <w:p>
            <w:pPr>
              <w:spacing w:line="360" w:lineRule="auto"/>
              <w:rPr>
                <w:rFonts w:ascii="宋体" w:hAnsi="宋体"/>
                <w:szCs w:val="21"/>
              </w:rPr>
            </w:pPr>
          </w:p>
        </w:tc>
        <w:tc>
          <w:tcPr>
            <w:tcW w:w="679"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6</w:t>
            </w:r>
          </w:p>
          <w:p>
            <w:pPr>
              <w:ind w:firstLine="420" w:firstLineChars="200"/>
              <w:rPr>
                <w:rFonts w:ascii="Times New Roman" w:hAnsi="Times New Roman"/>
                <w:szCs w:val="24"/>
              </w:rPr>
            </w:pPr>
          </w:p>
          <w:p>
            <w:pPr>
              <w:ind w:firstLine="420" w:firstLineChars="200"/>
              <w:rPr>
                <w:rFonts w:ascii="Times New Roman" w:hAnsi="Times New Roman"/>
                <w:szCs w:val="24"/>
              </w:rPr>
            </w:pPr>
          </w:p>
        </w:tc>
        <w:tc>
          <w:tcPr>
            <w:tcW w:w="1301"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建筑钢材应用于检测</w:t>
            </w:r>
          </w:p>
        </w:tc>
        <w:tc>
          <w:tcPr>
            <w:tcW w:w="1294" w:type="dxa"/>
          </w:tcPr>
          <w:p>
            <w:pPr>
              <w:rPr>
                <w:rFonts w:ascii="宋体" w:hAnsi="宋体"/>
                <w:szCs w:val="21"/>
              </w:rPr>
            </w:pPr>
            <w:r>
              <w:rPr>
                <w:rFonts w:hint="eastAsia" w:ascii="宋体" w:hAnsi="宋体"/>
                <w:szCs w:val="21"/>
              </w:rPr>
              <w:t>应用建筑材料的基础知识，能科学、合理、经济地选用各种建筑材料；</w:t>
            </w:r>
          </w:p>
        </w:tc>
        <w:tc>
          <w:tcPr>
            <w:tcW w:w="1263" w:type="dxa"/>
          </w:tcPr>
          <w:p>
            <w:pPr>
              <w:spacing w:line="360" w:lineRule="auto"/>
              <w:rPr>
                <w:rFonts w:ascii="宋体" w:hAnsi="宋体"/>
                <w:szCs w:val="21"/>
              </w:rPr>
            </w:pPr>
            <w:r>
              <w:rPr>
                <w:rFonts w:hint="eastAsia" w:ascii="宋体" w:hAnsi="宋体"/>
                <w:szCs w:val="21"/>
              </w:rPr>
              <w:t>建筑钢材的来源、分类、质量要求</w:t>
            </w:r>
          </w:p>
        </w:tc>
        <w:tc>
          <w:tcPr>
            <w:tcW w:w="1797" w:type="dxa"/>
          </w:tcPr>
          <w:p>
            <w:pPr>
              <w:spacing w:line="360" w:lineRule="auto"/>
              <w:rPr>
                <w:rFonts w:ascii="宋体" w:hAnsi="宋体"/>
                <w:szCs w:val="21"/>
              </w:rPr>
            </w:pPr>
            <w:r>
              <w:rPr>
                <w:rFonts w:hint="eastAsia" w:ascii="宋体" w:hAnsi="宋体"/>
                <w:szCs w:val="21"/>
              </w:rPr>
              <w:t>识别钢材铭牌符号含义与钢材性能关系</w:t>
            </w:r>
          </w:p>
        </w:tc>
        <w:tc>
          <w:tcPr>
            <w:tcW w:w="1261" w:type="dxa"/>
          </w:tcPr>
          <w:p>
            <w:pPr>
              <w:spacing w:line="360" w:lineRule="auto"/>
              <w:rPr>
                <w:rFonts w:ascii="宋体" w:hAnsi="宋体"/>
                <w:szCs w:val="21"/>
              </w:rPr>
            </w:pPr>
          </w:p>
        </w:tc>
        <w:tc>
          <w:tcPr>
            <w:tcW w:w="1421" w:type="dxa"/>
            <w:vMerge w:val="restart"/>
          </w:tcPr>
          <w:p>
            <w:pPr>
              <w:spacing w:line="360" w:lineRule="auto"/>
              <w:rPr>
                <w:rFonts w:ascii="宋体" w:hAnsi="宋体"/>
                <w:szCs w:val="21"/>
              </w:rPr>
            </w:pPr>
            <w:r>
              <w:rPr>
                <w:rFonts w:hint="eastAsia" w:ascii="宋体" w:hAnsi="宋体"/>
                <w:szCs w:val="21"/>
              </w:rPr>
              <w:t>按完成工作任务的六个步骤，分组进行建筑材料性质的学习，训练学生对知识和技能的掌握程度</w:t>
            </w:r>
          </w:p>
        </w:tc>
        <w:tc>
          <w:tcPr>
            <w:tcW w:w="679" w:type="dxa"/>
            <w:vMerge w:val="restart"/>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24" w:type="dxa"/>
            <w:vMerge w:val="continue"/>
          </w:tcPr>
          <w:p>
            <w:pPr>
              <w:spacing w:line="360" w:lineRule="auto"/>
              <w:rPr>
                <w:rFonts w:ascii="宋体" w:hAnsi="宋体"/>
                <w:szCs w:val="21"/>
              </w:rPr>
            </w:pPr>
          </w:p>
        </w:tc>
        <w:tc>
          <w:tcPr>
            <w:tcW w:w="1301" w:type="dxa"/>
            <w:vMerge w:val="continue"/>
          </w:tcPr>
          <w:p>
            <w:pPr>
              <w:spacing w:line="360" w:lineRule="auto"/>
              <w:rPr>
                <w:rFonts w:ascii="宋体" w:hAnsi="宋体"/>
                <w:szCs w:val="21"/>
              </w:rPr>
            </w:pPr>
          </w:p>
        </w:tc>
        <w:tc>
          <w:tcPr>
            <w:tcW w:w="1294" w:type="dxa"/>
          </w:tcPr>
          <w:p>
            <w:pPr>
              <w:rPr>
                <w:rFonts w:ascii="宋体" w:hAnsi="宋体"/>
                <w:szCs w:val="21"/>
              </w:rPr>
            </w:pPr>
            <w:r>
              <w:rPr>
                <w:rFonts w:hint="eastAsia" w:ascii="宋体" w:hAnsi="宋体"/>
                <w:szCs w:val="21"/>
              </w:rPr>
              <w:t>正确完成建筑钢材材料常规试验</w:t>
            </w:r>
          </w:p>
        </w:tc>
        <w:tc>
          <w:tcPr>
            <w:tcW w:w="1263" w:type="dxa"/>
          </w:tcPr>
          <w:p>
            <w:pPr>
              <w:spacing w:line="360" w:lineRule="auto"/>
              <w:rPr>
                <w:rFonts w:ascii="宋体" w:hAnsi="宋体"/>
                <w:szCs w:val="21"/>
              </w:rPr>
            </w:pPr>
            <w:r>
              <w:rPr>
                <w:rFonts w:hint="eastAsia" w:ascii="宋体" w:hAnsi="宋体"/>
                <w:szCs w:val="21"/>
              </w:rPr>
              <w:t>钢材的技术性能检测和评定方法；</w:t>
            </w:r>
          </w:p>
        </w:tc>
        <w:tc>
          <w:tcPr>
            <w:tcW w:w="1797" w:type="dxa"/>
          </w:tcPr>
          <w:p>
            <w:pPr>
              <w:spacing w:line="360" w:lineRule="auto"/>
              <w:rPr>
                <w:rFonts w:ascii="宋体" w:hAnsi="宋体"/>
                <w:szCs w:val="21"/>
              </w:rPr>
            </w:pPr>
            <w:r>
              <w:rPr>
                <w:rFonts w:hint="eastAsia" w:ascii="宋体" w:hAnsi="宋体"/>
                <w:szCs w:val="21"/>
              </w:rPr>
              <w:t>进行钢材拉伸试验并评定检测结果、书写检测报告及资料的分析整理</w:t>
            </w:r>
          </w:p>
        </w:tc>
        <w:tc>
          <w:tcPr>
            <w:tcW w:w="1261" w:type="dxa"/>
          </w:tcPr>
          <w:p>
            <w:pPr>
              <w:spacing w:line="360" w:lineRule="auto"/>
              <w:rPr>
                <w:rFonts w:ascii="宋体" w:hAnsi="宋体"/>
                <w:szCs w:val="21"/>
              </w:rPr>
            </w:pPr>
            <w:r>
              <w:rPr>
                <w:rFonts w:hint="eastAsia" w:ascii="宋体" w:hAnsi="宋体"/>
                <w:szCs w:val="21"/>
              </w:rPr>
              <w:t>钢材拉伸试验及数据处理结果评定</w:t>
            </w:r>
          </w:p>
        </w:tc>
        <w:tc>
          <w:tcPr>
            <w:tcW w:w="1421" w:type="dxa"/>
            <w:vMerge w:val="continue"/>
          </w:tcPr>
          <w:p>
            <w:pPr>
              <w:spacing w:line="360" w:lineRule="auto"/>
              <w:rPr>
                <w:rFonts w:ascii="宋体" w:hAnsi="宋体"/>
                <w:szCs w:val="21"/>
              </w:rPr>
            </w:pPr>
          </w:p>
        </w:tc>
        <w:tc>
          <w:tcPr>
            <w:tcW w:w="679" w:type="dxa"/>
            <w:vMerge w:val="continue"/>
          </w:tcPr>
          <w:p>
            <w:pPr>
              <w:spacing w:line="360" w:lineRule="auto"/>
              <w:rPr>
                <w:rFonts w:ascii="宋体" w:hAnsi="宋体"/>
                <w:szCs w:val="21"/>
              </w:rPr>
            </w:pPr>
          </w:p>
        </w:tc>
      </w:tr>
    </w:tbl>
    <w:p>
      <w:pPr>
        <w:spacing w:line="360" w:lineRule="auto"/>
        <w:ind w:firstLine="240"/>
        <w:rPr>
          <w:rFonts w:ascii="Times New Roman" w:hAnsi="Times New Roman"/>
          <w:sz w:val="24"/>
          <w:szCs w:val="24"/>
        </w:rPr>
      </w:pPr>
      <w:r>
        <w:rPr>
          <w:rFonts w:hint="eastAsia" w:ascii="Times New Roman" w:hAnsi="Times New Roman"/>
          <w:sz w:val="24"/>
          <w:szCs w:val="24"/>
        </w:rPr>
        <w:t>执笔人：审核人：</w:t>
      </w:r>
    </w:p>
    <w:p>
      <w:pPr>
        <w:spacing w:line="360" w:lineRule="auto"/>
        <w:ind w:firstLine="240"/>
        <w:rPr>
          <w:rFonts w:ascii="Times New Roman" w:hAnsi="Times New Roman"/>
          <w:sz w:val="24"/>
          <w:szCs w:val="24"/>
        </w:rPr>
      </w:pPr>
      <w:r>
        <w:rPr>
          <w:rFonts w:hint="eastAsia" w:ascii="Times New Roman" w:hAnsi="Times New Roman"/>
          <w:sz w:val="24"/>
          <w:szCs w:val="24"/>
        </w:rPr>
        <w:t>制定（修订）日期：2023.09</w:t>
      </w: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rPr>
          <w:rFonts w:ascii="宋体" w:hAnsi="宋体" w:eastAsia="等线"/>
          <w:sz w:val="28"/>
          <w:szCs w:val="28"/>
        </w:rPr>
      </w:pPr>
    </w:p>
    <w:p>
      <w:pPr>
        <w:pStyle w:val="2"/>
        <w:ind w:firstLine="0" w:firstLineChars="0"/>
        <w:rPr>
          <w:rFonts w:ascii="宋体" w:hAnsi="宋体"/>
          <w:sz w:val="28"/>
          <w:szCs w:val="28"/>
          <w:lang w:val="en-US"/>
        </w:rPr>
      </w:pPr>
    </w:p>
    <w:p>
      <w:pPr>
        <w:pStyle w:val="2"/>
        <w:ind w:firstLine="0" w:firstLineChars="0"/>
        <w:rPr>
          <w:rFonts w:ascii="宋体" w:hAnsi="宋体"/>
          <w:sz w:val="28"/>
          <w:szCs w:val="28"/>
        </w:rPr>
      </w:pPr>
    </w:p>
    <w:p>
      <w:pPr>
        <w:pStyle w:val="2"/>
        <w:ind w:firstLine="0" w:firstLineChars="0"/>
        <w:rPr>
          <w:rFonts w:ascii="宋体" w:hAnsi="宋体"/>
          <w:sz w:val="28"/>
          <w:szCs w:val="28"/>
        </w:rPr>
      </w:pPr>
    </w:p>
    <w:p>
      <w:pPr>
        <w:ind w:firstLine="1546" w:firstLineChars="350"/>
        <w:rPr>
          <w:rFonts w:ascii="黑体" w:hAnsi="黑体" w:eastAsia="黑体"/>
          <w:b/>
          <w:sz w:val="44"/>
          <w:szCs w:val="44"/>
        </w:rPr>
      </w:pPr>
      <w:r>
        <w:rPr>
          <w:rFonts w:hint="eastAsia" w:ascii="黑体" w:hAnsi="黑体" w:eastAsia="黑体"/>
          <w:b/>
          <w:sz w:val="44"/>
          <w:szCs w:val="44"/>
        </w:rPr>
        <w:t>建筑</w:t>
      </w:r>
      <w:r>
        <w:rPr>
          <w:rFonts w:ascii="黑体" w:hAnsi="黑体" w:eastAsia="黑体"/>
          <w:b/>
          <w:sz w:val="44"/>
          <w:szCs w:val="44"/>
        </w:rPr>
        <w:t>工程技术</w:t>
      </w:r>
      <w:r>
        <w:rPr>
          <w:rFonts w:hint="eastAsia" w:ascii="黑体" w:hAnsi="黑体" w:eastAsia="黑体"/>
          <w:b/>
          <w:sz w:val="44"/>
          <w:szCs w:val="44"/>
        </w:rPr>
        <w:t>专业</w:t>
      </w:r>
      <w:r>
        <w:rPr>
          <w:rFonts w:ascii="黑体" w:hAnsi="黑体" w:eastAsia="黑体"/>
          <w:b/>
          <w:sz w:val="44"/>
          <w:szCs w:val="44"/>
        </w:rPr>
        <w:t>调研报告</w:t>
      </w:r>
    </w:p>
    <w:p>
      <w:pPr>
        <w:spacing w:line="360" w:lineRule="auto"/>
        <w:ind w:firstLine="480" w:firstLineChars="200"/>
        <w:rPr>
          <w:rFonts w:ascii="宋体" w:hAnsi="宋体"/>
          <w:sz w:val="24"/>
          <w:szCs w:val="24"/>
        </w:rPr>
      </w:pPr>
      <w:r>
        <w:rPr>
          <w:rFonts w:hint="eastAsia" w:ascii="宋体" w:hAnsi="宋体"/>
          <w:sz w:val="24"/>
          <w:szCs w:val="24"/>
        </w:rPr>
        <w:t>一</w:t>
      </w:r>
      <w:r>
        <w:rPr>
          <w:rFonts w:ascii="宋体" w:hAnsi="宋体"/>
          <w:sz w:val="24"/>
          <w:szCs w:val="24"/>
        </w:rPr>
        <w:t>、</w:t>
      </w:r>
      <w:r>
        <w:rPr>
          <w:rFonts w:hint="eastAsia" w:ascii="宋体" w:hAnsi="宋体"/>
          <w:sz w:val="24"/>
          <w:szCs w:val="24"/>
        </w:rPr>
        <w:t>调研目的</w:t>
      </w:r>
    </w:p>
    <w:p>
      <w:pPr>
        <w:spacing w:line="360" w:lineRule="auto"/>
        <w:ind w:firstLine="480" w:firstLineChars="200"/>
        <w:rPr>
          <w:rFonts w:ascii="宋体" w:hAnsi="宋体"/>
          <w:sz w:val="24"/>
          <w:szCs w:val="24"/>
        </w:rPr>
      </w:pPr>
      <w:r>
        <w:rPr>
          <w:rFonts w:hint="eastAsia" w:ascii="宋体" w:hAnsi="宋体"/>
          <w:sz w:val="24"/>
          <w:szCs w:val="24"/>
        </w:rPr>
        <w:t>企业要想在市场中取得竞争优势，人才作为第一资源的主导作用越来越突出，企业竞争已经不再局限于市场、资金、技术、管理等方面、人才的竞争上升到了关系企业生死存亡的战略地位。</w:t>
      </w:r>
    </w:p>
    <w:p>
      <w:pPr>
        <w:spacing w:line="360" w:lineRule="auto"/>
        <w:ind w:firstLine="480" w:firstLineChars="200"/>
        <w:rPr>
          <w:rFonts w:ascii="宋体" w:hAnsi="宋体"/>
          <w:sz w:val="24"/>
          <w:szCs w:val="24"/>
        </w:rPr>
      </w:pPr>
      <w:r>
        <w:rPr>
          <w:rFonts w:hint="eastAsia" w:ascii="宋体" w:hAnsi="宋体"/>
          <w:sz w:val="24"/>
          <w:szCs w:val="24"/>
        </w:rPr>
        <w:t>为了抓住机遇应对挑战、科学定位、确定人才培养目标，我们走访了德州</w:t>
      </w:r>
      <w:r>
        <w:rPr>
          <w:rFonts w:ascii="宋体" w:hAnsi="宋体"/>
          <w:sz w:val="24"/>
          <w:szCs w:val="24"/>
        </w:rPr>
        <w:t>市、</w:t>
      </w:r>
      <w:r>
        <w:rPr>
          <w:rFonts w:hint="eastAsia" w:ascii="宋体" w:hAnsi="宋体"/>
          <w:sz w:val="24"/>
          <w:szCs w:val="24"/>
        </w:rPr>
        <w:t>济南市建筑业主管部门及有关建筑施工企业。对两市建设行业的背景进行了广泛深入的调查和研究。本次调研活动旨在对德州市</w:t>
      </w:r>
      <w:r>
        <w:rPr>
          <w:rFonts w:ascii="宋体" w:hAnsi="宋体"/>
          <w:sz w:val="24"/>
          <w:szCs w:val="24"/>
        </w:rPr>
        <w:t>、</w:t>
      </w:r>
      <w:r>
        <w:rPr>
          <w:rFonts w:hint="eastAsia" w:ascii="宋体" w:hAnsi="宋体"/>
          <w:sz w:val="24"/>
          <w:szCs w:val="24"/>
        </w:rPr>
        <w:t>济南市建筑施工企业进行深入了解，对未来3-5年的建筑施工管理人才需求数量、规格、岗位群等进行预测，使建筑工程技术专业设置更加具有市场针对性，同时拉近与企业间的距离，为学生实训就业打下基础。</w:t>
      </w:r>
    </w:p>
    <w:p>
      <w:pPr>
        <w:spacing w:line="360" w:lineRule="auto"/>
        <w:ind w:firstLine="480" w:firstLineChars="200"/>
        <w:rPr>
          <w:rFonts w:ascii="宋体" w:hAnsi="宋体"/>
          <w:sz w:val="24"/>
          <w:szCs w:val="24"/>
        </w:rPr>
      </w:pPr>
      <w:r>
        <w:rPr>
          <w:rFonts w:hint="eastAsia" w:ascii="宋体" w:hAnsi="宋体"/>
          <w:sz w:val="24"/>
          <w:szCs w:val="24"/>
        </w:rPr>
        <w:t>二、调研方法</w:t>
      </w:r>
    </w:p>
    <w:p>
      <w:pPr>
        <w:spacing w:line="360" w:lineRule="auto"/>
        <w:ind w:firstLine="480" w:firstLineChars="200"/>
        <w:rPr>
          <w:rFonts w:ascii="宋体" w:hAnsi="宋体"/>
          <w:sz w:val="24"/>
          <w:szCs w:val="24"/>
        </w:rPr>
      </w:pPr>
      <w:r>
        <w:rPr>
          <w:rFonts w:hint="eastAsia" w:ascii="宋体" w:hAnsi="宋体"/>
          <w:sz w:val="24"/>
          <w:szCs w:val="24"/>
        </w:rPr>
        <w:t>1. 问卷调查法</w:t>
      </w:r>
    </w:p>
    <w:p>
      <w:pPr>
        <w:spacing w:line="360" w:lineRule="auto"/>
        <w:ind w:firstLine="480" w:firstLineChars="200"/>
        <w:rPr>
          <w:rFonts w:ascii="宋体" w:hAnsi="宋体"/>
          <w:sz w:val="24"/>
          <w:szCs w:val="24"/>
        </w:rPr>
      </w:pPr>
      <w:r>
        <w:rPr>
          <w:rFonts w:hint="eastAsia" w:ascii="宋体" w:hAnsi="宋体"/>
          <w:sz w:val="24"/>
          <w:szCs w:val="24"/>
        </w:rPr>
        <w:t>设计相关的调查问卷，通过现场填写或网络填写的方式，向调研对象了解相关的情况。</w:t>
      </w:r>
    </w:p>
    <w:p>
      <w:pPr>
        <w:spacing w:line="360" w:lineRule="auto"/>
        <w:ind w:firstLine="480" w:firstLineChars="200"/>
        <w:rPr>
          <w:rFonts w:ascii="宋体" w:hAnsi="宋体"/>
          <w:sz w:val="24"/>
          <w:szCs w:val="24"/>
        </w:rPr>
      </w:pPr>
      <w:r>
        <w:rPr>
          <w:rFonts w:hint="eastAsia" w:ascii="宋体" w:hAnsi="宋体"/>
          <w:sz w:val="24"/>
          <w:szCs w:val="24"/>
        </w:rPr>
        <w:t>2. 网络访谈法</w:t>
      </w:r>
    </w:p>
    <w:p>
      <w:pPr>
        <w:spacing w:line="360" w:lineRule="auto"/>
        <w:ind w:firstLine="480" w:firstLineChars="200"/>
        <w:rPr>
          <w:rFonts w:ascii="宋体" w:hAnsi="宋体"/>
          <w:sz w:val="24"/>
          <w:szCs w:val="24"/>
        </w:rPr>
      </w:pPr>
      <w:r>
        <w:rPr>
          <w:rFonts w:hint="eastAsia" w:ascii="宋体" w:hAnsi="宋体"/>
          <w:sz w:val="24"/>
          <w:szCs w:val="24"/>
        </w:rPr>
        <w:t>通过网络聊天、电子邮件等方式与相关人员进行交流，了解课题所需的文献资料及相关情况。</w:t>
      </w:r>
    </w:p>
    <w:p>
      <w:pPr>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.头脑风暴法</w:t>
      </w:r>
    </w:p>
    <w:p>
      <w:pPr>
        <w:spacing w:line="360" w:lineRule="auto"/>
        <w:ind w:firstLine="480" w:firstLineChars="200"/>
        <w:rPr>
          <w:rFonts w:ascii="宋体" w:hAnsi="宋体"/>
          <w:sz w:val="24"/>
          <w:szCs w:val="24"/>
        </w:rPr>
      </w:pPr>
      <w:r>
        <w:rPr>
          <w:rFonts w:hint="eastAsia" w:ascii="宋体" w:hAnsi="宋体"/>
          <w:sz w:val="24"/>
          <w:szCs w:val="24"/>
        </w:rPr>
        <w:t>将建筑工程技术行业的某个岗位或某个工种确定为一个主题，召集教师、学生、工程技术人员和其他相关人员等在一起用头脑风暴的方式提出各自的观点，并由熟悉筑工程技术的专业人员进行归纳整理，获取所需要的一手资料;</w:t>
      </w:r>
    </w:p>
    <w:p>
      <w:pPr>
        <w:spacing w:line="360" w:lineRule="auto"/>
        <w:ind w:firstLine="480" w:firstLineChars="200"/>
        <w:rPr>
          <w:rFonts w:ascii="宋体" w:hAnsi="宋体"/>
          <w:sz w:val="24"/>
          <w:szCs w:val="24"/>
        </w:rPr>
      </w:pPr>
      <w:r>
        <w:rPr>
          <w:rFonts w:ascii="宋体" w:hAnsi="宋体"/>
          <w:sz w:val="24"/>
          <w:szCs w:val="24"/>
        </w:rPr>
        <w:t xml:space="preserve">4. </w:t>
      </w:r>
      <w:r>
        <w:rPr>
          <w:rFonts w:hint="eastAsia" w:ascii="宋体" w:hAnsi="宋体"/>
          <w:sz w:val="24"/>
          <w:szCs w:val="24"/>
        </w:rPr>
        <w:t>资料收集法</w:t>
      </w:r>
    </w:p>
    <w:p>
      <w:pPr>
        <w:spacing w:line="360" w:lineRule="auto"/>
        <w:ind w:firstLine="480" w:firstLineChars="200"/>
        <w:rPr>
          <w:rFonts w:ascii="宋体" w:hAnsi="宋体"/>
          <w:sz w:val="24"/>
          <w:szCs w:val="24"/>
        </w:rPr>
      </w:pPr>
      <w:r>
        <w:rPr>
          <w:rFonts w:hint="eastAsia" w:ascii="宋体" w:hAnsi="宋体"/>
          <w:sz w:val="24"/>
          <w:szCs w:val="24"/>
        </w:rPr>
        <w:t>通过与学校的专业教研室、教务部门等联系,收集筑工程技术相关专业的教学计划课程大纲、实指导书、教学总结、实,总结以及与实基地合作的协议等等与课题有关的资料。通过与企业的技术部门和人力资源部门联系，收集相关岗位技能要求、考核标准、考核结果、人才需求统计、岗位培训计划等与课题有关的资料。</w:t>
      </w:r>
    </w:p>
    <w:p>
      <w:pPr>
        <w:spacing w:line="360" w:lineRule="auto"/>
        <w:ind w:firstLine="480" w:firstLineChars="200"/>
        <w:rPr>
          <w:rFonts w:ascii="宋体" w:hAnsi="宋体"/>
          <w:sz w:val="24"/>
          <w:szCs w:val="24"/>
        </w:rPr>
      </w:pPr>
      <w:r>
        <w:rPr>
          <w:rFonts w:ascii="宋体" w:hAnsi="宋体"/>
          <w:sz w:val="24"/>
          <w:szCs w:val="24"/>
        </w:rPr>
        <w:t xml:space="preserve">5. </w:t>
      </w:r>
      <w:r>
        <w:rPr>
          <w:rFonts w:hint="eastAsia" w:ascii="宋体" w:hAnsi="宋体"/>
          <w:sz w:val="24"/>
          <w:szCs w:val="24"/>
        </w:rPr>
        <w:t>现场调研.</w:t>
      </w:r>
    </w:p>
    <w:p>
      <w:pPr>
        <w:spacing w:line="360" w:lineRule="auto"/>
        <w:ind w:firstLine="480" w:firstLineChars="200"/>
        <w:rPr>
          <w:rFonts w:ascii="宋体" w:hAnsi="宋体"/>
          <w:sz w:val="24"/>
          <w:szCs w:val="24"/>
        </w:rPr>
      </w:pPr>
      <w:r>
        <w:rPr>
          <w:rFonts w:hint="eastAsia" w:ascii="宋体" w:hAnsi="宋体"/>
          <w:sz w:val="24"/>
          <w:szCs w:val="24"/>
        </w:rPr>
        <w:t>深入学校的课堂、学生宿会、实场所等地点，深入企业及企业施工现场、通过参观、观察、现场交流等灵活的方式了解情况，获取所需的一手资料。</w:t>
      </w:r>
    </w:p>
    <w:p>
      <w:pPr>
        <w:spacing w:line="360" w:lineRule="auto"/>
        <w:ind w:firstLine="480" w:firstLineChars="200"/>
        <w:rPr>
          <w:rFonts w:ascii="宋体" w:hAnsi="宋体"/>
          <w:sz w:val="24"/>
          <w:szCs w:val="24"/>
        </w:rPr>
      </w:pPr>
      <w:r>
        <w:rPr>
          <w:rFonts w:hint="eastAsia" w:ascii="宋体" w:hAnsi="宋体"/>
          <w:sz w:val="24"/>
          <w:szCs w:val="24"/>
        </w:rPr>
        <w:t>三、调研的基本情况:</w:t>
      </w:r>
    </w:p>
    <w:p>
      <w:pPr>
        <w:spacing w:line="360" w:lineRule="auto"/>
        <w:ind w:firstLine="480" w:firstLineChars="200"/>
        <w:rPr>
          <w:rFonts w:ascii="宋体" w:hAnsi="宋体"/>
          <w:sz w:val="24"/>
          <w:szCs w:val="24"/>
        </w:rPr>
      </w:pPr>
      <w:r>
        <w:rPr>
          <w:rFonts w:hint="eastAsia" w:ascii="宋体" w:hAnsi="宋体"/>
          <w:sz w:val="24"/>
          <w:szCs w:val="24"/>
        </w:rPr>
        <w:t>1.建筑行业人才基本现状</w:t>
      </w:r>
    </w:p>
    <w:p>
      <w:pPr>
        <w:spacing w:line="360" w:lineRule="auto"/>
        <w:ind w:firstLine="480" w:firstLineChars="200"/>
        <w:rPr>
          <w:rFonts w:ascii="宋体" w:hAnsi="宋体"/>
          <w:sz w:val="24"/>
          <w:szCs w:val="24"/>
        </w:rPr>
      </w:pPr>
      <w:r>
        <w:rPr>
          <w:rFonts w:hint="eastAsia" w:ascii="宋体" w:hAnsi="宋体"/>
          <w:sz w:val="24"/>
          <w:szCs w:val="24"/>
        </w:rPr>
        <w:t>德州</w:t>
      </w:r>
      <w:r>
        <w:rPr>
          <w:rFonts w:ascii="宋体" w:hAnsi="宋体"/>
          <w:sz w:val="24"/>
          <w:szCs w:val="24"/>
        </w:rPr>
        <w:t>、</w:t>
      </w:r>
      <w:r>
        <w:rPr>
          <w:rFonts w:hint="eastAsia" w:ascii="宋体" w:hAnsi="宋体"/>
          <w:sz w:val="24"/>
          <w:szCs w:val="24"/>
        </w:rPr>
        <w:t>济南两市具有建筑业资质等级的独立核算企业的建筑施工企业</w:t>
      </w:r>
      <w:r>
        <w:rPr>
          <w:rFonts w:ascii="宋体" w:hAnsi="宋体"/>
          <w:sz w:val="24"/>
          <w:szCs w:val="24"/>
        </w:rPr>
        <w:t>4</w:t>
      </w:r>
      <w:r>
        <w:rPr>
          <w:rFonts w:hint="eastAsia" w:ascii="宋体" w:hAnsi="宋体"/>
          <w:sz w:val="24"/>
          <w:szCs w:val="24"/>
        </w:rPr>
        <w:t>00余家，全年建筑业实现增加值1</w:t>
      </w:r>
      <w:r>
        <w:rPr>
          <w:rFonts w:ascii="宋体" w:hAnsi="宋体"/>
          <w:sz w:val="24"/>
          <w:szCs w:val="24"/>
        </w:rPr>
        <w:t>5</w:t>
      </w:r>
      <w:r>
        <w:rPr>
          <w:rFonts w:hint="eastAsia" w:ascii="宋体" w:hAnsi="宋体"/>
          <w:sz w:val="24"/>
          <w:szCs w:val="24"/>
        </w:rPr>
        <w:t>37. 98亿元，实现利税总额</w:t>
      </w:r>
      <w:r>
        <w:rPr>
          <w:rFonts w:ascii="宋体" w:hAnsi="宋体"/>
          <w:sz w:val="24"/>
          <w:szCs w:val="24"/>
        </w:rPr>
        <w:t>9</w:t>
      </w:r>
      <w:r>
        <w:rPr>
          <w:rFonts w:hint="eastAsia" w:ascii="宋体" w:hAnsi="宋体"/>
          <w:sz w:val="24"/>
          <w:szCs w:val="24"/>
        </w:rPr>
        <w:t>4.5亿元。仅就企业及项目管理层人员的不完全统计，学历结构比例分析，本科学历占7.2%，专科学历占30. 4%，中专及以下学历者占62. 4%，生产一线的技术与管理人员，大部分仅具备中职或中职以下学历，而大量从事建筑业的工人及农民工，基本上都是无学历人员，建筑业从业人员很多没有受过培训，也无职业资格，全省建设行业大专及以上学历的管理人员比例就更低，与山东省建立适应社会主义市场经济要求的建筑队伍组织结构和对构建大型企业集团的资质要求有较大的距离。因此，近几年来企业需要补充大量的高层次的专业管理人员，以尽快提高本企业的技术和管理水平，提高企业资质水平，适应社会主义市场经济的挑战。</w:t>
      </w:r>
    </w:p>
    <w:p>
      <w:pPr>
        <w:spacing w:line="360" w:lineRule="auto"/>
        <w:ind w:firstLine="480" w:firstLineChars="200"/>
        <w:rPr>
          <w:rFonts w:ascii="宋体" w:hAnsi="宋体"/>
          <w:sz w:val="24"/>
          <w:szCs w:val="24"/>
        </w:rPr>
      </w:pPr>
      <w:r>
        <w:rPr>
          <w:rFonts w:hint="eastAsia" w:ascii="宋体" w:hAnsi="宋体"/>
          <w:sz w:val="24"/>
          <w:szCs w:val="24"/>
        </w:rPr>
        <w:t>随着时代的进步，我国建筑和基本建设管理体制，建筑施工企业的生产方式和组织结构发生了深刻的变化，以工程项目管理为核心的企业生产经营管理体制已基本形成，建筑施工企业普遍实行了项目负责制和项目成本核算制。同时，工程项目管理作为一门应用科学，其理论研究也逐步得到了各方面的重视。目前我省建筑市场急需一支懂技术、会管理、善经营的职业化的建筑施工企业项目经理队伍。然而，由于建筑类普通高等培养人才的过分专业化、学科化，现在，社会上建设类高等职业又出现空档，中职层次偏低等原因，这样集专业、 管理、经济、法律、税务、计算机等知识为一体的应用型,复合型中级建筑人才变得紧俏起来。</w:t>
      </w:r>
    </w:p>
    <w:p>
      <w:pPr>
        <w:spacing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）随着建筑行业整体向好，建筑企业对建筑工程技术专业毕业生的需求趋旺。</w:t>
      </w:r>
    </w:p>
    <w:p>
      <w:pPr>
        <w:spacing w:line="360" w:lineRule="auto"/>
        <w:ind w:firstLine="480" w:firstLineChars="200"/>
        <w:rPr>
          <w:rFonts w:ascii="宋体" w:hAnsi="宋体"/>
          <w:sz w:val="24"/>
          <w:szCs w:val="24"/>
        </w:rPr>
      </w:pPr>
      <w:r>
        <w:rPr>
          <w:rFonts w:hint="eastAsia" w:ascii="宋体" w:hAnsi="宋体"/>
          <w:sz w:val="24"/>
          <w:szCs w:val="24"/>
        </w:rPr>
        <w:t>（2）建筑工程技术、建筑学、电气工程技术、给排水工程、暖通工程、财务管理、项目管理企业管理、工程造价、是年至年建筑企业招聘大中职的前十位.</w:t>
      </w:r>
    </w:p>
    <w:p>
      <w:pPr>
        <w:spacing w:line="360" w:lineRule="auto"/>
        <w:ind w:firstLine="480" w:firstLineChars="200"/>
        <w:rPr>
          <w:rFonts w:ascii="宋体" w:hAnsi="宋体"/>
          <w:sz w:val="24"/>
          <w:szCs w:val="24"/>
        </w:rPr>
      </w:pPr>
      <w:r>
        <w:rPr>
          <w:rFonts w:hint="eastAsia" w:ascii="宋体" w:hAnsi="宋体"/>
          <w:sz w:val="24"/>
          <w:szCs w:val="24"/>
        </w:rPr>
        <w:t>（3）建筑企业对这十大热门专业的需求量占建筑行业对毕业.生需求量的80%，近年来还以增幅8%的速度稳步增长。</w:t>
      </w:r>
    </w:p>
    <w:p>
      <w:pPr>
        <w:spacing w:line="360" w:lineRule="auto"/>
        <w:ind w:firstLine="480" w:firstLineChars="200"/>
        <w:rPr>
          <w:rFonts w:ascii="宋体" w:hAnsi="宋体"/>
          <w:sz w:val="24"/>
          <w:szCs w:val="24"/>
        </w:rPr>
      </w:pPr>
      <w:r>
        <w:rPr>
          <w:rFonts w:hint="eastAsia" w:ascii="宋体" w:hAnsi="宋体"/>
          <w:sz w:val="24"/>
          <w:szCs w:val="24"/>
        </w:rPr>
        <w:t>（4）中职成为招聘建筑业毕业生的基本学历要求。</w:t>
      </w:r>
    </w:p>
    <w:p>
      <w:pPr>
        <w:spacing w:line="360" w:lineRule="auto"/>
        <w:ind w:firstLine="480" w:firstLineChars="200"/>
        <w:rPr>
          <w:rFonts w:ascii="宋体" w:hAnsi="宋体"/>
          <w:sz w:val="24"/>
          <w:szCs w:val="24"/>
        </w:rPr>
      </w:pPr>
      <w:r>
        <w:rPr>
          <w:rFonts w:hint="eastAsia" w:ascii="宋体" w:hAnsi="宋体"/>
          <w:sz w:val="24"/>
          <w:szCs w:val="24"/>
        </w:rPr>
        <w:t>四、建筑行业人才的发展趋势</w:t>
      </w:r>
    </w:p>
    <w:p>
      <w:pPr>
        <w:spacing w:line="360" w:lineRule="auto"/>
        <w:ind w:firstLine="480" w:firstLineChars="200"/>
        <w:rPr>
          <w:rFonts w:ascii="宋体" w:hAnsi="宋体"/>
          <w:sz w:val="24"/>
          <w:szCs w:val="24"/>
        </w:rPr>
      </w:pPr>
      <w:r>
        <w:rPr>
          <w:rFonts w:hint="eastAsia" w:ascii="宋体" w:hAnsi="宋体"/>
          <w:sz w:val="24"/>
          <w:szCs w:val="24"/>
        </w:rPr>
        <w:t>1. 随着行业的大发展和高增长，会拉动行业对人才需求。每年建筑业的企业人才需求将较往年有较大幅度的增长，预计增长幅度将超过25%。建筑业人员需求3</w:t>
      </w:r>
      <w:r>
        <w:rPr>
          <w:rFonts w:ascii="宋体" w:hAnsi="宋体"/>
          <w:sz w:val="24"/>
          <w:szCs w:val="24"/>
        </w:rPr>
        <w:t>-5</w:t>
      </w:r>
      <w:r>
        <w:rPr>
          <w:rFonts w:hint="eastAsia" w:ascii="宋体" w:hAnsi="宋体"/>
          <w:sz w:val="24"/>
          <w:szCs w:val="24"/>
        </w:rPr>
        <w:t>万人。</w:t>
      </w:r>
    </w:p>
    <w:p>
      <w:pPr>
        <w:spacing w:line="360" w:lineRule="auto"/>
        <w:ind w:firstLine="480" w:firstLineChars="200"/>
        <w:rPr>
          <w:rFonts w:ascii="宋体" w:hAnsi="宋体"/>
          <w:sz w:val="24"/>
          <w:szCs w:val="24"/>
        </w:rPr>
      </w:pPr>
      <w:r>
        <w:rPr>
          <w:rFonts w:hint="eastAsia" w:ascii="宋体" w:hAnsi="宋体"/>
          <w:sz w:val="24"/>
          <w:szCs w:val="24"/>
        </w:rPr>
        <w:t>2. 技术类专业人才成为建筑业招聘永恒的主题，行业的高增长将带来此类人才需求量的放大。每年企业对技术类人才的需求将占到总需求的30%。</w:t>
      </w:r>
    </w:p>
    <w:p>
      <w:pPr>
        <w:spacing w:line="360" w:lineRule="auto"/>
        <w:ind w:firstLine="480" w:firstLineChars="200"/>
        <w:rPr>
          <w:rFonts w:ascii="宋体" w:hAnsi="宋体"/>
          <w:sz w:val="24"/>
          <w:szCs w:val="24"/>
        </w:rPr>
      </w:pPr>
      <w:r>
        <w:rPr>
          <w:rFonts w:hint="eastAsia" w:ascii="宋体" w:hAnsi="宋体"/>
          <w:sz w:val="24"/>
          <w:szCs w:val="24"/>
        </w:rPr>
        <w:t>3.以后建筑行业人才竞争将更加激烈。济南市建筑市场正逐步全面开放，企业竞争的加剧必将带来人才的激烈竞争。</w:t>
      </w:r>
    </w:p>
    <w:p>
      <w:pPr>
        <w:spacing w:line="360" w:lineRule="auto"/>
        <w:ind w:firstLine="480" w:firstLineChars="200"/>
        <w:rPr>
          <w:rFonts w:ascii="宋体" w:hAnsi="宋体"/>
          <w:sz w:val="24"/>
          <w:szCs w:val="24"/>
        </w:rPr>
      </w:pPr>
      <w:r>
        <w:rPr>
          <w:rFonts w:hint="eastAsia" w:ascii="宋体" w:hAnsi="宋体"/>
          <w:sz w:val="24"/>
          <w:szCs w:val="24"/>
        </w:rPr>
        <w:t>4</w:t>
      </w:r>
      <w:r>
        <w:rPr>
          <w:rFonts w:ascii="宋体" w:hAnsi="宋体"/>
          <w:sz w:val="24"/>
          <w:szCs w:val="24"/>
        </w:rPr>
        <w:t xml:space="preserve">. </w:t>
      </w:r>
      <w:r>
        <w:rPr>
          <w:rFonts w:hint="eastAsia" w:ascii="宋体" w:hAnsi="宋体"/>
          <w:sz w:val="24"/>
          <w:szCs w:val="24"/>
        </w:rPr>
        <w:t>在建筑行业企业招聘中,中高职毕业生的十大热门专业是:建筑工程技术，建筑学、电气工程技术、给排水工程、暖通工程、工程造价管理、财务管理、项目管理、企业管理、道路与桥梁。建筑工程技术一直是企业需求毕业生的热门专业。</w:t>
      </w:r>
    </w:p>
    <w:p>
      <w:pPr>
        <w:spacing w:line="360" w:lineRule="auto"/>
        <w:ind w:firstLine="480" w:firstLineChars="200"/>
        <w:rPr>
          <w:rFonts w:ascii="宋体" w:hAnsi="宋体"/>
          <w:sz w:val="24"/>
          <w:szCs w:val="24"/>
        </w:rPr>
      </w:pPr>
      <w:r>
        <w:rPr>
          <w:rFonts w:hint="eastAsia" w:ascii="宋体" w:hAnsi="宋体"/>
          <w:sz w:val="24"/>
          <w:szCs w:val="24"/>
        </w:rPr>
        <w:t>五、建筑行业人才需求分析.</w:t>
      </w:r>
    </w:p>
    <w:p>
      <w:pPr>
        <w:spacing w:line="360" w:lineRule="auto"/>
        <w:ind w:firstLine="480" w:firstLineChars="200"/>
        <w:rPr>
          <w:rFonts w:ascii="宋体" w:hAnsi="宋体"/>
          <w:sz w:val="24"/>
          <w:szCs w:val="24"/>
        </w:rPr>
      </w:pPr>
      <w:r>
        <w:rPr>
          <w:rFonts w:hint="eastAsia" w:ascii="宋体" w:hAnsi="宋体"/>
          <w:sz w:val="24"/>
          <w:szCs w:val="24"/>
        </w:rPr>
        <w:t>根据职业人才需求预测的调查报告,全省150多个专业归为40个专业类，按专业类进行统计显示:</w:t>
      </w:r>
    </w:p>
    <w:p>
      <w:pPr>
        <w:spacing w:line="360" w:lineRule="auto"/>
        <w:ind w:firstLine="480" w:firstLineChars="200"/>
        <w:rPr>
          <w:rFonts w:ascii="宋体" w:hAnsi="宋体"/>
          <w:sz w:val="24"/>
          <w:szCs w:val="24"/>
        </w:rPr>
      </w:pPr>
      <w:r>
        <w:rPr>
          <w:rFonts w:ascii="宋体" w:hAnsi="宋体"/>
          <w:sz w:val="24"/>
          <w:szCs w:val="24"/>
        </w:rPr>
        <w:t xml:space="preserve">1. </w:t>
      </w:r>
      <w:r>
        <w:rPr>
          <w:rFonts w:hint="eastAsia" w:ascii="宋体" w:hAnsi="宋体"/>
          <w:sz w:val="24"/>
          <w:szCs w:val="24"/>
        </w:rPr>
        <w:t>社会人才需求量依次为市场营销、工商行政管理、机械、建...，.其中建筑名列第四位。</w:t>
      </w:r>
    </w:p>
    <w:p>
      <w:pPr>
        <w:spacing w:line="360" w:lineRule="auto"/>
        <w:ind w:firstLine="480" w:firstLineChars="200"/>
        <w:rPr>
          <w:rFonts w:ascii="宋体" w:hAnsi="宋体"/>
          <w:sz w:val="24"/>
          <w:szCs w:val="24"/>
        </w:rPr>
      </w:pPr>
      <w:r>
        <w:rPr>
          <w:rFonts w:ascii="宋体" w:hAnsi="宋体"/>
          <w:sz w:val="24"/>
          <w:szCs w:val="24"/>
        </w:rPr>
        <w:t xml:space="preserve">2. </w:t>
      </w:r>
      <w:r>
        <w:rPr>
          <w:rFonts w:hint="eastAsia" w:ascii="宋体" w:hAnsi="宋体"/>
          <w:sz w:val="24"/>
          <w:szCs w:val="24"/>
        </w:rPr>
        <w:t>建筑类人才需求的顺序为建筑工程技术、工业电器自动化、给排水...，.其中建筑</w:t>
      </w:r>
      <w:r>
        <w:rPr>
          <w:rFonts w:ascii="宋体" w:hAnsi="宋体"/>
          <w:sz w:val="24"/>
          <w:szCs w:val="24"/>
        </w:rPr>
        <w:t>工程</w:t>
      </w:r>
      <w:r>
        <w:rPr>
          <w:rFonts w:hint="eastAsia" w:ascii="宋体" w:hAnsi="宋体"/>
          <w:sz w:val="24"/>
          <w:szCs w:val="24"/>
        </w:rPr>
        <w:t>技术</w:t>
      </w:r>
      <w:r>
        <w:rPr>
          <w:rFonts w:ascii="宋体" w:hAnsi="宋体"/>
          <w:sz w:val="24"/>
          <w:szCs w:val="24"/>
        </w:rPr>
        <w:t>专业</w:t>
      </w:r>
      <w:r>
        <w:rPr>
          <w:rFonts w:hint="eastAsia" w:ascii="宋体" w:hAnsi="宋体"/>
          <w:sz w:val="24"/>
          <w:szCs w:val="24"/>
        </w:rPr>
        <w:t>列首位。由此看来，建筑工程技术专业有广泛的社会需求。</w:t>
      </w:r>
    </w:p>
    <w:p>
      <w:pPr>
        <w:spacing w:line="360" w:lineRule="auto"/>
        <w:ind w:firstLine="480" w:firstLineChars="200"/>
        <w:rPr>
          <w:rFonts w:ascii="宋体" w:hAnsi="宋体"/>
          <w:sz w:val="24"/>
          <w:szCs w:val="24"/>
        </w:rPr>
      </w:pPr>
      <w:r>
        <w:rPr>
          <w:rFonts w:hint="eastAsia" w:ascii="宋体" w:hAnsi="宋体"/>
          <w:sz w:val="24"/>
          <w:szCs w:val="24"/>
        </w:rPr>
        <w:t>我校建筑工程技术专业毕业生适应的工作领域包括建筑施工企业、房地产开发企业、工程质量监督站、建设单位、监理公司、工程造价咨询等部门。</w:t>
      </w:r>
    </w:p>
    <w:p>
      <w:pPr>
        <w:spacing w:line="360" w:lineRule="auto"/>
        <w:ind w:firstLine="480" w:firstLineChars="200"/>
        <w:rPr>
          <w:rFonts w:ascii="宋体" w:hAnsi="宋体"/>
          <w:sz w:val="24"/>
          <w:szCs w:val="24"/>
        </w:rPr>
      </w:pPr>
      <w:r>
        <w:rPr>
          <w:rFonts w:hint="eastAsia" w:ascii="宋体" w:hAnsi="宋体"/>
          <w:sz w:val="24"/>
          <w:szCs w:val="24"/>
        </w:rPr>
        <w:t>随着我国“十一五”计划的实施，国家将鼓励房地产业的发展，特别是职工住房制度的改革，将会进一步促进房地产业的发展。近几年来,国家制定宏观财政政策，用以加大基础设施的建设，其目的就是通过加大对基础设施的投入，来带动其他相关产业的发展。事实证明，这种带动作用无疑会增加建筑工程专业人才需求。据</w:t>
      </w:r>
      <w:r>
        <w:rPr>
          <w:rFonts w:ascii="宋体" w:hAnsi="宋体"/>
          <w:sz w:val="24"/>
          <w:szCs w:val="24"/>
        </w:rPr>
        <w:t>调查统计德州济南两地</w:t>
      </w:r>
      <w:r>
        <w:rPr>
          <w:rFonts w:hint="eastAsia" w:ascii="宋体" w:hAnsi="宋体"/>
          <w:sz w:val="24"/>
          <w:szCs w:val="24"/>
        </w:rPr>
        <w:t>的</w:t>
      </w:r>
      <w:r>
        <w:rPr>
          <w:rFonts w:ascii="宋体" w:hAnsi="宋体"/>
          <w:sz w:val="24"/>
          <w:szCs w:val="24"/>
        </w:rPr>
        <w:t>设计单位、施工单位、</w:t>
      </w:r>
      <w:r>
        <w:rPr>
          <w:rFonts w:hint="eastAsia" w:ascii="宋体" w:hAnsi="宋体"/>
          <w:sz w:val="24"/>
          <w:szCs w:val="24"/>
        </w:rPr>
        <w:t>房地产</w:t>
      </w:r>
      <w:r>
        <w:rPr>
          <w:rFonts w:ascii="宋体" w:hAnsi="宋体"/>
          <w:sz w:val="24"/>
          <w:szCs w:val="24"/>
        </w:rPr>
        <w:t>单位</w:t>
      </w:r>
      <w:r>
        <w:rPr>
          <w:rFonts w:hint="eastAsia" w:ascii="宋体" w:hAnsi="宋体"/>
          <w:sz w:val="24"/>
          <w:szCs w:val="24"/>
        </w:rPr>
        <w:t>及</w:t>
      </w:r>
      <w:r>
        <w:rPr>
          <w:rFonts w:ascii="宋体" w:hAnsi="宋体"/>
          <w:sz w:val="24"/>
          <w:szCs w:val="24"/>
        </w:rPr>
        <w:t>管理单位</w:t>
      </w:r>
      <w:r>
        <w:rPr>
          <w:rFonts w:hint="eastAsia" w:ascii="宋体" w:hAnsi="宋体"/>
          <w:sz w:val="24"/>
          <w:szCs w:val="24"/>
        </w:rPr>
        <w:t>在</w:t>
      </w:r>
      <w:r>
        <w:rPr>
          <w:rFonts w:ascii="宋体" w:hAnsi="宋体"/>
          <w:sz w:val="24"/>
          <w:szCs w:val="24"/>
        </w:rPr>
        <w:t>今后五年内</w:t>
      </w:r>
      <w:r>
        <w:rPr>
          <w:rFonts w:hint="eastAsia" w:ascii="宋体" w:hAnsi="宋体"/>
          <w:sz w:val="24"/>
          <w:szCs w:val="24"/>
        </w:rPr>
        <w:t>保守</w:t>
      </w:r>
      <w:r>
        <w:rPr>
          <w:rFonts w:ascii="宋体" w:hAnsi="宋体"/>
          <w:sz w:val="24"/>
          <w:szCs w:val="24"/>
        </w:rPr>
        <w:t>预计</w:t>
      </w:r>
      <w:r>
        <w:rPr>
          <w:rFonts w:hint="eastAsia" w:ascii="宋体" w:hAnsi="宋体"/>
          <w:sz w:val="24"/>
          <w:szCs w:val="24"/>
        </w:rPr>
        <w:t>需求</w:t>
      </w:r>
      <w:r>
        <w:rPr>
          <w:rFonts w:ascii="宋体" w:hAnsi="宋体"/>
          <w:sz w:val="24"/>
          <w:szCs w:val="24"/>
        </w:rPr>
        <w:t>建筑类专业人员</w:t>
      </w:r>
      <w:r>
        <w:rPr>
          <w:rFonts w:hint="eastAsia" w:ascii="宋体" w:hAnsi="宋体"/>
          <w:sz w:val="24"/>
          <w:szCs w:val="24"/>
        </w:rPr>
        <w:t>4.5</w:t>
      </w:r>
      <w:r>
        <w:rPr>
          <w:rFonts w:ascii="宋体" w:hAnsi="宋体"/>
          <w:sz w:val="24"/>
          <w:szCs w:val="24"/>
        </w:rPr>
        <w:t>—5</w:t>
      </w:r>
      <w:r>
        <w:rPr>
          <w:rFonts w:hint="eastAsia" w:ascii="宋体" w:hAnsi="宋体"/>
          <w:sz w:val="24"/>
          <w:szCs w:val="24"/>
        </w:rPr>
        <w:t>万人。</w:t>
      </w:r>
    </w:p>
    <w:p>
      <w:pPr>
        <w:spacing w:line="360" w:lineRule="auto"/>
        <w:ind w:firstLine="480" w:firstLineChars="200"/>
        <w:rPr>
          <w:rFonts w:ascii="宋体" w:hAnsi="宋体"/>
          <w:sz w:val="24"/>
          <w:szCs w:val="24"/>
        </w:rPr>
      </w:pPr>
      <w:r>
        <w:rPr>
          <w:rFonts w:hint="eastAsia" w:ascii="宋体" w:hAnsi="宋体"/>
          <w:sz w:val="24"/>
          <w:szCs w:val="24"/>
        </w:rPr>
        <w:t>随着国家对基础设施投资力度的加大，山东省对土木建筑方面的人才需求会进一步的增加。但是对人才的需求不会只仅限于传统的房屋建筑工程方面，而是具有较为全面的土木工程基础知识的应用型人才。这对我们的教学改革提出了新的更高要求。</w:t>
      </w:r>
    </w:p>
    <w:p>
      <w:pPr>
        <w:spacing w:line="360" w:lineRule="auto"/>
        <w:ind w:firstLine="480" w:firstLineChars="200"/>
        <w:rPr>
          <w:rFonts w:ascii="宋体" w:hAnsi="宋体"/>
          <w:sz w:val="24"/>
          <w:szCs w:val="24"/>
        </w:rPr>
      </w:pPr>
      <w:r>
        <w:rPr>
          <w:rFonts w:hint="eastAsia" w:ascii="宋体" w:hAnsi="宋体"/>
          <w:sz w:val="24"/>
          <w:szCs w:val="24"/>
        </w:rPr>
        <w:t>六、对本专业建设发展的建议</w:t>
      </w:r>
    </w:p>
    <w:p>
      <w:pPr>
        <w:spacing w:line="360" w:lineRule="auto"/>
        <w:ind w:firstLine="480" w:firstLineChars="200"/>
        <w:rPr>
          <w:rFonts w:ascii="宋体" w:hAnsi="宋体"/>
          <w:sz w:val="24"/>
          <w:szCs w:val="24"/>
        </w:rPr>
      </w:pPr>
      <w:r>
        <w:rPr>
          <w:rFonts w:hint="eastAsia" w:ascii="宋体" w:hAnsi="宋体"/>
          <w:sz w:val="24"/>
          <w:szCs w:val="24"/>
        </w:rPr>
        <w:t>1.我校应把握建筑行业的脉搏，在招生数量和规格上迅速适应市场的需要。到年末，力争实现在校建筑工程技术学生达到350人，95%以上的学生都能达到我省建筑行业的人才要求。</w:t>
      </w:r>
    </w:p>
    <w:p>
      <w:pPr>
        <w:spacing w:line="360" w:lineRule="auto"/>
        <w:ind w:firstLine="480" w:firstLineChars="200"/>
        <w:rPr>
          <w:rFonts w:ascii="宋体" w:hAnsi="宋体"/>
          <w:sz w:val="24"/>
          <w:szCs w:val="24"/>
        </w:rPr>
      </w:pPr>
      <w:r>
        <w:rPr>
          <w:rFonts w:hint="eastAsia" w:ascii="宋体" w:hAnsi="宋体"/>
          <w:sz w:val="24"/>
          <w:szCs w:val="24"/>
        </w:rPr>
        <w:t>2.师资队伍建设目标:建筑工程技术专业课的教师达到</w:t>
      </w:r>
      <w:r>
        <w:rPr>
          <w:rFonts w:ascii="宋体" w:hAnsi="宋体"/>
          <w:sz w:val="24"/>
          <w:szCs w:val="24"/>
        </w:rPr>
        <w:t>15</w:t>
      </w:r>
      <w:r>
        <w:rPr>
          <w:rFonts w:hint="eastAsia" w:ascii="宋体" w:hAnsi="宋体"/>
          <w:sz w:val="24"/>
          <w:szCs w:val="24"/>
        </w:rPr>
        <w:t>人，其中专业带头人1人，安排教师到企业去参加实践.</w:t>
      </w:r>
    </w:p>
    <w:p>
      <w:pPr>
        <w:spacing w:line="360" w:lineRule="auto"/>
        <w:ind w:firstLine="480" w:firstLineChars="200"/>
        <w:rPr>
          <w:rFonts w:ascii="宋体" w:hAnsi="宋体"/>
          <w:sz w:val="24"/>
          <w:szCs w:val="24"/>
        </w:rPr>
      </w:pPr>
      <w:r>
        <w:rPr>
          <w:rFonts w:hint="eastAsia" w:ascii="宋体" w:hAnsi="宋体"/>
          <w:sz w:val="24"/>
          <w:szCs w:val="24"/>
        </w:rPr>
        <w:t>3.课程设置上不断优化，教学手段上不断改进，通过校内实训室和校外实训基地的建设和使用，努力提高教学的质量尤其是实践教学的水平。</w:t>
      </w:r>
    </w:p>
    <w:p>
      <w:pPr>
        <w:spacing w:line="360" w:lineRule="auto"/>
        <w:ind w:firstLine="480" w:firstLineChars="200"/>
        <w:rPr>
          <w:rFonts w:ascii="宋体" w:hAnsi="宋体"/>
          <w:sz w:val="24"/>
          <w:szCs w:val="24"/>
        </w:rPr>
      </w:pPr>
      <w:r>
        <w:rPr>
          <w:rFonts w:hint="eastAsia" w:ascii="宋体" w:hAnsi="宋体"/>
          <w:sz w:val="24"/>
          <w:szCs w:val="24"/>
        </w:rPr>
        <w:t>综上所述:在未来的十多年中，建筑业将会有一个更大更快的发展，社会对建筑工程人才的需求将逐步转向中高职专培养出的高素质技术应用性专门人才，本专业的教学改革对社会进步,经济发展有直接的推动作用。</w:t>
      </w: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p>
    <w:p>
      <w:pPr>
        <w:spacing w:line="500" w:lineRule="exact"/>
        <w:ind w:firstLine="723" w:firstLineChars="200"/>
        <w:jc w:val="center"/>
        <w:rPr>
          <w:rFonts w:ascii="Times New Roman" w:hAnsi="Times New Roman"/>
          <w:b/>
          <w:bCs/>
          <w:sz w:val="36"/>
          <w:szCs w:val="36"/>
        </w:rPr>
      </w:pPr>
      <w:r>
        <w:rPr>
          <w:rFonts w:hint="eastAsia" w:ascii="Times New Roman" w:hAnsi="Times New Roman"/>
          <w:b/>
          <w:bCs/>
          <w:sz w:val="36"/>
          <w:szCs w:val="36"/>
        </w:rPr>
        <w:t>建筑工程技术专业建设委员会名单</w:t>
      </w:r>
    </w:p>
    <w:p>
      <w:pPr>
        <w:spacing w:line="500" w:lineRule="exact"/>
        <w:ind w:firstLine="482" w:firstLineChars="200"/>
        <w:jc w:val="center"/>
        <w:rPr>
          <w:rFonts w:ascii="Times New Roman" w:hAnsi="Times New Roman" w:cs="宋体"/>
          <w:b/>
          <w:bCs/>
          <w:sz w:val="24"/>
          <w:szCs w:val="24"/>
        </w:rPr>
      </w:pPr>
    </w:p>
    <w:p>
      <w:pPr>
        <w:spacing w:line="500" w:lineRule="exact"/>
        <w:rPr>
          <w:rFonts w:ascii="Times New Roman" w:hAnsi="Times New Roman" w:cs="宋体"/>
          <w:b/>
          <w:bCs/>
          <w:sz w:val="24"/>
          <w:szCs w:val="24"/>
        </w:rPr>
      </w:pPr>
    </w:p>
    <w:tbl>
      <w:tblPr>
        <w:tblStyle w:val="24"/>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363"/>
        <w:gridCol w:w="1432"/>
        <w:gridCol w:w="2820"/>
        <w:gridCol w:w="161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序号</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姓名</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职称</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hAnsi="宋体" w:cs="宋体"/>
                <w:b/>
                <w:bCs/>
                <w:kern w:val="0"/>
                <w:szCs w:val="21"/>
              </w:rPr>
              <w:t>委员会任职</w:t>
            </w:r>
          </w:p>
        </w:tc>
        <w:tc>
          <w:tcPr>
            <w:tcW w:w="2820" w:type="dxa"/>
            <w:tcMar>
              <w:top w:w="0" w:type="dxa"/>
              <w:left w:w="108" w:type="dxa"/>
              <w:bottom w:w="0" w:type="dxa"/>
              <w:right w:w="108" w:type="dxa"/>
            </w:tcMar>
            <w:vAlign w:val="center"/>
          </w:tcPr>
          <w:p>
            <w:pPr>
              <w:widowControl/>
              <w:ind w:firstLine="554"/>
              <w:rPr>
                <w:rFonts w:ascii="宋体" w:cs="宋体"/>
                <w:kern w:val="0"/>
                <w:szCs w:val="21"/>
              </w:rPr>
            </w:pPr>
            <w:r>
              <w:rPr>
                <w:rFonts w:hint="eastAsia" w:ascii="宋体" w:hAnsi="宋体" w:cs="宋体"/>
                <w:b/>
                <w:bCs/>
                <w:kern w:val="0"/>
                <w:szCs w:val="21"/>
              </w:rPr>
              <w:t>所在单位</w:t>
            </w:r>
          </w:p>
        </w:tc>
        <w:tc>
          <w:tcPr>
            <w:tcW w:w="1615" w:type="dxa"/>
            <w:tcMar>
              <w:top w:w="0" w:type="dxa"/>
              <w:left w:w="108" w:type="dxa"/>
              <w:bottom w:w="0" w:type="dxa"/>
              <w:right w:w="108" w:type="dxa"/>
            </w:tcMar>
            <w:vAlign w:val="center"/>
          </w:tcPr>
          <w:p>
            <w:pPr>
              <w:widowControl/>
              <w:ind w:firstLine="554"/>
              <w:rPr>
                <w:rFonts w:ascii="宋体" w:cs="宋体"/>
                <w:kern w:val="0"/>
                <w:szCs w:val="21"/>
              </w:rPr>
            </w:pPr>
            <w:r>
              <w:rPr>
                <w:rFonts w:hint="eastAsia" w:ascii="宋体" w:hAnsi="宋体" w:cs="宋体"/>
                <w:b/>
                <w:bCs/>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1</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周伟</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主任</w:t>
            </w:r>
            <w:r>
              <w:rPr>
                <w:rFonts w:ascii="宋体" w:cs="宋体"/>
                <w:kern w:val="0"/>
                <w:szCs w:val="21"/>
              </w:rPr>
              <w:t>委员</w:t>
            </w:r>
          </w:p>
        </w:tc>
        <w:tc>
          <w:tcPr>
            <w:tcW w:w="2820"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w:t>
            </w:r>
            <w:r>
              <w:rPr>
                <w:rFonts w:ascii="宋体" w:cs="宋体"/>
                <w:kern w:val="0"/>
                <w:szCs w:val="21"/>
              </w:rPr>
              <w:t>职业学院</w:t>
            </w:r>
          </w:p>
        </w:tc>
        <w:tc>
          <w:tcPr>
            <w:tcW w:w="161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副院长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2</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冯莹</w:t>
            </w:r>
          </w:p>
        </w:tc>
        <w:tc>
          <w:tcPr>
            <w:tcW w:w="1363" w:type="dxa"/>
            <w:tcMar>
              <w:top w:w="0" w:type="dxa"/>
              <w:left w:w="108" w:type="dxa"/>
              <w:bottom w:w="0" w:type="dxa"/>
              <w:right w:w="108" w:type="dxa"/>
            </w:tcMar>
            <w:vAlign w:val="center"/>
          </w:tcPr>
          <w:p>
            <w:pPr>
              <w:jc w:val="center"/>
            </w:pPr>
            <w:r>
              <w:rPr>
                <w:rFonts w:hint="eastAsia"/>
              </w:rPr>
              <w:t>高级讲师</w:t>
            </w:r>
          </w:p>
        </w:tc>
        <w:tc>
          <w:tcPr>
            <w:tcW w:w="1432" w:type="dxa"/>
            <w:tcMar>
              <w:top w:w="0" w:type="dxa"/>
              <w:left w:w="108" w:type="dxa"/>
              <w:bottom w:w="0" w:type="dxa"/>
              <w:right w:w="108" w:type="dxa"/>
            </w:tcMar>
            <w:vAlign w:val="center"/>
          </w:tcPr>
          <w:p>
            <w:pPr>
              <w:jc w:val="center"/>
            </w:pPr>
            <w:r>
              <w:rPr>
                <w:rFonts w:hint="eastAsia"/>
              </w:rPr>
              <w:t>副主任委员</w:t>
            </w:r>
          </w:p>
        </w:tc>
        <w:tc>
          <w:tcPr>
            <w:tcW w:w="2820" w:type="dxa"/>
            <w:tcMar>
              <w:top w:w="0" w:type="dxa"/>
              <w:left w:w="108" w:type="dxa"/>
              <w:bottom w:w="0" w:type="dxa"/>
              <w:right w:w="108" w:type="dxa"/>
            </w:tcMar>
            <w:vAlign w:val="center"/>
          </w:tcPr>
          <w:p>
            <w:pPr>
              <w:jc w:val="center"/>
            </w:pPr>
            <w:r>
              <w:rPr>
                <w:rFonts w:hint="eastAsia"/>
              </w:rPr>
              <w:t>德州科技职业学院</w:t>
            </w:r>
          </w:p>
        </w:tc>
        <w:tc>
          <w:tcPr>
            <w:tcW w:w="1615" w:type="dxa"/>
            <w:tcMar>
              <w:top w:w="0" w:type="dxa"/>
              <w:left w:w="108" w:type="dxa"/>
              <w:bottom w:w="0" w:type="dxa"/>
              <w:right w:w="108" w:type="dxa"/>
            </w:tcMar>
            <w:vAlign w:val="center"/>
          </w:tcPr>
          <w:p>
            <w:pPr>
              <w:jc w:val="center"/>
            </w:pPr>
            <w:r>
              <w:rPr>
                <w:rFonts w:hint="eastAsia"/>
              </w:rP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3</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rPr>
              <w:t>白庆丽</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副主任委员</w:t>
            </w:r>
          </w:p>
        </w:tc>
        <w:tc>
          <w:tcPr>
            <w:tcW w:w="2820"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w:t>
            </w:r>
          </w:p>
        </w:tc>
        <w:tc>
          <w:tcPr>
            <w:tcW w:w="161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教</w:t>
            </w:r>
            <w:r>
              <w:rPr>
                <w:rFonts w:hint="eastAsia" w:ascii="宋体" w:cs="宋体"/>
                <w:kern w:val="0"/>
                <w:szCs w:val="21"/>
                <w:lang w:eastAsia="zh-CN"/>
              </w:rPr>
              <w:t>研</w:t>
            </w:r>
            <w:r>
              <w:rPr>
                <w:rFonts w:hint="eastAsia" w:ascii="宋体" w:cs="宋体"/>
                <w:kern w:val="0"/>
                <w:szCs w:val="21"/>
              </w:rPr>
              <w:t>处长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ascii="宋体" w:cs="宋体"/>
                <w:kern w:val="0"/>
                <w:szCs w:val="21"/>
              </w:rPr>
              <w:t>4</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尹淑娟</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秘书</w:t>
            </w:r>
          </w:p>
        </w:tc>
        <w:tc>
          <w:tcPr>
            <w:tcW w:w="2820"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w:t>
            </w:r>
          </w:p>
        </w:tc>
        <w:tc>
          <w:tcPr>
            <w:tcW w:w="161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专业</w:t>
            </w:r>
            <w:r>
              <w:rPr>
                <w:rFonts w:ascii="宋体" w:cs="宋体"/>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ascii="宋体" w:cs="宋体"/>
                <w:kern w:val="0"/>
                <w:szCs w:val="21"/>
              </w:rPr>
              <w:t>5</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rPr>
              <w:t>禚云鹏</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正高级讲师</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委员</w:t>
            </w:r>
          </w:p>
        </w:tc>
        <w:tc>
          <w:tcPr>
            <w:tcW w:w="2820"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w:t>
            </w:r>
          </w:p>
        </w:tc>
        <w:tc>
          <w:tcPr>
            <w:tcW w:w="161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教学</w:t>
            </w:r>
            <w:r>
              <w:rPr>
                <w:rFonts w:ascii="宋体" w:cs="宋体"/>
                <w:kern w:val="0"/>
                <w:szCs w:val="21"/>
              </w:rPr>
              <w:t>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6</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高源</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委员</w:t>
            </w:r>
          </w:p>
        </w:tc>
        <w:tc>
          <w:tcPr>
            <w:tcW w:w="2820"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w:t>
            </w:r>
          </w:p>
        </w:tc>
        <w:tc>
          <w:tcPr>
            <w:tcW w:w="161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思政处</w:t>
            </w:r>
            <w:r>
              <w:rPr>
                <w:rFonts w:ascii="宋体" w:cs="宋体"/>
                <w:kern w:val="0"/>
                <w:szCs w:val="21"/>
              </w:rPr>
              <w:t>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7</w:t>
            </w:r>
          </w:p>
        </w:tc>
        <w:tc>
          <w:tcPr>
            <w:tcW w:w="991" w:type="dxa"/>
            <w:tcMar>
              <w:top w:w="0" w:type="dxa"/>
              <w:left w:w="108" w:type="dxa"/>
              <w:bottom w:w="0" w:type="dxa"/>
              <w:right w:w="108" w:type="dxa"/>
            </w:tcMar>
            <w:vAlign w:val="center"/>
          </w:tcPr>
          <w:p>
            <w:pPr>
              <w:widowControl/>
              <w:jc w:val="center"/>
              <w:rPr>
                <w:rFonts w:ascii="宋体" w:cs="宋体"/>
                <w:kern w:val="0"/>
                <w:szCs w:val="21"/>
              </w:rPr>
            </w:pPr>
            <w:r>
              <w:rPr>
                <w:rFonts w:hint="eastAsia"/>
              </w:rPr>
              <w:t>张园园</w:t>
            </w:r>
          </w:p>
        </w:tc>
        <w:tc>
          <w:tcPr>
            <w:tcW w:w="1363"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高级</w:t>
            </w:r>
            <w:r>
              <w:rPr>
                <w:rFonts w:ascii="宋体" w:cs="宋体"/>
                <w:kern w:val="0"/>
                <w:szCs w:val="21"/>
              </w:rPr>
              <w:t>讲师</w:t>
            </w:r>
          </w:p>
        </w:tc>
        <w:tc>
          <w:tcPr>
            <w:tcW w:w="1432"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委员</w:t>
            </w:r>
          </w:p>
        </w:tc>
        <w:tc>
          <w:tcPr>
            <w:tcW w:w="2820" w:type="dxa"/>
            <w:tcMar>
              <w:top w:w="0" w:type="dxa"/>
              <w:left w:w="108" w:type="dxa"/>
              <w:bottom w:w="0" w:type="dxa"/>
              <w:right w:w="108" w:type="dxa"/>
            </w:tcMar>
            <w:vAlign w:val="center"/>
          </w:tcPr>
          <w:p>
            <w:pPr>
              <w:widowControl/>
              <w:jc w:val="center"/>
              <w:rPr>
                <w:rFonts w:ascii="宋体" w:cs="宋体"/>
                <w:kern w:val="0"/>
                <w:szCs w:val="21"/>
              </w:rPr>
            </w:pPr>
            <w:r>
              <w:rPr>
                <w:rFonts w:hint="eastAsia" w:ascii="宋体" w:cs="宋体"/>
                <w:kern w:val="0"/>
                <w:szCs w:val="21"/>
              </w:rPr>
              <w:t>德州科技职业学院</w:t>
            </w:r>
          </w:p>
        </w:tc>
        <w:tc>
          <w:tcPr>
            <w:tcW w:w="1615" w:type="dxa"/>
            <w:tcMar>
              <w:top w:w="0" w:type="dxa"/>
              <w:left w:w="108" w:type="dxa"/>
              <w:bottom w:w="0" w:type="dxa"/>
              <w:right w:w="108" w:type="dxa"/>
            </w:tcMar>
            <w:vAlign w:val="center"/>
          </w:tcPr>
          <w:p>
            <w:pPr>
              <w:widowControl/>
              <w:jc w:val="center"/>
              <w:rPr>
                <w:rFonts w:hint="eastAsia" w:ascii="宋体" w:eastAsia="宋体" w:cs="宋体"/>
                <w:kern w:val="0"/>
                <w:szCs w:val="21"/>
                <w:lang w:eastAsia="zh-CN"/>
              </w:rPr>
            </w:pPr>
            <w:r>
              <w:rPr>
                <w:rFonts w:hint="eastAsia" w:ascii="宋体" w:cs="宋体"/>
                <w:kern w:val="0"/>
                <w:szCs w:val="21"/>
                <w:lang w:eastAsia="zh-CN"/>
              </w:rPr>
              <w:t>专业教师</w:t>
            </w:r>
          </w:p>
        </w:tc>
      </w:tr>
    </w:tbl>
    <w:p>
      <w:pPr>
        <w:pStyle w:val="2"/>
        <w:ind w:firstLine="0" w:firstLineChars="0"/>
        <w:rPr>
          <w:rFonts w:ascii="宋体" w:hAnsi="宋体"/>
          <w:sz w:val="28"/>
          <w:szCs w:val="28"/>
          <w:lang w:val="en-US"/>
        </w:rPr>
      </w:pPr>
      <w:bookmarkStart w:id="134" w:name="_GoBack"/>
      <w:bookmarkEnd w:id="134"/>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altName w:val="Arial Unicode MS"/>
    <w:panose1 w:val="00000000000000000000"/>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等线 Light">
    <w:altName w:val="Arial Unicode MS"/>
    <w:panose1 w:val="00000000000000000000"/>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4743782"/>
      <w:docPartObj>
        <w:docPartGallery w:val="AutoText"/>
      </w:docPartObj>
    </w:sdtPr>
    <w:sdtContent>
      <w:p>
        <w:pPr>
          <w:pStyle w:val="16"/>
          <w:jc w:val="center"/>
        </w:pPr>
        <w:r>
          <w:fldChar w:fldCharType="begin"/>
        </w:r>
        <w:r>
          <w:instrText xml:space="preserve">PAGE   \* MERGEFORMAT</w:instrText>
        </w:r>
        <w:r>
          <w:fldChar w:fldCharType="separate"/>
        </w:r>
        <w:r>
          <w:rPr>
            <w:lang w:val="zh-CN"/>
          </w:rPr>
          <w:t>29</w:t>
        </w:r>
        <w:r>
          <w:rPr>
            <w:lang w:val="zh-CN"/>
          </w:rPr>
          <w:fldChar w:fldCharType="end"/>
        </w:r>
      </w:p>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53</w:t>
    </w:r>
    <w:r>
      <w:rPr>
        <w:lang w:val="zh-CN"/>
      </w:rPr>
      <w:fldChar w:fldCharType="end"/>
    </w:r>
  </w:p>
  <w:p>
    <w:pPr>
      <w:pStyle w:val="16"/>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50FF2"/>
    <w:multiLevelType w:val="singleLevel"/>
    <w:tmpl w:val="88850FF2"/>
    <w:lvl w:ilvl="0" w:tentative="0">
      <w:start w:val="1"/>
      <w:numFmt w:val="decimal"/>
      <w:suff w:val="nothing"/>
      <w:lvlText w:val="%1、"/>
      <w:lvlJc w:val="left"/>
    </w:lvl>
  </w:abstractNum>
  <w:abstractNum w:abstractNumId="1">
    <w:nsid w:val="E00FBBB5"/>
    <w:multiLevelType w:val="singleLevel"/>
    <w:tmpl w:val="E00FBBB5"/>
    <w:lvl w:ilvl="0" w:tentative="0">
      <w:start w:val="3"/>
      <w:numFmt w:val="decimal"/>
      <w:lvlText w:val="%1."/>
      <w:lvlJc w:val="left"/>
      <w:pPr>
        <w:tabs>
          <w:tab w:val="left" w:pos="312"/>
        </w:tabs>
      </w:pPr>
    </w:lvl>
  </w:abstractNum>
  <w:abstractNum w:abstractNumId="2">
    <w:nsid w:val="0B29567A"/>
    <w:multiLevelType w:val="multilevel"/>
    <w:tmpl w:val="0B29567A"/>
    <w:lvl w:ilvl="0" w:tentative="0">
      <w:start w:val="1"/>
      <w:numFmt w:val="decimal"/>
      <w:lvlText w:val="%1."/>
      <w:lvlJc w:val="left"/>
      <w:pPr>
        <w:ind w:left="285" w:hanging="28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4">
    <w:nsid w:val="2FAB5F27"/>
    <w:multiLevelType w:val="multilevel"/>
    <w:tmpl w:val="2FAB5F27"/>
    <w:lvl w:ilvl="0" w:tentative="0">
      <w:start w:val="9"/>
      <w:numFmt w:val="japaneseCounting"/>
      <w:lvlText w:val="%1、"/>
      <w:lvlJc w:val="left"/>
      <w:pPr>
        <w:ind w:left="1430" w:hanging="72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5">
    <w:nsid w:val="37156D15"/>
    <w:multiLevelType w:val="multilevel"/>
    <w:tmpl w:val="37156D15"/>
    <w:lvl w:ilvl="0" w:tentative="0">
      <w:start w:val="6"/>
      <w:numFmt w:val="japaneseCounting"/>
      <w:lvlText w:val="%1、"/>
      <w:lvlJc w:val="left"/>
      <w:pPr>
        <w:ind w:left="1303" w:hanging="66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6">
    <w:nsid w:val="75F33855"/>
    <w:multiLevelType w:val="multilevel"/>
    <w:tmpl w:val="75F338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615DEAC"/>
    <w:multiLevelType w:val="singleLevel"/>
    <w:tmpl w:val="7615DEAC"/>
    <w:lvl w:ilvl="0" w:tentative="0">
      <w:start w:val="1"/>
      <w:numFmt w:val="chineseCounting"/>
      <w:suff w:val="nothing"/>
      <w:lvlText w:val="（%1）"/>
      <w:lvlJc w:val="left"/>
      <w:rPr>
        <w:rFonts w:hint="eastAsia"/>
      </w:rPr>
    </w:lvl>
  </w:abstractNum>
  <w:num w:numId="1">
    <w:abstractNumId w:val="3"/>
  </w:num>
  <w:num w:numId="2">
    <w:abstractNumId w:val="5"/>
  </w:num>
  <w:num w:numId="3">
    <w:abstractNumId w:val="0"/>
  </w:num>
  <w:num w:numId="4">
    <w:abstractNumId w:val="7"/>
  </w:num>
  <w:num w:numId="5">
    <w:abstractNumId w:val="4"/>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cxNmZjMTZjNmY4ZmExNzZjY2I0MzU2ZjA4MzlmNTQifQ=="/>
  </w:docVars>
  <w:rsids>
    <w:rsidRoot w:val="000B1B8C"/>
    <w:rsid w:val="000259A8"/>
    <w:rsid w:val="000615DC"/>
    <w:rsid w:val="00076372"/>
    <w:rsid w:val="000B1B8C"/>
    <w:rsid w:val="000B27B0"/>
    <w:rsid w:val="000D13BD"/>
    <w:rsid w:val="000D403E"/>
    <w:rsid w:val="00100699"/>
    <w:rsid w:val="0017638B"/>
    <w:rsid w:val="00183E9D"/>
    <w:rsid w:val="001F5B1B"/>
    <w:rsid w:val="00201928"/>
    <w:rsid w:val="00224B98"/>
    <w:rsid w:val="00282BB3"/>
    <w:rsid w:val="002A0C93"/>
    <w:rsid w:val="002B0D98"/>
    <w:rsid w:val="002E0291"/>
    <w:rsid w:val="00334D12"/>
    <w:rsid w:val="00442A8B"/>
    <w:rsid w:val="00470994"/>
    <w:rsid w:val="00486993"/>
    <w:rsid w:val="004B7A4C"/>
    <w:rsid w:val="004C03D0"/>
    <w:rsid w:val="004D189E"/>
    <w:rsid w:val="00505F7E"/>
    <w:rsid w:val="00532E27"/>
    <w:rsid w:val="00553C44"/>
    <w:rsid w:val="005A38E5"/>
    <w:rsid w:val="005B7035"/>
    <w:rsid w:val="005E1DCC"/>
    <w:rsid w:val="005F3396"/>
    <w:rsid w:val="00604E09"/>
    <w:rsid w:val="006140DA"/>
    <w:rsid w:val="00621841"/>
    <w:rsid w:val="0071320C"/>
    <w:rsid w:val="00717B25"/>
    <w:rsid w:val="007428CB"/>
    <w:rsid w:val="007758A2"/>
    <w:rsid w:val="007B5048"/>
    <w:rsid w:val="007E0D78"/>
    <w:rsid w:val="007E4B27"/>
    <w:rsid w:val="00824275"/>
    <w:rsid w:val="00854B2C"/>
    <w:rsid w:val="00867BC4"/>
    <w:rsid w:val="008C1680"/>
    <w:rsid w:val="008D3CDF"/>
    <w:rsid w:val="00914119"/>
    <w:rsid w:val="00926D63"/>
    <w:rsid w:val="00946F58"/>
    <w:rsid w:val="009575C6"/>
    <w:rsid w:val="009B36FC"/>
    <w:rsid w:val="009D6A77"/>
    <w:rsid w:val="00A90971"/>
    <w:rsid w:val="00AA169D"/>
    <w:rsid w:val="00B01D42"/>
    <w:rsid w:val="00B67B75"/>
    <w:rsid w:val="00B84CBB"/>
    <w:rsid w:val="00C43CF2"/>
    <w:rsid w:val="00C668E1"/>
    <w:rsid w:val="00C66B44"/>
    <w:rsid w:val="00C70034"/>
    <w:rsid w:val="00CB1F8D"/>
    <w:rsid w:val="00CB507B"/>
    <w:rsid w:val="00CE4359"/>
    <w:rsid w:val="00CF1FE7"/>
    <w:rsid w:val="00D40CDD"/>
    <w:rsid w:val="00D9157A"/>
    <w:rsid w:val="00DE3C32"/>
    <w:rsid w:val="00ED058F"/>
    <w:rsid w:val="00ED78EB"/>
    <w:rsid w:val="00EE72BD"/>
    <w:rsid w:val="00F2176F"/>
    <w:rsid w:val="00F5345C"/>
    <w:rsid w:val="00F9699C"/>
    <w:rsid w:val="00FA000B"/>
    <w:rsid w:val="0EBC3521"/>
    <w:rsid w:val="16F207D7"/>
    <w:rsid w:val="63004E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0"/>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Char"/>
    <w:basedOn w:val="26"/>
    <w:link w:val="3"/>
    <w:qFormat/>
    <w:uiPriority w:val="99"/>
    <w:rPr>
      <w:rFonts w:ascii="Times New Roman" w:hAnsi="Times New Roman" w:eastAsia="黑体" w:cs="Times New Roman"/>
      <w:b/>
      <w:bCs/>
      <w:kern w:val="44"/>
      <w:sz w:val="32"/>
      <w:szCs w:val="30"/>
    </w:rPr>
  </w:style>
  <w:style w:type="character" w:customStyle="1" w:styleId="32">
    <w:name w:val="标题 2 Char"/>
    <w:basedOn w:val="26"/>
    <w:link w:val="4"/>
    <w:qFormat/>
    <w:uiPriority w:val="99"/>
    <w:rPr>
      <w:rFonts w:ascii="Arial" w:hAnsi="Arial" w:eastAsia="黑体" w:cs="Times New Roman"/>
      <w:b/>
      <w:bCs/>
      <w:sz w:val="28"/>
      <w:szCs w:val="28"/>
    </w:rPr>
  </w:style>
  <w:style w:type="character" w:customStyle="1" w:styleId="33">
    <w:name w:val="页眉 Char"/>
    <w:basedOn w:val="26"/>
    <w:link w:val="17"/>
    <w:qFormat/>
    <w:uiPriority w:val="0"/>
    <w:rPr>
      <w:sz w:val="18"/>
      <w:szCs w:val="18"/>
    </w:rPr>
  </w:style>
  <w:style w:type="character" w:customStyle="1" w:styleId="34">
    <w:name w:val="页脚 Char"/>
    <w:basedOn w:val="26"/>
    <w:link w:val="16"/>
    <w:qFormat/>
    <w:uiPriority w:val="99"/>
    <w:rPr>
      <w:sz w:val="18"/>
      <w:szCs w:val="18"/>
    </w:rPr>
  </w:style>
  <w:style w:type="character" w:customStyle="1" w:styleId="35">
    <w:name w:val="批注文字 Char"/>
    <w:basedOn w:val="26"/>
    <w:link w:val="8"/>
    <w:semiHidden/>
    <w:qFormat/>
    <w:uiPriority w:val="99"/>
    <w:rPr>
      <w:rFonts w:ascii="Calibri" w:hAnsi="Calibri" w:eastAsia="宋体" w:cs="Times New Roman"/>
    </w:rPr>
  </w:style>
  <w:style w:type="character" w:customStyle="1" w:styleId="36">
    <w:name w:val="批注主题 Char"/>
    <w:basedOn w:val="35"/>
    <w:link w:val="23"/>
    <w:semiHidden/>
    <w:qFormat/>
    <w:uiPriority w:val="99"/>
    <w:rPr>
      <w:rFonts w:ascii="Calibri" w:hAnsi="Calibri" w:eastAsia="宋体" w:cs="Times New Roman"/>
      <w:b/>
      <w:bCs/>
    </w:rPr>
  </w:style>
  <w:style w:type="character" w:customStyle="1" w:styleId="37">
    <w:name w:val="正文文本 Char"/>
    <w:basedOn w:val="26"/>
    <w:link w:val="9"/>
    <w:qFormat/>
    <w:uiPriority w:val="0"/>
    <w:rPr>
      <w:rFonts w:ascii="Times New Roman" w:hAnsi="Times New Roman" w:eastAsia="宋体" w:cs="Times New Roman"/>
      <w:szCs w:val="24"/>
    </w:rPr>
  </w:style>
  <w:style w:type="character" w:customStyle="1" w:styleId="38">
    <w:name w:val="正文文本缩进 Char"/>
    <w:basedOn w:val="26"/>
    <w:link w:val="10"/>
    <w:qFormat/>
    <w:uiPriority w:val="0"/>
    <w:rPr>
      <w:rFonts w:ascii="Times New Roman" w:hAnsi="Times New Roman" w:eastAsia="宋体" w:cs="Times New Roman"/>
      <w:szCs w:val="24"/>
    </w:rPr>
  </w:style>
  <w:style w:type="character" w:customStyle="1" w:styleId="39">
    <w:name w:val="纯文本 Char"/>
    <w:basedOn w:val="26"/>
    <w:link w:val="12"/>
    <w:qFormat/>
    <w:uiPriority w:val="99"/>
    <w:rPr>
      <w:rFonts w:ascii="宋体" w:hAnsi="Courier New" w:eastAsia="宋体" w:cs="Times New Roman"/>
      <w:szCs w:val="21"/>
    </w:rPr>
  </w:style>
  <w:style w:type="character" w:customStyle="1" w:styleId="40">
    <w:name w:val="日期 Char"/>
    <w:basedOn w:val="26"/>
    <w:link w:val="13"/>
    <w:qFormat/>
    <w:uiPriority w:val="99"/>
    <w:rPr>
      <w:rFonts w:ascii="Calibri" w:hAnsi="Calibri" w:eastAsia="宋体" w:cs="Times New Roman"/>
    </w:rPr>
  </w:style>
  <w:style w:type="character" w:customStyle="1" w:styleId="41">
    <w:name w:val="批注框文本 Char"/>
    <w:basedOn w:val="26"/>
    <w:link w:val="15"/>
    <w:semiHidden/>
    <w:qFormat/>
    <w:uiPriority w:val="99"/>
    <w:rPr>
      <w:rFonts w:ascii="Calibri" w:hAnsi="Calibri" w:eastAsia="宋体" w:cs="Times New Roman"/>
      <w:sz w:val="18"/>
      <w:szCs w:val="18"/>
    </w:rPr>
  </w:style>
  <w:style w:type="character" w:customStyle="1" w:styleId="42">
    <w:name w:val="正文文本缩进 3 Char"/>
    <w:basedOn w:val="26"/>
    <w:link w:val="19"/>
    <w:qFormat/>
    <w:uiPriority w:val="0"/>
    <w:rPr>
      <w:rFonts w:ascii="Times New Roman" w:hAnsi="Times New Roman" w:eastAsia="宋体" w:cs="Times New Roman"/>
      <w:sz w:val="16"/>
      <w:szCs w:val="16"/>
    </w:rPr>
  </w:style>
  <w:style w:type="character" w:customStyle="1" w:styleId="43">
    <w:name w:val="HTML 预设格式 Char"/>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Char"/>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7">
    <w:name w:val="列出段落1"/>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Char"/>
    <w:basedOn w:val="26"/>
    <w:link w:val="7"/>
    <w:semiHidden/>
    <w:qFormat/>
    <w:uiPriority w:val="99"/>
    <w:rPr>
      <w:rFonts w:ascii="宋体" w:hAnsi="Calibri" w:eastAsia="宋体" w:cs="Times New Roman"/>
      <w:kern w:val="2"/>
      <w:sz w:val="18"/>
      <w:szCs w:val="18"/>
    </w:rPr>
  </w:style>
  <w:style w:type="character" w:customStyle="1" w:styleId="70">
    <w:name w:val="标题 3 Char"/>
    <w:basedOn w:val="26"/>
    <w:link w:val="5"/>
    <w:semiHidden/>
    <w:qFormat/>
    <w:uiPriority w:val="9"/>
    <w:rPr>
      <w:rFonts w:ascii="Calibri" w:hAnsi="Calibri" w:eastAsia="宋体" w:cs="Times New Roman"/>
      <w:b/>
      <w:bCs/>
      <w:kern w:val="2"/>
      <w:sz w:val="32"/>
      <w:szCs w:val="32"/>
    </w:rPr>
  </w:style>
  <w:style w:type="paragraph" w:customStyle="1" w:styleId="71">
    <w:name w:val="列出段落11"/>
    <w:basedOn w:val="1"/>
    <w:qFormat/>
    <w:uiPriority w:val="0"/>
    <w:pPr>
      <w:ind w:firstLine="420"/>
    </w:pPr>
    <w:rPr>
      <w:rFonts w:cs="Calibri"/>
      <w:szCs w:val="21"/>
    </w:rPr>
  </w:style>
  <w:style w:type="paragraph" w:customStyle="1" w:styleId="72">
    <w:name w:val="标题2"/>
    <w:basedOn w:val="1"/>
    <w:qFormat/>
    <w:uiPriority w:val="0"/>
    <w:pPr>
      <w:adjustRightInd w:val="0"/>
      <w:snapToGrid w:val="0"/>
      <w:spacing w:line="560" w:lineRule="exact"/>
      <w:ind w:firstLine="200" w:firstLineChars="200"/>
      <w:outlineLvl w:val="1"/>
    </w:pPr>
    <w:rPr>
      <w:rFonts w:ascii="宋体" w:hAnsi="宋体"/>
      <w:b/>
      <w:sz w:val="28"/>
      <w:szCs w:val="28"/>
    </w:rPr>
  </w:style>
  <w:style w:type="paragraph" w:customStyle="1" w:styleId="73">
    <w:name w:val="标题3"/>
    <w:basedOn w:val="12"/>
    <w:qFormat/>
    <w:uiPriority w:val="0"/>
    <w:pPr>
      <w:adjustRightInd w:val="0"/>
      <w:snapToGrid w:val="0"/>
      <w:spacing w:line="560" w:lineRule="exact"/>
      <w:ind w:firstLine="200" w:firstLineChars="200"/>
      <w:outlineLvl w:val="2"/>
    </w:pPr>
    <w:rPr>
      <w:rFonts w:hAnsi="宋体" w:cs="仿宋_GB2312"/>
      <w:b/>
      <w:kern w:val="0"/>
      <w:sz w:val="28"/>
      <w:szCs w:val="28"/>
    </w:rPr>
  </w:style>
  <w:style w:type="paragraph" w:styleId="74">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6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08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0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568045-0731-4ECF-A728-8429756EDB4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6105</Words>
  <Characters>34803</Characters>
  <Lines>290</Lines>
  <Paragraphs>81</Paragraphs>
  <TotalTime>4</TotalTime>
  <ScaleCrop>false</ScaleCrop>
  <LinksUpToDate>false</LinksUpToDate>
  <CharactersWithSpaces>40827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2022-01-06T12:21:00Z</dcterms:created>
  <dc:creator>Windows 用户</dc:creator>
  <cp:lastModifiedBy>一缕晨辉</cp:lastModifiedBy>
  <cp:lastPrinted>2022-12-13T03:12:00Z</cp:lastPrinted>
  <dcterms:modified xsi:type="dcterms:W3CDTF">2023-12-01T01:13:34Z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2052-12.1.0.15990</vt:lpwstr>
  </property>
  <property fmtid="{D5CDD505-2E9C-101B-9397-08002B2CF9AE}" pid="4" name="ICV">
    <vt:lpwstr>D96D35CA08994175962A0E674F841480</vt:lpwstr>
  </property>
</Properties>
</file>