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3AAE51">
      <w:pPr>
        <w:widowControl/>
        <w:jc w:val="left"/>
        <w:rPr>
          <w:b/>
          <w:sz w:val="52"/>
          <w:szCs w:val="52"/>
        </w:rPr>
      </w:pPr>
      <w:bookmarkStart w:id="0" w:name="_Toc303837889"/>
      <w:bookmarkStart w:id="1" w:name="_Toc405393372"/>
      <w:bookmarkStart w:id="2" w:name="_Toc407697887"/>
      <w:bookmarkStart w:id="3" w:name="_Toc305418726"/>
      <w:bookmarkStart w:id="4" w:name="_Toc46303703"/>
      <w:bookmarkStart w:id="5" w:name="_Toc407696129"/>
      <w:bookmarkStart w:id="6" w:name="_Hlk11185683"/>
    </w:p>
    <w:p w14:paraId="2CB70638">
      <w:pPr>
        <w:widowControl/>
        <w:spacing w:line="720" w:lineRule="auto"/>
        <w:jc w:val="left"/>
        <w:rPr>
          <w:b/>
          <w:sz w:val="44"/>
          <w:szCs w:val="44"/>
        </w:rPr>
      </w:pPr>
      <w:r>
        <w:rPr>
          <w:b/>
          <w:sz w:val="44"/>
          <w:szCs w:val="44"/>
        </w:rPr>
        <w:drawing>
          <wp:inline distT="0" distB="0" distL="0" distR="0">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14:paraId="1777122B">
      <w:pPr>
        <w:spacing w:line="360" w:lineRule="auto"/>
        <w:jc w:val="distribute"/>
        <w:rPr>
          <w:rFonts w:hint="eastAsia" w:ascii="黑体" w:hAnsi="黑体" w:eastAsia="黑体"/>
          <w:b/>
          <w:bCs/>
          <w:spacing w:val="24"/>
          <w:sz w:val="84"/>
          <w:szCs w:val="84"/>
        </w:rPr>
      </w:pPr>
    </w:p>
    <w:p w14:paraId="02437CAA">
      <w:pPr>
        <w:spacing w:line="360" w:lineRule="auto"/>
        <w:jc w:val="distribute"/>
        <w:rPr>
          <w:rFonts w:hint="eastAsia"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rPr>
        <w:t>4级人才培养方案</w:t>
      </w:r>
    </w:p>
    <w:p w14:paraId="33CA2177">
      <w:pPr>
        <w:spacing w:line="360" w:lineRule="auto"/>
        <w:jc w:val="center"/>
        <w:rPr>
          <w:rFonts w:hint="eastAsia" w:ascii="黑体" w:hAnsi="黑体" w:eastAsia="黑体"/>
          <w:b/>
          <w:bCs/>
          <w:spacing w:val="24"/>
          <w:sz w:val="84"/>
          <w:szCs w:val="84"/>
        </w:rPr>
      </w:pPr>
    </w:p>
    <w:p w14:paraId="67B6AA8D">
      <w:pPr>
        <w:jc w:val="center"/>
        <w:rPr>
          <w:rFonts w:hint="eastAsia" w:ascii="宋体" w:hAnsi="宋体"/>
          <w:b/>
          <w:bCs/>
          <w:spacing w:val="24"/>
          <w:sz w:val="66"/>
          <w:szCs w:val="66"/>
        </w:rPr>
      </w:pPr>
      <w:r>
        <w:rPr>
          <w:rFonts w:hint="eastAsia" w:ascii="宋体" w:hAnsi="宋体"/>
          <w:b/>
          <w:bCs/>
          <w:spacing w:val="24"/>
          <w:sz w:val="66"/>
          <w:szCs w:val="66"/>
        </w:rPr>
        <w:t>现代物流管理专业</w:t>
      </w:r>
    </w:p>
    <w:p w14:paraId="36F0E624">
      <w:pPr>
        <w:jc w:val="center"/>
        <w:rPr>
          <w:rFonts w:hint="eastAsia" w:ascii="黑体" w:hAnsi="黑体" w:eastAsia="黑体"/>
          <w:b/>
          <w:sz w:val="84"/>
          <w:szCs w:val="84"/>
        </w:rPr>
      </w:pPr>
    </w:p>
    <w:p w14:paraId="4451C4CC">
      <w:pPr>
        <w:jc w:val="center"/>
        <w:rPr>
          <w:b/>
          <w:sz w:val="44"/>
          <w:szCs w:val="44"/>
        </w:rPr>
      </w:pPr>
    </w:p>
    <w:p w14:paraId="2531B457">
      <w:pPr>
        <w:rPr>
          <w:b/>
          <w:sz w:val="44"/>
          <w:szCs w:val="44"/>
        </w:rPr>
      </w:pPr>
    </w:p>
    <w:p w14:paraId="4099297F">
      <w:pPr>
        <w:jc w:val="center"/>
        <w:rPr>
          <w:b/>
          <w:sz w:val="44"/>
          <w:szCs w:val="44"/>
        </w:rPr>
      </w:pPr>
    </w:p>
    <w:p w14:paraId="6AF272DD">
      <w:pPr>
        <w:jc w:val="center"/>
        <w:rPr>
          <w:b/>
          <w:sz w:val="44"/>
          <w:szCs w:val="44"/>
        </w:rPr>
      </w:pPr>
    </w:p>
    <w:p w14:paraId="6AE718E7">
      <w:pPr>
        <w:pStyle w:val="2"/>
        <w:ind w:firstLine="0" w:firstLineChars="0"/>
        <w:rPr>
          <w:rFonts w:hint="eastAsia"/>
          <w:b/>
          <w:sz w:val="44"/>
          <w:szCs w:val="44"/>
        </w:rPr>
      </w:pPr>
    </w:p>
    <w:p w14:paraId="398A0457">
      <w:pPr>
        <w:autoSpaceDE w:val="0"/>
        <w:autoSpaceDN w:val="0"/>
        <w:adjustRightInd w:val="0"/>
        <w:spacing w:line="500" w:lineRule="exact"/>
        <w:jc w:val="center"/>
        <w:rPr>
          <w:rFonts w:ascii="楷体_GB2312" w:eastAsia="楷体_GB2312" w:cs="仿宋_GB2312"/>
          <w:bCs/>
          <w:color w:val="000000"/>
          <w:kern w:val="0"/>
          <w:sz w:val="44"/>
          <w:szCs w:val="44"/>
        </w:rPr>
      </w:pPr>
    </w:p>
    <w:p w14:paraId="4FDABDD9">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二〇二四年</w:t>
      </w:r>
      <w:r>
        <w:rPr>
          <w:rFonts w:hint="eastAsia" w:ascii="楷体_GB2312" w:eastAsia="楷体_GB2312" w:cs="仿宋_GB2312"/>
          <w:bCs/>
          <w:color w:val="000000"/>
          <w:kern w:val="0"/>
          <w:sz w:val="44"/>
          <w:szCs w:val="44"/>
          <w:lang w:eastAsia="zh-CN"/>
        </w:rPr>
        <w:t>九</w:t>
      </w:r>
      <w:r>
        <w:rPr>
          <w:rFonts w:hint="eastAsia" w:ascii="楷体_GB2312" w:eastAsia="楷体_GB2312" w:cs="仿宋_GB2312"/>
          <w:bCs/>
          <w:color w:val="000000"/>
          <w:kern w:val="0"/>
          <w:sz w:val="44"/>
          <w:szCs w:val="44"/>
        </w:rPr>
        <w:t>月</w:t>
      </w:r>
    </w:p>
    <w:p w14:paraId="0D1D423E">
      <w:pPr>
        <w:autoSpaceDE w:val="0"/>
        <w:autoSpaceDN w:val="0"/>
        <w:adjustRightInd w:val="0"/>
        <w:spacing w:line="500" w:lineRule="exact"/>
        <w:jc w:val="center"/>
        <w:rPr>
          <w:rFonts w:ascii="楷体_GB2312" w:eastAsia="楷体_GB2312" w:cs="仿宋_GB2312"/>
          <w:bCs/>
          <w:color w:val="000000"/>
          <w:kern w:val="0"/>
          <w:sz w:val="44"/>
          <w:szCs w:val="44"/>
        </w:rPr>
      </w:pPr>
    </w:p>
    <w:p w14:paraId="4B4379BF">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教学科研部</w:t>
      </w:r>
    </w:p>
    <w:p w14:paraId="1BE30927">
      <w:pPr>
        <w:pStyle w:val="2"/>
        <w:ind w:firstLine="420"/>
        <w:rPr>
          <w:rFonts w:hint="eastAsia"/>
        </w:rPr>
      </w:pPr>
      <w:r>
        <w:br w:type="page"/>
      </w:r>
    </w:p>
    <w:p w14:paraId="310BDB0F">
      <w:pPr>
        <w:autoSpaceDE w:val="0"/>
        <w:autoSpaceDN w:val="0"/>
        <w:adjustRightInd w:val="0"/>
        <w:spacing w:line="500" w:lineRule="exact"/>
        <w:jc w:val="center"/>
        <w:rPr>
          <w:rFonts w:hint="eastAsia"/>
          <w:lang w:val="en-US"/>
        </w:rPr>
      </w:pPr>
      <w:r>
        <w:rPr>
          <w:rFonts w:hint="eastAsia" w:ascii="楷体_GB2312" w:eastAsia="楷体_GB2312" w:cs="仿宋_GB2312"/>
          <w:bCs/>
          <w:color w:val="000000"/>
          <w:kern w:val="0"/>
          <w:sz w:val="44"/>
          <w:szCs w:val="44"/>
        </w:rPr>
        <w:t>目录</w:t>
      </w:r>
    </w:p>
    <w:p w14:paraId="3E9251D1">
      <w:pPr>
        <w:tabs>
          <w:tab w:val="right" w:leader="dot" w:pos="8306"/>
        </w:tabs>
      </w:pPr>
      <w:r>
        <w:fldChar w:fldCharType="begin"/>
      </w:r>
      <w:r>
        <w:instrText xml:space="preserve">TOC \o "1-2" \h \u </w:instrText>
      </w:r>
      <w:r>
        <w:fldChar w:fldCharType="separate"/>
      </w:r>
    </w:p>
    <w:p w14:paraId="30EC2212">
      <w:pPr>
        <w:tabs>
          <w:tab w:val="right" w:leader="dot" w:pos="8306"/>
        </w:tabs>
        <w:spacing w:line="240" w:lineRule="auto"/>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"_Toc8455" </w:instrText>
      </w:r>
      <w:r>
        <w:rPr>
          <w:rFonts w:hint="eastAsia" w:ascii="黑体" w:hAnsi="黑体" w:eastAsia="黑体" w:cs="黑体"/>
          <w:sz w:val="28"/>
          <w:szCs w:val="28"/>
        </w:rPr>
        <w:fldChar w:fldCharType="separate"/>
      </w:r>
      <w:r>
        <w:rPr>
          <w:rFonts w:hint="eastAsia" w:ascii="黑体" w:hAnsi="黑体" w:eastAsia="黑体" w:cs="黑体"/>
          <w:bCs/>
          <w:kern w:val="44"/>
          <w:sz w:val="28"/>
          <w:szCs w:val="28"/>
        </w:rPr>
        <w:t>一、 专业名称及代码</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_Toc8455 \h </w:instrText>
      </w:r>
      <w:r>
        <w:rPr>
          <w:rFonts w:hint="eastAsia" w:ascii="黑体" w:hAnsi="黑体" w:eastAsia="黑体" w:cs="黑体"/>
          <w:sz w:val="28"/>
          <w:szCs w:val="28"/>
        </w:rPr>
        <w:fldChar w:fldCharType="separate"/>
      </w:r>
      <w:r>
        <w:rPr>
          <w:rFonts w:hint="eastAsia" w:ascii="黑体" w:hAnsi="黑体" w:eastAsia="黑体" w:cs="黑体"/>
          <w:sz w:val="28"/>
          <w:szCs w:val="28"/>
        </w:rPr>
        <w:t>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0BF2FD50">
      <w:pPr>
        <w:tabs>
          <w:tab w:val="right" w:leader="dot" w:pos="8306"/>
        </w:tabs>
        <w:spacing w:line="240" w:lineRule="auto"/>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"_Toc758" </w:instrText>
      </w:r>
      <w:r>
        <w:rPr>
          <w:rFonts w:hint="eastAsia" w:ascii="黑体" w:hAnsi="黑体" w:eastAsia="黑体" w:cs="黑体"/>
          <w:sz w:val="28"/>
          <w:szCs w:val="28"/>
        </w:rPr>
        <w:fldChar w:fldCharType="separate"/>
      </w:r>
      <w:r>
        <w:rPr>
          <w:rFonts w:hint="eastAsia" w:ascii="黑体" w:hAnsi="黑体" w:eastAsia="黑体" w:cs="黑体"/>
          <w:bCs/>
          <w:kern w:val="44"/>
          <w:sz w:val="28"/>
          <w:szCs w:val="28"/>
        </w:rPr>
        <w:t>二、入学要求</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_Toc758 \h </w:instrText>
      </w:r>
      <w:r>
        <w:rPr>
          <w:rFonts w:hint="eastAsia" w:ascii="黑体" w:hAnsi="黑体" w:eastAsia="黑体" w:cs="黑体"/>
          <w:sz w:val="28"/>
          <w:szCs w:val="28"/>
        </w:rPr>
        <w:fldChar w:fldCharType="separate"/>
      </w:r>
      <w:r>
        <w:rPr>
          <w:rFonts w:hint="eastAsia" w:ascii="黑体" w:hAnsi="黑体" w:eastAsia="黑体" w:cs="黑体"/>
          <w:sz w:val="28"/>
          <w:szCs w:val="28"/>
        </w:rPr>
        <w:t>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16A6343F">
      <w:pPr>
        <w:tabs>
          <w:tab w:val="right" w:leader="dot" w:pos="8306"/>
        </w:tabs>
        <w:spacing w:line="240" w:lineRule="auto"/>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"_Toc2983" </w:instrText>
      </w:r>
      <w:r>
        <w:rPr>
          <w:rFonts w:hint="eastAsia" w:ascii="黑体" w:hAnsi="黑体" w:eastAsia="黑体" w:cs="黑体"/>
          <w:sz w:val="28"/>
          <w:szCs w:val="28"/>
        </w:rPr>
        <w:fldChar w:fldCharType="separate"/>
      </w:r>
      <w:r>
        <w:rPr>
          <w:rFonts w:hint="eastAsia" w:ascii="黑体" w:hAnsi="黑体" w:eastAsia="黑体" w:cs="黑体"/>
          <w:bCs/>
          <w:kern w:val="44"/>
          <w:sz w:val="28"/>
          <w:szCs w:val="28"/>
        </w:rPr>
        <w:t>三、修业年限</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_Toc2983 \h </w:instrText>
      </w:r>
      <w:r>
        <w:rPr>
          <w:rFonts w:hint="eastAsia" w:ascii="黑体" w:hAnsi="黑体" w:eastAsia="黑体" w:cs="黑体"/>
          <w:sz w:val="28"/>
          <w:szCs w:val="28"/>
        </w:rPr>
        <w:fldChar w:fldCharType="separate"/>
      </w:r>
      <w:r>
        <w:rPr>
          <w:rFonts w:hint="eastAsia" w:ascii="黑体" w:hAnsi="黑体" w:eastAsia="黑体" w:cs="黑体"/>
          <w:sz w:val="28"/>
          <w:szCs w:val="28"/>
        </w:rPr>
        <w:t>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7715F5C5">
      <w:pPr>
        <w:tabs>
          <w:tab w:val="right" w:leader="dot" w:pos="8306"/>
        </w:tabs>
        <w:spacing w:line="240" w:lineRule="auto"/>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"_Toc12742" </w:instrText>
      </w:r>
      <w:r>
        <w:rPr>
          <w:rFonts w:hint="eastAsia" w:ascii="黑体" w:hAnsi="黑体" w:eastAsia="黑体" w:cs="黑体"/>
          <w:sz w:val="28"/>
          <w:szCs w:val="28"/>
        </w:rPr>
        <w:fldChar w:fldCharType="separate"/>
      </w:r>
      <w:r>
        <w:rPr>
          <w:rFonts w:hint="eastAsia" w:ascii="黑体" w:hAnsi="黑体" w:eastAsia="黑体" w:cs="黑体"/>
          <w:bCs/>
          <w:kern w:val="44"/>
          <w:sz w:val="28"/>
          <w:szCs w:val="28"/>
        </w:rPr>
        <w:t>四、职业面向</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_Toc12742 \h </w:instrText>
      </w:r>
      <w:r>
        <w:rPr>
          <w:rFonts w:hint="eastAsia" w:ascii="黑体" w:hAnsi="黑体" w:eastAsia="黑体" w:cs="黑体"/>
          <w:sz w:val="28"/>
          <w:szCs w:val="28"/>
        </w:rPr>
        <w:fldChar w:fldCharType="separate"/>
      </w:r>
      <w:r>
        <w:rPr>
          <w:rFonts w:hint="eastAsia" w:ascii="黑体" w:hAnsi="黑体" w:eastAsia="黑体" w:cs="黑体"/>
          <w:sz w:val="28"/>
          <w:szCs w:val="28"/>
        </w:rPr>
        <w:t>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7402EC1B">
      <w:pPr>
        <w:tabs>
          <w:tab w:val="right" w:leader="dot" w:pos="8306"/>
        </w:tabs>
        <w:spacing w:line="240" w:lineRule="auto"/>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"_Toc23489" </w:instrText>
      </w:r>
      <w:r>
        <w:rPr>
          <w:rFonts w:hint="eastAsia" w:ascii="黑体" w:hAnsi="黑体" w:eastAsia="黑体" w:cs="黑体"/>
          <w:sz w:val="28"/>
          <w:szCs w:val="28"/>
        </w:rPr>
        <w:fldChar w:fldCharType="separate"/>
      </w:r>
      <w:r>
        <w:rPr>
          <w:rFonts w:hint="eastAsia" w:ascii="黑体" w:hAnsi="黑体" w:eastAsia="黑体" w:cs="黑体"/>
          <w:bCs/>
          <w:kern w:val="44"/>
          <w:sz w:val="28"/>
          <w:szCs w:val="28"/>
        </w:rPr>
        <w:t>五、培养目标及培养规格</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_Toc23489 \h </w:instrText>
      </w:r>
      <w:r>
        <w:rPr>
          <w:rFonts w:hint="eastAsia" w:ascii="黑体" w:hAnsi="黑体" w:eastAsia="黑体" w:cs="黑体"/>
          <w:sz w:val="28"/>
          <w:szCs w:val="28"/>
        </w:rPr>
        <w:fldChar w:fldCharType="separate"/>
      </w:r>
      <w:r>
        <w:rPr>
          <w:rFonts w:hint="eastAsia" w:ascii="黑体" w:hAnsi="黑体" w:eastAsia="黑体" w:cs="黑体"/>
          <w:sz w:val="28"/>
          <w:szCs w:val="28"/>
        </w:rPr>
        <w:t>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33030516">
      <w:pPr>
        <w:tabs>
          <w:tab w:val="right" w:leader="dot" w:pos="8306"/>
        </w:tabs>
        <w:spacing w:line="240" w:lineRule="auto"/>
        <w:ind w:left="420" w:leftChars="200"/>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"_Toc12791" </w:instrText>
      </w:r>
      <w:r>
        <w:rPr>
          <w:rFonts w:hint="eastAsia" w:ascii="黑体" w:hAnsi="黑体" w:eastAsia="黑体" w:cs="黑体"/>
          <w:sz w:val="28"/>
          <w:szCs w:val="28"/>
        </w:rPr>
        <w:fldChar w:fldCharType="separate"/>
      </w:r>
      <w:r>
        <w:rPr>
          <w:rFonts w:hint="eastAsia" w:ascii="黑体" w:hAnsi="黑体" w:eastAsia="黑体" w:cs="黑体"/>
          <w:bCs/>
          <w:sz w:val="28"/>
          <w:szCs w:val="28"/>
        </w:rPr>
        <w:t>（一）培养目标</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_Toc12791 \h </w:instrText>
      </w:r>
      <w:r>
        <w:rPr>
          <w:rFonts w:hint="eastAsia" w:ascii="黑体" w:hAnsi="黑体" w:eastAsia="黑体" w:cs="黑体"/>
          <w:sz w:val="28"/>
          <w:szCs w:val="28"/>
        </w:rPr>
        <w:fldChar w:fldCharType="separate"/>
      </w:r>
      <w:r>
        <w:rPr>
          <w:rFonts w:hint="eastAsia" w:ascii="黑体" w:hAnsi="黑体" w:eastAsia="黑体" w:cs="黑体"/>
          <w:sz w:val="28"/>
          <w:szCs w:val="28"/>
        </w:rPr>
        <w:t>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2ABEB079">
      <w:pPr>
        <w:tabs>
          <w:tab w:val="right" w:leader="dot" w:pos="8306"/>
        </w:tabs>
        <w:spacing w:line="240" w:lineRule="auto"/>
        <w:ind w:left="420" w:leftChars="200"/>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"_Toc30546" </w:instrText>
      </w:r>
      <w:r>
        <w:rPr>
          <w:rFonts w:hint="eastAsia" w:ascii="黑体" w:hAnsi="黑体" w:eastAsia="黑体" w:cs="黑体"/>
          <w:sz w:val="28"/>
          <w:szCs w:val="28"/>
        </w:rPr>
        <w:fldChar w:fldCharType="separate"/>
      </w:r>
      <w:r>
        <w:rPr>
          <w:rFonts w:hint="eastAsia" w:ascii="黑体" w:hAnsi="黑体" w:eastAsia="黑体" w:cs="黑体"/>
          <w:bCs/>
          <w:sz w:val="28"/>
          <w:szCs w:val="28"/>
        </w:rPr>
        <w:t>（二）培养规格</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_Toc30546 \h </w:instrText>
      </w:r>
      <w:r>
        <w:rPr>
          <w:rFonts w:hint="eastAsia" w:ascii="黑体" w:hAnsi="黑体" w:eastAsia="黑体" w:cs="黑体"/>
          <w:sz w:val="28"/>
          <w:szCs w:val="28"/>
        </w:rPr>
        <w:fldChar w:fldCharType="separate"/>
      </w:r>
      <w:r>
        <w:rPr>
          <w:rFonts w:hint="eastAsia" w:ascii="黑体" w:hAnsi="黑体" w:eastAsia="黑体" w:cs="黑体"/>
          <w:sz w:val="28"/>
          <w:szCs w:val="28"/>
        </w:rPr>
        <w:t>2</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364A1D1F">
      <w:pPr>
        <w:tabs>
          <w:tab w:val="right" w:leader="dot" w:pos="8306"/>
        </w:tabs>
        <w:spacing w:line="240" w:lineRule="auto"/>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"_Toc11119" </w:instrText>
      </w:r>
      <w:r>
        <w:rPr>
          <w:rFonts w:hint="eastAsia" w:ascii="黑体" w:hAnsi="黑体" w:eastAsia="黑体" w:cs="黑体"/>
          <w:sz w:val="28"/>
          <w:szCs w:val="28"/>
        </w:rPr>
        <w:fldChar w:fldCharType="separate"/>
      </w:r>
      <w:r>
        <w:rPr>
          <w:rFonts w:hint="eastAsia" w:ascii="黑体" w:hAnsi="黑体" w:eastAsia="黑体" w:cs="黑体"/>
          <w:bCs/>
          <w:kern w:val="44"/>
          <w:sz w:val="28"/>
          <w:szCs w:val="28"/>
        </w:rPr>
        <w:t>六、人才培养模式</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_Toc11119 \h </w:instrText>
      </w:r>
      <w:r>
        <w:rPr>
          <w:rFonts w:hint="eastAsia" w:ascii="黑体" w:hAnsi="黑体" w:eastAsia="黑体" w:cs="黑体"/>
          <w:sz w:val="28"/>
          <w:szCs w:val="28"/>
        </w:rPr>
        <w:fldChar w:fldCharType="separate"/>
      </w:r>
      <w:r>
        <w:rPr>
          <w:rFonts w:hint="eastAsia" w:ascii="黑体" w:hAnsi="黑体" w:eastAsia="黑体" w:cs="黑体"/>
          <w:sz w:val="28"/>
          <w:szCs w:val="28"/>
        </w:rPr>
        <w:t>3</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1FE6EE1C">
      <w:pPr>
        <w:tabs>
          <w:tab w:val="right" w:leader="dot" w:pos="8306"/>
        </w:tabs>
        <w:spacing w:line="240" w:lineRule="auto"/>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"_Toc32366" </w:instrText>
      </w:r>
      <w:r>
        <w:rPr>
          <w:rFonts w:hint="eastAsia" w:ascii="黑体" w:hAnsi="黑体" w:eastAsia="黑体" w:cs="黑体"/>
          <w:sz w:val="28"/>
          <w:szCs w:val="28"/>
        </w:rPr>
        <w:fldChar w:fldCharType="separate"/>
      </w:r>
      <w:r>
        <w:rPr>
          <w:rFonts w:hint="eastAsia" w:ascii="黑体" w:hAnsi="黑体" w:eastAsia="黑体" w:cs="黑体"/>
          <w:bCs/>
          <w:kern w:val="44"/>
          <w:sz w:val="28"/>
          <w:szCs w:val="28"/>
        </w:rPr>
        <w:t>七、课程体系</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_Toc32366 \h </w:instrText>
      </w:r>
      <w:r>
        <w:rPr>
          <w:rFonts w:hint="eastAsia" w:ascii="黑体" w:hAnsi="黑体" w:eastAsia="黑体" w:cs="黑体"/>
          <w:sz w:val="28"/>
          <w:szCs w:val="28"/>
        </w:rPr>
        <w:fldChar w:fldCharType="separate"/>
      </w:r>
      <w:r>
        <w:rPr>
          <w:rFonts w:hint="eastAsia" w:ascii="黑体" w:hAnsi="黑体" w:eastAsia="黑体" w:cs="黑体"/>
          <w:sz w:val="28"/>
          <w:szCs w:val="28"/>
        </w:rPr>
        <w:t>4</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1F3BE237">
      <w:pPr>
        <w:tabs>
          <w:tab w:val="right" w:leader="dot" w:pos="8306"/>
        </w:tabs>
        <w:spacing w:line="240" w:lineRule="auto"/>
        <w:ind w:left="420" w:leftChars="200"/>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"_Toc5708" </w:instrText>
      </w:r>
      <w:r>
        <w:rPr>
          <w:rFonts w:hint="eastAsia" w:ascii="黑体" w:hAnsi="黑体" w:eastAsia="黑体" w:cs="黑体"/>
          <w:sz w:val="28"/>
          <w:szCs w:val="28"/>
        </w:rPr>
        <w:fldChar w:fldCharType="separate"/>
      </w:r>
      <w:r>
        <w:rPr>
          <w:rFonts w:hint="eastAsia" w:ascii="黑体" w:hAnsi="黑体" w:eastAsia="黑体" w:cs="黑体"/>
          <w:bCs/>
          <w:sz w:val="28"/>
          <w:szCs w:val="28"/>
        </w:rPr>
        <w:t>（一）课程体系构建</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_Toc5708 \h </w:instrText>
      </w:r>
      <w:r>
        <w:rPr>
          <w:rFonts w:hint="eastAsia" w:ascii="黑体" w:hAnsi="黑体" w:eastAsia="黑体" w:cs="黑体"/>
          <w:sz w:val="28"/>
          <w:szCs w:val="28"/>
        </w:rPr>
        <w:fldChar w:fldCharType="separate"/>
      </w:r>
      <w:r>
        <w:rPr>
          <w:rFonts w:hint="eastAsia" w:ascii="黑体" w:hAnsi="黑体" w:eastAsia="黑体" w:cs="黑体"/>
          <w:sz w:val="28"/>
          <w:szCs w:val="28"/>
        </w:rPr>
        <w:t>4</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2F150B9C">
      <w:pPr>
        <w:tabs>
          <w:tab w:val="right" w:leader="dot" w:pos="8306"/>
        </w:tabs>
        <w:spacing w:line="240" w:lineRule="auto"/>
        <w:ind w:left="420" w:leftChars="200"/>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"_Toc13136" </w:instrText>
      </w:r>
      <w:r>
        <w:rPr>
          <w:rFonts w:hint="eastAsia" w:ascii="黑体" w:hAnsi="黑体" w:eastAsia="黑体" w:cs="黑体"/>
          <w:sz w:val="28"/>
          <w:szCs w:val="28"/>
        </w:rPr>
        <w:fldChar w:fldCharType="separate"/>
      </w:r>
      <w:r>
        <w:rPr>
          <w:rFonts w:hint="eastAsia" w:ascii="黑体" w:hAnsi="黑体" w:eastAsia="黑体" w:cs="黑体"/>
          <w:bCs/>
          <w:sz w:val="28"/>
          <w:szCs w:val="28"/>
        </w:rPr>
        <w:t>（二）课程设置及描述</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_Toc13136 \h </w:instrText>
      </w:r>
      <w:r>
        <w:rPr>
          <w:rFonts w:hint="eastAsia" w:ascii="黑体" w:hAnsi="黑体" w:eastAsia="黑体" w:cs="黑体"/>
          <w:sz w:val="28"/>
          <w:szCs w:val="28"/>
        </w:rPr>
        <w:fldChar w:fldCharType="separate"/>
      </w:r>
      <w:r>
        <w:rPr>
          <w:rFonts w:hint="eastAsia" w:ascii="黑体" w:hAnsi="黑体" w:eastAsia="黑体" w:cs="黑体"/>
          <w:sz w:val="28"/>
          <w:szCs w:val="28"/>
        </w:rPr>
        <w:t>6</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3F0450F1">
      <w:pPr>
        <w:tabs>
          <w:tab w:val="right" w:leader="dot" w:pos="8306"/>
        </w:tabs>
        <w:spacing w:line="240" w:lineRule="auto"/>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"_Toc10465" </w:instrText>
      </w:r>
      <w:r>
        <w:rPr>
          <w:rFonts w:hint="eastAsia" w:ascii="黑体" w:hAnsi="黑体" w:eastAsia="黑体" w:cs="黑体"/>
          <w:sz w:val="28"/>
          <w:szCs w:val="28"/>
        </w:rPr>
        <w:fldChar w:fldCharType="separate"/>
      </w:r>
      <w:r>
        <w:rPr>
          <w:rFonts w:hint="eastAsia" w:ascii="黑体" w:hAnsi="黑体" w:eastAsia="黑体" w:cs="黑体"/>
          <w:bCs/>
          <w:kern w:val="44"/>
          <w:sz w:val="28"/>
          <w:szCs w:val="28"/>
        </w:rPr>
        <w:t>八、实践教学体系</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_Toc10465 \h </w:instrText>
      </w:r>
      <w:r>
        <w:rPr>
          <w:rFonts w:hint="eastAsia" w:ascii="黑体" w:hAnsi="黑体" w:eastAsia="黑体" w:cs="黑体"/>
          <w:sz w:val="28"/>
          <w:szCs w:val="28"/>
        </w:rPr>
        <w:fldChar w:fldCharType="separate"/>
      </w:r>
      <w:r>
        <w:rPr>
          <w:rFonts w:hint="eastAsia" w:ascii="黑体" w:hAnsi="黑体" w:eastAsia="黑体" w:cs="黑体"/>
          <w:sz w:val="28"/>
          <w:szCs w:val="28"/>
        </w:rPr>
        <w:t>14</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6F2358E8">
      <w:pPr>
        <w:tabs>
          <w:tab w:val="right" w:leader="dot" w:pos="8306"/>
        </w:tabs>
        <w:spacing w:line="240" w:lineRule="auto"/>
        <w:ind w:left="420" w:leftChars="200"/>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"_Toc13064" </w:instrText>
      </w:r>
      <w:r>
        <w:rPr>
          <w:rFonts w:hint="eastAsia" w:ascii="黑体" w:hAnsi="黑体" w:eastAsia="黑体" w:cs="黑体"/>
          <w:sz w:val="28"/>
          <w:szCs w:val="28"/>
        </w:rPr>
        <w:fldChar w:fldCharType="separate"/>
      </w:r>
      <w:r>
        <w:rPr>
          <w:rFonts w:hint="eastAsia" w:ascii="黑体" w:hAnsi="黑体" w:eastAsia="黑体" w:cs="黑体"/>
          <w:bCs/>
          <w:sz w:val="28"/>
          <w:szCs w:val="28"/>
        </w:rPr>
        <w:t>（一）内容架构</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_Toc13064 \h </w:instrText>
      </w:r>
      <w:r>
        <w:rPr>
          <w:rFonts w:hint="eastAsia" w:ascii="黑体" w:hAnsi="黑体" w:eastAsia="黑体" w:cs="黑体"/>
          <w:sz w:val="28"/>
          <w:szCs w:val="28"/>
        </w:rPr>
        <w:fldChar w:fldCharType="separate"/>
      </w:r>
      <w:r>
        <w:rPr>
          <w:rFonts w:hint="eastAsia" w:ascii="黑体" w:hAnsi="黑体" w:eastAsia="黑体" w:cs="黑体"/>
          <w:sz w:val="28"/>
          <w:szCs w:val="28"/>
        </w:rPr>
        <w:t>14</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4D6716E6">
      <w:pPr>
        <w:tabs>
          <w:tab w:val="right" w:leader="dot" w:pos="8306"/>
        </w:tabs>
        <w:spacing w:line="240" w:lineRule="auto"/>
        <w:ind w:left="420" w:leftChars="200"/>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"_Toc8690" </w:instrText>
      </w:r>
      <w:r>
        <w:rPr>
          <w:rFonts w:hint="eastAsia" w:ascii="黑体" w:hAnsi="黑体" w:eastAsia="黑体" w:cs="黑体"/>
          <w:sz w:val="28"/>
          <w:szCs w:val="28"/>
        </w:rPr>
        <w:fldChar w:fldCharType="separate"/>
      </w:r>
      <w:r>
        <w:rPr>
          <w:rFonts w:hint="eastAsia" w:ascii="黑体" w:hAnsi="黑体" w:eastAsia="黑体" w:cs="黑体"/>
          <w:bCs/>
          <w:sz w:val="28"/>
          <w:szCs w:val="28"/>
        </w:rPr>
        <w:t>（二）组织与实施</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_Toc8690 \h </w:instrText>
      </w:r>
      <w:r>
        <w:rPr>
          <w:rFonts w:hint="eastAsia" w:ascii="黑体" w:hAnsi="黑体" w:eastAsia="黑体" w:cs="黑体"/>
          <w:sz w:val="28"/>
          <w:szCs w:val="28"/>
        </w:rPr>
        <w:fldChar w:fldCharType="separate"/>
      </w:r>
      <w:r>
        <w:rPr>
          <w:rFonts w:hint="eastAsia" w:ascii="黑体" w:hAnsi="黑体" w:eastAsia="黑体" w:cs="黑体"/>
          <w:sz w:val="28"/>
          <w:szCs w:val="28"/>
        </w:rPr>
        <w:t>15</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06F28307">
      <w:pPr>
        <w:tabs>
          <w:tab w:val="right" w:leader="dot" w:pos="8306"/>
        </w:tabs>
        <w:spacing w:line="240" w:lineRule="auto"/>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"_Toc837" </w:instrText>
      </w:r>
      <w:r>
        <w:rPr>
          <w:rFonts w:hint="eastAsia" w:ascii="黑体" w:hAnsi="黑体" w:eastAsia="黑体" w:cs="黑体"/>
          <w:sz w:val="28"/>
          <w:szCs w:val="28"/>
        </w:rPr>
        <w:fldChar w:fldCharType="separate"/>
      </w:r>
      <w:r>
        <w:rPr>
          <w:rFonts w:hint="eastAsia" w:ascii="黑体" w:hAnsi="黑体" w:eastAsia="黑体" w:cs="黑体"/>
          <w:bCs/>
          <w:kern w:val="44"/>
          <w:sz w:val="28"/>
          <w:szCs w:val="28"/>
        </w:rPr>
        <w:t>九、课程思政教学体系</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_Toc837 \h </w:instrText>
      </w:r>
      <w:r>
        <w:rPr>
          <w:rFonts w:hint="eastAsia" w:ascii="黑体" w:hAnsi="黑体" w:eastAsia="黑体" w:cs="黑体"/>
          <w:sz w:val="28"/>
          <w:szCs w:val="28"/>
        </w:rPr>
        <w:fldChar w:fldCharType="separate"/>
      </w:r>
      <w:r>
        <w:rPr>
          <w:rFonts w:hint="eastAsia" w:ascii="黑体" w:hAnsi="黑体" w:eastAsia="黑体" w:cs="黑体"/>
          <w:sz w:val="28"/>
          <w:szCs w:val="28"/>
        </w:rPr>
        <w:t>16</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61387607">
      <w:pPr>
        <w:tabs>
          <w:tab w:val="right" w:leader="dot" w:pos="8306"/>
        </w:tabs>
        <w:spacing w:line="240" w:lineRule="auto"/>
        <w:ind w:left="420" w:leftChars="200"/>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"_Toc4745" </w:instrText>
      </w:r>
      <w:r>
        <w:rPr>
          <w:rFonts w:hint="eastAsia" w:ascii="黑体" w:hAnsi="黑体" w:eastAsia="黑体" w:cs="黑体"/>
          <w:sz w:val="28"/>
          <w:szCs w:val="28"/>
        </w:rPr>
        <w:fldChar w:fldCharType="separate"/>
      </w:r>
      <w:r>
        <w:rPr>
          <w:rFonts w:hint="eastAsia" w:ascii="黑体" w:hAnsi="黑体" w:eastAsia="黑体" w:cs="黑体"/>
          <w:bCs/>
          <w:sz w:val="28"/>
          <w:szCs w:val="28"/>
        </w:rPr>
        <w:t>（一）课程思政目标要求</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_Toc4745 \h </w:instrText>
      </w:r>
      <w:r>
        <w:rPr>
          <w:rFonts w:hint="eastAsia" w:ascii="黑体" w:hAnsi="黑体" w:eastAsia="黑体" w:cs="黑体"/>
          <w:sz w:val="28"/>
          <w:szCs w:val="28"/>
        </w:rPr>
        <w:fldChar w:fldCharType="separate"/>
      </w:r>
      <w:r>
        <w:rPr>
          <w:rFonts w:hint="eastAsia" w:ascii="黑体" w:hAnsi="黑体" w:eastAsia="黑体" w:cs="黑体"/>
          <w:sz w:val="28"/>
          <w:szCs w:val="28"/>
        </w:rPr>
        <w:t>16</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0E02DCB0">
      <w:pPr>
        <w:tabs>
          <w:tab w:val="right" w:leader="dot" w:pos="8306"/>
        </w:tabs>
        <w:spacing w:line="240" w:lineRule="auto"/>
        <w:ind w:left="420" w:leftChars="200"/>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"_Toc21171" </w:instrText>
      </w:r>
      <w:r>
        <w:rPr>
          <w:rFonts w:hint="eastAsia" w:ascii="黑体" w:hAnsi="黑体" w:eastAsia="黑体" w:cs="黑体"/>
          <w:sz w:val="28"/>
          <w:szCs w:val="28"/>
        </w:rPr>
        <w:fldChar w:fldCharType="separate"/>
      </w:r>
      <w:r>
        <w:rPr>
          <w:rFonts w:hint="eastAsia" w:ascii="黑体" w:hAnsi="黑体" w:eastAsia="黑体" w:cs="黑体"/>
          <w:sz w:val="28"/>
          <w:szCs w:val="28"/>
        </w:rPr>
        <w:t>（二）</w:t>
      </w:r>
      <w:r>
        <w:rPr>
          <w:rFonts w:hint="eastAsia" w:ascii="黑体" w:hAnsi="黑体" w:eastAsia="黑体" w:cs="黑体"/>
          <w:bCs/>
          <w:sz w:val="28"/>
          <w:szCs w:val="28"/>
        </w:rPr>
        <w:t>课程思政体系建设</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_Toc21171 \h </w:instrText>
      </w:r>
      <w:r>
        <w:rPr>
          <w:rFonts w:hint="eastAsia" w:ascii="黑体" w:hAnsi="黑体" w:eastAsia="黑体" w:cs="黑体"/>
          <w:sz w:val="28"/>
          <w:szCs w:val="28"/>
        </w:rPr>
        <w:fldChar w:fldCharType="separate"/>
      </w:r>
      <w:r>
        <w:rPr>
          <w:rFonts w:hint="eastAsia" w:ascii="黑体" w:hAnsi="黑体" w:eastAsia="黑体" w:cs="黑体"/>
          <w:sz w:val="28"/>
          <w:szCs w:val="28"/>
        </w:rPr>
        <w:t>17</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716C1F11">
      <w:pPr>
        <w:tabs>
          <w:tab w:val="right" w:leader="dot" w:pos="8306"/>
        </w:tabs>
        <w:spacing w:line="240" w:lineRule="auto"/>
        <w:ind w:left="420" w:leftChars="200"/>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"_Toc28995" </w:instrText>
      </w:r>
      <w:r>
        <w:rPr>
          <w:rFonts w:hint="eastAsia" w:ascii="黑体" w:hAnsi="黑体" w:eastAsia="黑体" w:cs="黑体"/>
          <w:sz w:val="28"/>
          <w:szCs w:val="28"/>
        </w:rPr>
        <w:fldChar w:fldCharType="separate"/>
      </w:r>
      <w:r>
        <w:rPr>
          <w:rFonts w:hint="eastAsia" w:ascii="黑体" w:hAnsi="黑体" w:eastAsia="黑体" w:cs="黑体"/>
          <w:sz w:val="28"/>
          <w:szCs w:val="28"/>
        </w:rPr>
        <w:t>（三）课程思政建设及实施</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_Toc28995 \h </w:instrText>
      </w:r>
      <w:r>
        <w:rPr>
          <w:rFonts w:hint="eastAsia" w:ascii="黑体" w:hAnsi="黑体" w:eastAsia="黑体" w:cs="黑体"/>
          <w:sz w:val="28"/>
          <w:szCs w:val="28"/>
        </w:rPr>
        <w:fldChar w:fldCharType="separate"/>
      </w:r>
      <w:r>
        <w:rPr>
          <w:rFonts w:hint="eastAsia" w:ascii="黑体" w:hAnsi="黑体" w:eastAsia="黑体" w:cs="黑体"/>
          <w:sz w:val="28"/>
          <w:szCs w:val="28"/>
        </w:rPr>
        <w:t>18</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3FDAFD6F">
      <w:pPr>
        <w:tabs>
          <w:tab w:val="right" w:leader="dot" w:pos="8306"/>
        </w:tabs>
        <w:spacing w:line="240" w:lineRule="auto"/>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"_Toc15765" </w:instrText>
      </w:r>
      <w:r>
        <w:rPr>
          <w:rFonts w:hint="eastAsia" w:ascii="黑体" w:hAnsi="黑体" w:eastAsia="黑体" w:cs="黑体"/>
          <w:sz w:val="28"/>
          <w:szCs w:val="28"/>
        </w:rPr>
        <w:fldChar w:fldCharType="separate"/>
      </w:r>
      <w:r>
        <w:rPr>
          <w:rFonts w:hint="eastAsia" w:ascii="黑体" w:hAnsi="黑体" w:eastAsia="黑体" w:cs="黑体"/>
          <w:bCs/>
          <w:kern w:val="44"/>
          <w:sz w:val="28"/>
          <w:szCs w:val="28"/>
        </w:rPr>
        <w:t>十、课程学时与学分</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_Toc15765 \h </w:instrText>
      </w:r>
      <w:r>
        <w:rPr>
          <w:rFonts w:hint="eastAsia" w:ascii="黑体" w:hAnsi="黑体" w:eastAsia="黑体" w:cs="黑体"/>
          <w:sz w:val="28"/>
          <w:szCs w:val="28"/>
        </w:rPr>
        <w:fldChar w:fldCharType="separate"/>
      </w:r>
      <w:r>
        <w:rPr>
          <w:rFonts w:hint="eastAsia" w:ascii="黑体" w:hAnsi="黑体" w:eastAsia="黑体" w:cs="黑体"/>
          <w:sz w:val="28"/>
          <w:szCs w:val="28"/>
        </w:rPr>
        <w:t>19</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750CDF52">
      <w:pPr>
        <w:tabs>
          <w:tab w:val="right" w:leader="dot" w:pos="8306"/>
        </w:tabs>
        <w:spacing w:line="240" w:lineRule="auto"/>
        <w:ind w:left="420" w:leftChars="200"/>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"_Toc20748" </w:instrText>
      </w:r>
      <w:r>
        <w:rPr>
          <w:rFonts w:hint="eastAsia" w:ascii="黑体" w:hAnsi="黑体" w:eastAsia="黑体" w:cs="黑体"/>
          <w:sz w:val="28"/>
          <w:szCs w:val="28"/>
        </w:rPr>
        <w:fldChar w:fldCharType="separate"/>
      </w:r>
      <w:r>
        <w:rPr>
          <w:rFonts w:hint="eastAsia" w:ascii="黑体" w:hAnsi="黑体" w:eastAsia="黑体" w:cs="黑体"/>
          <w:bCs/>
          <w:sz w:val="28"/>
          <w:szCs w:val="28"/>
        </w:rPr>
        <w:t>（一）学时、学分安排</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_Toc20748 \h </w:instrText>
      </w:r>
      <w:r>
        <w:rPr>
          <w:rFonts w:hint="eastAsia" w:ascii="黑体" w:hAnsi="黑体" w:eastAsia="黑体" w:cs="黑体"/>
          <w:sz w:val="28"/>
          <w:szCs w:val="28"/>
        </w:rPr>
        <w:fldChar w:fldCharType="separate"/>
      </w:r>
      <w:r>
        <w:rPr>
          <w:rFonts w:hint="eastAsia" w:ascii="黑体" w:hAnsi="黑体" w:eastAsia="黑体" w:cs="黑体"/>
          <w:sz w:val="28"/>
          <w:szCs w:val="28"/>
        </w:rPr>
        <w:t>19</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06A5C023">
      <w:pPr>
        <w:tabs>
          <w:tab w:val="right" w:leader="dot" w:pos="8306"/>
        </w:tabs>
        <w:spacing w:line="240" w:lineRule="auto"/>
        <w:ind w:left="420" w:leftChars="200"/>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"_Toc7186" </w:instrText>
      </w:r>
      <w:r>
        <w:rPr>
          <w:rFonts w:hint="eastAsia" w:ascii="黑体" w:hAnsi="黑体" w:eastAsia="黑体" w:cs="黑体"/>
          <w:sz w:val="28"/>
          <w:szCs w:val="28"/>
        </w:rPr>
        <w:fldChar w:fldCharType="separate"/>
      </w:r>
      <w:r>
        <w:rPr>
          <w:rFonts w:hint="eastAsia" w:ascii="黑体" w:hAnsi="黑体" w:eastAsia="黑体" w:cs="黑体"/>
          <w:bCs/>
          <w:sz w:val="28"/>
          <w:szCs w:val="28"/>
        </w:rPr>
        <w:t>（二）学分安排</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_Toc7186 \h </w:instrText>
      </w:r>
      <w:r>
        <w:rPr>
          <w:rFonts w:hint="eastAsia" w:ascii="黑体" w:hAnsi="黑体" w:eastAsia="黑体" w:cs="黑体"/>
          <w:sz w:val="28"/>
          <w:szCs w:val="28"/>
        </w:rPr>
        <w:fldChar w:fldCharType="separate"/>
      </w:r>
      <w:r>
        <w:rPr>
          <w:rFonts w:hint="eastAsia" w:ascii="黑体" w:hAnsi="黑体" w:eastAsia="黑体" w:cs="黑体"/>
          <w:sz w:val="28"/>
          <w:szCs w:val="28"/>
        </w:rPr>
        <w:t>19</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77A90991">
      <w:pPr>
        <w:tabs>
          <w:tab w:val="right" w:leader="dot" w:pos="8306"/>
        </w:tabs>
        <w:spacing w:line="240" w:lineRule="auto"/>
        <w:ind w:left="420" w:leftChars="200"/>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"_Toc7853" </w:instrText>
      </w:r>
      <w:r>
        <w:rPr>
          <w:rFonts w:hint="eastAsia" w:ascii="黑体" w:hAnsi="黑体" w:eastAsia="黑体" w:cs="黑体"/>
          <w:sz w:val="28"/>
          <w:szCs w:val="28"/>
        </w:rPr>
        <w:fldChar w:fldCharType="separate"/>
      </w:r>
      <w:r>
        <w:rPr>
          <w:rFonts w:hint="eastAsia" w:ascii="黑体" w:hAnsi="黑体" w:eastAsia="黑体" w:cs="黑体"/>
          <w:bCs/>
          <w:sz w:val="28"/>
          <w:szCs w:val="28"/>
        </w:rPr>
        <w:t>（三）学时、学分分配汇总</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_Toc7853 \h </w:instrText>
      </w:r>
      <w:r>
        <w:rPr>
          <w:rFonts w:hint="eastAsia" w:ascii="黑体" w:hAnsi="黑体" w:eastAsia="黑体" w:cs="黑体"/>
          <w:sz w:val="28"/>
          <w:szCs w:val="28"/>
        </w:rPr>
        <w:fldChar w:fldCharType="separate"/>
      </w:r>
      <w:r>
        <w:rPr>
          <w:rFonts w:hint="eastAsia" w:ascii="黑体" w:hAnsi="黑体" w:eastAsia="黑体" w:cs="黑体"/>
          <w:sz w:val="28"/>
          <w:szCs w:val="28"/>
        </w:rPr>
        <w:t>20</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5F512704">
      <w:pPr>
        <w:tabs>
          <w:tab w:val="right" w:leader="dot" w:pos="8306"/>
        </w:tabs>
        <w:spacing w:line="240" w:lineRule="auto"/>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"_Toc20490" </w:instrText>
      </w:r>
      <w:r>
        <w:rPr>
          <w:rFonts w:hint="eastAsia" w:ascii="黑体" w:hAnsi="黑体" w:eastAsia="黑体" w:cs="黑体"/>
          <w:sz w:val="28"/>
          <w:szCs w:val="28"/>
        </w:rPr>
        <w:fldChar w:fldCharType="separate"/>
      </w:r>
      <w:r>
        <w:rPr>
          <w:rFonts w:hint="eastAsia" w:ascii="黑体" w:hAnsi="黑体" w:eastAsia="黑体" w:cs="黑体"/>
          <w:bCs/>
          <w:kern w:val="44"/>
          <w:sz w:val="28"/>
          <w:szCs w:val="28"/>
        </w:rPr>
        <w:t>十一、教学进程总体安排</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_Toc20490 \h </w:instrText>
      </w:r>
      <w:r>
        <w:rPr>
          <w:rFonts w:hint="eastAsia" w:ascii="黑体" w:hAnsi="黑体" w:eastAsia="黑体" w:cs="黑体"/>
          <w:sz w:val="28"/>
          <w:szCs w:val="28"/>
        </w:rPr>
        <w:fldChar w:fldCharType="separate"/>
      </w:r>
      <w:r>
        <w:rPr>
          <w:rFonts w:hint="eastAsia" w:ascii="黑体" w:hAnsi="黑体" w:eastAsia="黑体" w:cs="黑体"/>
          <w:sz w:val="28"/>
          <w:szCs w:val="28"/>
        </w:rPr>
        <w:t>21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0A15DA5A">
      <w:pPr>
        <w:tabs>
          <w:tab w:val="right" w:leader="dot" w:pos="8306"/>
        </w:tabs>
        <w:spacing w:line="240" w:lineRule="auto"/>
        <w:ind w:left="420" w:leftChars="200"/>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"_Toc9175" </w:instrText>
      </w:r>
      <w:r>
        <w:rPr>
          <w:rFonts w:hint="eastAsia" w:ascii="黑体" w:hAnsi="黑体" w:eastAsia="黑体" w:cs="黑体"/>
          <w:sz w:val="28"/>
          <w:szCs w:val="28"/>
        </w:rPr>
        <w:fldChar w:fldCharType="separate"/>
      </w:r>
      <w:r>
        <w:rPr>
          <w:rFonts w:hint="eastAsia" w:ascii="黑体" w:hAnsi="黑体" w:eastAsia="黑体" w:cs="黑体"/>
          <w:bCs/>
          <w:sz w:val="28"/>
          <w:szCs w:val="28"/>
        </w:rPr>
        <w:t>（一）课程设置总表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_Toc9175 \h </w:instrText>
      </w:r>
      <w:r>
        <w:rPr>
          <w:rFonts w:hint="eastAsia" w:ascii="黑体" w:hAnsi="黑体" w:eastAsia="黑体" w:cs="黑体"/>
          <w:sz w:val="28"/>
          <w:szCs w:val="28"/>
        </w:rPr>
        <w:fldChar w:fldCharType="separate"/>
      </w:r>
      <w:r>
        <w:rPr>
          <w:rFonts w:hint="eastAsia" w:ascii="黑体" w:hAnsi="黑体" w:eastAsia="黑体" w:cs="黑体"/>
          <w:sz w:val="28"/>
          <w:szCs w:val="28"/>
        </w:rPr>
        <w:t>21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3F001A4D">
      <w:pPr>
        <w:tabs>
          <w:tab w:val="right" w:leader="dot" w:pos="8306"/>
        </w:tabs>
        <w:spacing w:line="240" w:lineRule="auto"/>
        <w:ind w:left="420" w:leftChars="200"/>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"_Toc30319" </w:instrText>
      </w:r>
      <w:r>
        <w:rPr>
          <w:rFonts w:hint="eastAsia" w:ascii="黑体" w:hAnsi="黑体" w:eastAsia="黑体" w:cs="黑体"/>
          <w:sz w:val="28"/>
          <w:szCs w:val="28"/>
        </w:rPr>
        <w:fldChar w:fldCharType="separate"/>
      </w:r>
      <w:r>
        <w:rPr>
          <w:rFonts w:hint="eastAsia" w:ascii="黑体" w:hAnsi="黑体" w:eastAsia="黑体" w:cs="黑体"/>
          <w:bCs/>
          <w:sz w:val="28"/>
          <w:szCs w:val="28"/>
        </w:rPr>
        <w:t>（二）素养提升课程设置</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_Toc30319 \h </w:instrText>
      </w:r>
      <w:r>
        <w:rPr>
          <w:rFonts w:hint="eastAsia" w:ascii="黑体" w:hAnsi="黑体" w:eastAsia="黑体" w:cs="黑体"/>
          <w:sz w:val="28"/>
          <w:szCs w:val="28"/>
        </w:rPr>
        <w:fldChar w:fldCharType="separate"/>
      </w:r>
      <w:r>
        <w:rPr>
          <w:rFonts w:hint="eastAsia" w:ascii="黑体" w:hAnsi="黑体" w:eastAsia="黑体" w:cs="黑体"/>
          <w:sz w:val="28"/>
          <w:szCs w:val="28"/>
        </w:rPr>
        <w:t>24</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27DE3A71">
      <w:pPr>
        <w:tabs>
          <w:tab w:val="right" w:leader="dot" w:pos="8306"/>
        </w:tabs>
        <w:spacing w:line="240" w:lineRule="auto"/>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"_Toc17307" </w:instrText>
      </w:r>
      <w:r>
        <w:rPr>
          <w:rFonts w:hint="eastAsia" w:ascii="黑体" w:hAnsi="黑体" w:eastAsia="黑体" w:cs="黑体"/>
          <w:sz w:val="28"/>
          <w:szCs w:val="28"/>
        </w:rPr>
        <w:fldChar w:fldCharType="separate"/>
      </w:r>
      <w:r>
        <w:rPr>
          <w:rFonts w:hint="eastAsia" w:ascii="黑体" w:hAnsi="黑体" w:eastAsia="黑体" w:cs="黑体"/>
          <w:bCs/>
          <w:kern w:val="44"/>
          <w:sz w:val="28"/>
          <w:szCs w:val="28"/>
        </w:rPr>
        <w:t>十二、实施保障</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_Toc17307 \h </w:instrText>
      </w:r>
      <w:r>
        <w:rPr>
          <w:rFonts w:hint="eastAsia" w:ascii="黑体" w:hAnsi="黑体" w:eastAsia="黑体" w:cs="黑体"/>
          <w:sz w:val="28"/>
          <w:szCs w:val="28"/>
        </w:rPr>
        <w:fldChar w:fldCharType="separate"/>
      </w:r>
      <w:r>
        <w:rPr>
          <w:rFonts w:hint="eastAsia" w:ascii="黑体" w:hAnsi="黑体" w:eastAsia="黑体" w:cs="黑体"/>
          <w:sz w:val="28"/>
          <w:szCs w:val="28"/>
        </w:rPr>
        <w:t>25</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7A1071B1">
      <w:pPr>
        <w:tabs>
          <w:tab w:val="right" w:leader="dot" w:pos="8306"/>
        </w:tabs>
        <w:spacing w:line="240" w:lineRule="auto"/>
        <w:ind w:left="420" w:leftChars="200"/>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"_Toc16494" </w:instrText>
      </w:r>
      <w:r>
        <w:rPr>
          <w:rFonts w:hint="eastAsia" w:ascii="黑体" w:hAnsi="黑体" w:eastAsia="黑体" w:cs="黑体"/>
          <w:sz w:val="28"/>
          <w:szCs w:val="28"/>
        </w:rPr>
        <w:fldChar w:fldCharType="separate"/>
      </w:r>
      <w:r>
        <w:rPr>
          <w:rFonts w:hint="eastAsia" w:ascii="黑体" w:hAnsi="黑体" w:eastAsia="黑体" w:cs="黑体"/>
          <w:bCs/>
          <w:sz w:val="28"/>
          <w:szCs w:val="28"/>
        </w:rPr>
        <w:t>（一）师资队伍</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_Toc16494 \h </w:instrText>
      </w:r>
      <w:r>
        <w:rPr>
          <w:rFonts w:hint="eastAsia" w:ascii="黑体" w:hAnsi="黑体" w:eastAsia="黑体" w:cs="黑体"/>
          <w:sz w:val="28"/>
          <w:szCs w:val="28"/>
        </w:rPr>
        <w:fldChar w:fldCharType="separate"/>
      </w:r>
      <w:r>
        <w:rPr>
          <w:rFonts w:hint="eastAsia" w:ascii="黑体" w:hAnsi="黑体" w:eastAsia="黑体" w:cs="黑体"/>
          <w:sz w:val="28"/>
          <w:szCs w:val="28"/>
        </w:rPr>
        <w:t>25</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4E279F3B">
      <w:pPr>
        <w:tabs>
          <w:tab w:val="right" w:leader="dot" w:pos="8306"/>
        </w:tabs>
        <w:spacing w:line="240" w:lineRule="auto"/>
        <w:ind w:left="420" w:leftChars="200"/>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"_Toc17249" </w:instrText>
      </w:r>
      <w:r>
        <w:rPr>
          <w:rFonts w:hint="eastAsia" w:ascii="黑体" w:hAnsi="黑体" w:eastAsia="黑体" w:cs="黑体"/>
          <w:sz w:val="28"/>
          <w:szCs w:val="28"/>
        </w:rPr>
        <w:fldChar w:fldCharType="separate"/>
      </w:r>
      <w:r>
        <w:rPr>
          <w:rFonts w:hint="eastAsia" w:ascii="黑体" w:hAnsi="黑体" w:eastAsia="黑体" w:cs="黑体"/>
          <w:bCs/>
          <w:sz w:val="28"/>
          <w:szCs w:val="28"/>
        </w:rPr>
        <w:t>（二）教学设施</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_Toc17249 \h </w:instrText>
      </w:r>
      <w:r>
        <w:rPr>
          <w:rFonts w:hint="eastAsia" w:ascii="黑体" w:hAnsi="黑体" w:eastAsia="黑体" w:cs="黑体"/>
          <w:sz w:val="28"/>
          <w:szCs w:val="28"/>
        </w:rPr>
        <w:fldChar w:fldCharType="separate"/>
      </w:r>
      <w:r>
        <w:rPr>
          <w:rFonts w:hint="eastAsia" w:ascii="黑体" w:hAnsi="黑体" w:eastAsia="黑体" w:cs="黑体"/>
          <w:sz w:val="28"/>
          <w:szCs w:val="28"/>
        </w:rPr>
        <w:t>25</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5087993F">
      <w:pPr>
        <w:tabs>
          <w:tab w:val="right" w:leader="dot" w:pos="8306"/>
        </w:tabs>
        <w:spacing w:line="240" w:lineRule="auto"/>
        <w:ind w:left="420" w:leftChars="200"/>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"_Toc6901" </w:instrText>
      </w:r>
      <w:r>
        <w:rPr>
          <w:rFonts w:hint="eastAsia" w:ascii="黑体" w:hAnsi="黑体" w:eastAsia="黑体" w:cs="黑体"/>
          <w:sz w:val="28"/>
          <w:szCs w:val="28"/>
        </w:rPr>
        <w:fldChar w:fldCharType="separate"/>
      </w:r>
      <w:r>
        <w:rPr>
          <w:rFonts w:hint="eastAsia" w:ascii="黑体" w:hAnsi="黑体" w:eastAsia="黑体" w:cs="黑体"/>
          <w:bCs/>
          <w:sz w:val="28"/>
          <w:szCs w:val="28"/>
        </w:rPr>
        <w:t>（三）教学资源</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_Toc6901 \h </w:instrText>
      </w:r>
      <w:r>
        <w:rPr>
          <w:rFonts w:hint="eastAsia" w:ascii="黑体" w:hAnsi="黑体" w:eastAsia="黑体" w:cs="黑体"/>
          <w:sz w:val="28"/>
          <w:szCs w:val="28"/>
        </w:rPr>
        <w:fldChar w:fldCharType="separate"/>
      </w:r>
      <w:r>
        <w:rPr>
          <w:rFonts w:hint="eastAsia" w:ascii="黑体" w:hAnsi="黑体" w:eastAsia="黑体" w:cs="黑体"/>
          <w:sz w:val="28"/>
          <w:szCs w:val="28"/>
        </w:rPr>
        <w:t>28</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44EDAFB4">
      <w:pPr>
        <w:tabs>
          <w:tab w:val="right" w:leader="dot" w:pos="8306"/>
        </w:tabs>
        <w:spacing w:line="240" w:lineRule="auto"/>
        <w:ind w:left="420" w:leftChars="200"/>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"_Toc19681" </w:instrText>
      </w:r>
      <w:r>
        <w:rPr>
          <w:rFonts w:hint="eastAsia" w:ascii="黑体" w:hAnsi="黑体" w:eastAsia="黑体" w:cs="黑体"/>
          <w:sz w:val="28"/>
          <w:szCs w:val="28"/>
        </w:rPr>
        <w:fldChar w:fldCharType="separate"/>
      </w:r>
      <w:r>
        <w:rPr>
          <w:rFonts w:hint="eastAsia" w:ascii="黑体" w:hAnsi="黑体" w:eastAsia="黑体" w:cs="黑体"/>
          <w:bCs/>
          <w:sz w:val="28"/>
          <w:szCs w:val="28"/>
        </w:rPr>
        <w:t>（四） 教学方法</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_Toc19681 \h </w:instrText>
      </w:r>
      <w:r>
        <w:rPr>
          <w:rFonts w:hint="eastAsia" w:ascii="黑体" w:hAnsi="黑体" w:eastAsia="黑体" w:cs="黑体"/>
          <w:sz w:val="28"/>
          <w:szCs w:val="28"/>
        </w:rPr>
        <w:fldChar w:fldCharType="separate"/>
      </w:r>
      <w:r>
        <w:rPr>
          <w:rFonts w:hint="eastAsia" w:ascii="黑体" w:hAnsi="黑体" w:eastAsia="黑体" w:cs="黑体"/>
          <w:sz w:val="28"/>
          <w:szCs w:val="28"/>
        </w:rPr>
        <w:t>28</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2AA4C1DC">
      <w:pPr>
        <w:tabs>
          <w:tab w:val="right" w:leader="dot" w:pos="8306"/>
        </w:tabs>
        <w:spacing w:line="240" w:lineRule="auto"/>
        <w:ind w:left="420" w:leftChars="200"/>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"_Toc16216" </w:instrText>
      </w:r>
      <w:r>
        <w:rPr>
          <w:rFonts w:hint="eastAsia" w:ascii="黑体" w:hAnsi="黑体" w:eastAsia="黑体" w:cs="黑体"/>
          <w:sz w:val="28"/>
          <w:szCs w:val="28"/>
        </w:rPr>
        <w:fldChar w:fldCharType="separate"/>
      </w:r>
      <w:r>
        <w:rPr>
          <w:rFonts w:hint="eastAsia" w:ascii="黑体" w:hAnsi="黑体" w:eastAsia="黑体" w:cs="黑体"/>
          <w:bCs/>
          <w:sz w:val="28"/>
          <w:szCs w:val="28"/>
        </w:rPr>
        <w:t>（五）考核评价</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_Toc16216 \h </w:instrText>
      </w:r>
      <w:r>
        <w:rPr>
          <w:rFonts w:hint="eastAsia" w:ascii="黑体" w:hAnsi="黑体" w:eastAsia="黑体" w:cs="黑体"/>
          <w:sz w:val="28"/>
          <w:szCs w:val="28"/>
        </w:rPr>
        <w:fldChar w:fldCharType="separate"/>
      </w:r>
      <w:r>
        <w:rPr>
          <w:rFonts w:hint="eastAsia" w:ascii="黑体" w:hAnsi="黑体" w:eastAsia="黑体" w:cs="黑体"/>
          <w:sz w:val="28"/>
          <w:szCs w:val="28"/>
        </w:rPr>
        <w:t>30</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6A98F230">
      <w:pPr>
        <w:tabs>
          <w:tab w:val="right" w:leader="dot" w:pos="8306"/>
        </w:tabs>
        <w:spacing w:line="240" w:lineRule="auto"/>
        <w:ind w:left="420" w:leftChars="200"/>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"_Toc30896" </w:instrText>
      </w:r>
      <w:r>
        <w:rPr>
          <w:rFonts w:hint="eastAsia" w:ascii="黑体" w:hAnsi="黑体" w:eastAsia="黑体" w:cs="黑体"/>
          <w:sz w:val="28"/>
          <w:szCs w:val="28"/>
        </w:rPr>
        <w:fldChar w:fldCharType="separate"/>
      </w:r>
      <w:r>
        <w:rPr>
          <w:rFonts w:hint="eastAsia" w:ascii="黑体" w:hAnsi="黑体" w:eastAsia="黑体" w:cs="黑体"/>
          <w:bCs/>
          <w:sz w:val="28"/>
          <w:szCs w:val="28"/>
        </w:rPr>
        <w:t>（六）质量管理</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_Toc30896 \h </w:instrText>
      </w:r>
      <w:r>
        <w:rPr>
          <w:rFonts w:hint="eastAsia" w:ascii="黑体" w:hAnsi="黑体" w:eastAsia="黑体" w:cs="黑体"/>
          <w:sz w:val="28"/>
          <w:szCs w:val="28"/>
        </w:rPr>
        <w:fldChar w:fldCharType="separate"/>
      </w:r>
      <w:r>
        <w:rPr>
          <w:rFonts w:hint="eastAsia" w:ascii="黑体" w:hAnsi="黑体" w:eastAsia="黑体" w:cs="黑体"/>
          <w:sz w:val="28"/>
          <w:szCs w:val="28"/>
        </w:rPr>
        <w:t>31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66E00773">
      <w:pPr>
        <w:tabs>
          <w:tab w:val="right" w:leader="dot" w:pos="8306"/>
        </w:tabs>
        <w:spacing w:line="240" w:lineRule="auto"/>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"_Toc24095" </w:instrText>
      </w:r>
      <w:r>
        <w:rPr>
          <w:rFonts w:hint="eastAsia" w:ascii="黑体" w:hAnsi="黑体" w:eastAsia="黑体" w:cs="黑体"/>
          <w:sz w:val="28"/>
          <w:szCs w:val="28"/>
        </w:rPr>
        <w:fldChar w:fldCharType="separate"/>
      </w:r>
      <w:r>
        <w:rPr>
          <w:rFonts w:hint="eastAsia" w:ascii="黑体" w:hAnsi="黑体" w:eastAsia="黑体" w:cs="黑体"/>
          <w:bCs/>
          <w:kern w:val="44"/>
          <w:sz w:val="28"/>
          <w:szCs w:val="28"/>
        </w:rPr>
        <w:t>十三、毕业要求</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_Toc24095 \h </w:instrText>
      </w:r>
      <w:r>
        <w:rPr>
          <w:rFonts w:hint="eastAsia" w:ascii="黑体" w:hAnsi="黑体" w:eastAsia="黑体" w:cs="黑体"/>
          <w:sz w:val="28"/>
          <w:szCs w:val="28"/>
        </w:rPr>
        <w:fldChar w:fldCharType="separate"/>
      </w:r>
      <w:r>
        <w:rPr>
          <w:rFonts w:hint="eastAsia" w:ascii="黑体" w:hAnsi="黑体" w:eastAsia="黑体" w:cs="黑体"/>
          <w:sz w:val="28"/>
          <w:szCs w:val="28"/>
        </w:rPr>
        <w:t>31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73896EFC">
      <w:pPr>
        <w:tabs>
          <w:tab w:val="right" w:leader="dot" w:pos="8306"/>
        </w:tabs>
        <w:spacing w:line="240" w:lineRule="auto"/>
        <w:ind w:left="420" w:leftChars="200"/>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"_Toc28250" </w:instrText>
      </w:r>
      <w:r>
        <w:rPr>
          <w:rFonts w:hint="eastAsia" w:ascii="黑体" w:hAnsi="黑体" w:eastAsia="黑体" w:cs="黑体"/>
          <w:sz w:val="28"/>
          <w:szCs w:val="28"/>
        </w:rPr>
        <w:fldChar w:fldCharType="separate"/>
      </w:r>
      <w:r>
        <w:rPr>
          <w:rFonts w:hint="eastAsia" w:ascii="黑体" w:hAnsi="黑体" w:eastAsia="黑体" w:cs="黑体"/>
          <w:bCs/>
          <w:sz w:val="28"/>
          <w:szCs w:val="28"/>
        </w:rPr>
        <w:t>（一）学分要求</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_Toc28250 \h </w:instrText>
      </w:r>
      <w:r>
        <w:rPr>
          <w:rFonts w:hint="eastAsia" w:ascii="黑体" w:hAnsi="黑体" w:eastAsia="黑体" w:cs="黑体"/>
          <w:sz w:val="28"/>
          <w:szCs w:val="28"/>
        </w:rPr>
        <w:fldChar w:fldCharType="separate"/>
      </w:r>
      <w:r>
        <w:rPr>
          <w:rFonts w:hint="eastAsia" w:ascii="黑体" w:hAnsi="黑体" w:eastAsia="黑体" w:cs="黑体"/>
          <w:sz w:val="28"/>
          <w:szCs w:val="28"/>
        </w:rPr>
        <w:t>31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353443FF">
      <w:pPr>
        <w:tabs>
          <w:tab w:val="right" w:leader="dot" w:pos="8306"/>
        </w:tabs>
        <w:spacing w:line="240" w:lineRule="auto"/>
        <w:ind w:left="420" w:leftChars="200"/>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"_Toc23877" </w:instrText>
      </w:r>
      <w:r>
        <w:rPr>
          <w:rFonts w:hint="eastAsia" w:ascii="黑体" w:hAnsi="黑体" w:eastAsia="黑体" w:cs="黑体"/>
          <w:sz w:val="28"/>
          <w:szCs w:val="28"/>
        </w:rPr>
        <w:fldChar w:fldCharType="separate"/>
      </w:r>
      <w:r>
        <w:rPr>
          <w:rFonts w:hint="eastAsia" w:ascii="黑体" w:hAnsi="黑体" w:eastAsia="黑体" w:cs="黑体"/>
          <w:bCs/>
          <w:sz w:val="28"/>
          <w:szCs w:val="28"/>
        </w:rPr>
        <w:t>（二）证书要求</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_Toc23877 \h </w:instrText>
      </w:r>
      <w:r>
        <w:rPr>
          <w:rFonts w:hint="eastAsia" w:ascii="黑体" w:hAnsi="黑体" w:eastAsia="黑体" w:cs="黑体"/>
          <w:sz w:val="28"/>
          <w:szCs w:val="28"/>
        </w:rPr>
        <w:fldChar w:fldCharType="separate"/>
      </w:r>
      <w:r>
        <w:rPr>
          <w:rFonts w:hint="eastAsia" w:ascii="黑体" w:hAnsi="黑体" w:eastAsia="黑体" w:cs="黑体"/>
          <w:sz w:val="28"/>
          <w:szCs w:val="28"/>
        </w:rPr>
        <w:t>31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0E822AE4">
      <w:pPr>
        <w:tabs>
          <w:tab w:val="right" w:leader="dot" w:pos="8306"/>
        </w:tabs>
        <w:spacing w:line="240" w:lineRule="auto"/>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"_Toc19999" </w:instrText>
      </w:r>
      <w:r>
        <w:rPr>
          <w:rFonts w:hint="eastAsia" w:ascii="黑体" w:hAnsi="黑体" w:eastAsia="黑体" w:cs="黑体"/>
          <w:sz w:val="28"/>
          <w:szCs w:val="28"/>
        </w:rPr>
        <w:fldChar w:fldCharType="separate"/>
      </w:r>
      <w:r>
        <w:rPr>
          <w:rFonts w:hint="eastAsia" w:ascii="黑体" w:hAnsi="黑体" w:eastAsia="黑体" w:cs="黑体"/>
          <w:bCs/>
          <w:kern w:val="44"/>
          <w:sz w:val="28"/>
          <w:szCs w:val="28"/>
        </w:rPr>
        <w:t>十四、附录</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_Toc19999 \h </w:instrText>
      </w:r>
      <w:r>
        <w:rPr>
          <w:rFonts w:hint="eastAsia" w:ascii="黑体" w:hAnsi="黑体" w:eastAsia="黑体" w:cs="黑体"/>
          <w:sz w:val="28"/>
          <w:szCs w:val="28"/>
        </w:rPr>
        <w:fldChar w:fldCharType="separate"/>
      </w:r>
      <w:r>
        <w:rPr>
          <w:rFonts w:hint="eastAsia" w:ascii="黑体" w:hAnsi="黑体" w:eastAsia="黑体" w:cs="黑体"/>
          <w:sz w:val="28"/>
          <w:szCs w:val="28"/>
        </w:rPr>
        <w:t>32</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14:paraId="1A06DD2A">
      <w:r>
        <w:fldChar w:fldCharType="end"/>
      </w:r>
    </w:p>
    <w:p w14:paraId="3C5AEA9A">
      <w:pPr>
        <w:pStyle w:val="2"/>
        <w:ind w:firstLine="0" w:firstLineChars="0"/>
        <w:rPr>
          <w:rFonts w:hint="eastAsia" w:ascii="楷体_GB2312" w:eastAsia="楷体_GB2312" w:cs="仿宋_GB2312"/>
          <w:bCs/>
          <w:color w:val="000000"/>
          <w:kern w:val="0"/>
          <w:sz w:val="44"/>
          <w:szCs w:val="44"/>
        </w:rPr>
        <w:sectPr>
          <w:footerReference r:id="rId3" w:type="default"/>
          <w:pgSz w:w="11906" w:h="16838"/>
          <w:pgMar w:top="1440" w:right="1800" w:bottom="1440" w:left="1800" w:header="851" w:footer="992" w:gutter="0"/>
          <w:cols w:space="720" w:num="1"/>
          <w:docGrid w:type="lines" w:linePitch="312" w:charSpace="0"/>
        </w:sectPr>
      </w:pPr>
    </w:p>
    <w:p w14:paraId="046C94F9"/>
    <w:p w14:paraId="08C62CBF">
      <w:pPr>
        <w:jc w:val="center"/>
        <w:rPr>
          <w:b/>
          <w:sz w:val="44"/>
          <w:szCs w:val="44"/>
        </w:rPr>
      </w:pPr>
      <w:r>
        <w:rPr>
          <w:b/>
          <w:sz w:val="44"/>
          <w:szCs w:val="44"/>
        </w:rPr>
        <w:t>202</w:t>
      </w:r>
      <w:r>
        <w:rPr>
          <w:rFonts w:hint="eastAsia"/>
          <w:b/>
          <w:sz w:val="44"/>
          <w:szCs w:val="44"/>
        </w:rPr>
        <w:t>4级现代物流管理专业</w:t>
      </w:r>
      <w:r>
        <w:rPr>
          <w:rFonts w:hAnsi="宋体"/>
          <w:b/>
          <w:sz w:val="44"/>
          <w:szCs w:val="44"/>
        </w:rPr>
        <w:t>人才培养方案</w:t>
      </w:r>
    </w:p>
    <w:p w14:paraId="1533AD22">
      <w:pPr>
        <w:keepNext/>
        <w:keepLines/>
        <w:spacing w:line="500" w:lineRule="exact"/>
        <w:outlineLvl w:val="0"/>
        <w:rPr>
          <w:rFonts w:eastAsia="黑体"/>
          <w:b/>
          <w:bCs/>
          <w:color w:val="000000"/>
          <w:kern w:val="44"/>
          <w:sz w:val="32"/>
          <w:szCs w:val="30"/>
        </w:rPr>
      </w:pPr>
    </w:p>
    <w:bookmarkEnd w:id="0"/>
    <w:bookmarkEnd w:id="1"/>
    <w:bookmarkEnd w:id="2"/>
    <w:bookmarkEnd w:id="3"/>
    <w:bookmarkEnd w:id="4"/>
    <w:bookmarkEnd w:id="5"/>
    <w:p w14:paraId="6F239B03">
      <w:pPr>
        <w:pStyle w:val="67"/>
        <w:keepNext/>
        <w:keepLines/>
        <w:numPr>
          <w:ilvl w:val="0"/>
          <w:numId w:val="1"/>
        </w:numPr>
        <w:spacing w:line="500" w:lineRule="exact"/>
        <w:ind w:firstLineChars="0"/>
        <w:outlineLvl w:val="0"/>
        <w:rPr>
          <w:rFonts w:eastAsia="黑体"/>
          <w:b/>
          <w:bCs/>
          <w:color w:val="000000"/>
          <w:kern w:val="44"/>
          <w:sz w:val="32"/>
          <w:szCs w:val="30"/>
        </w:rPr>
      </w:pPr>
      <w:r>
        <w:rPr>
          <w:rFonts w:hint="eastAsia" w:eastAsia="黑体"/>
          <w:b/>
          <w:bCs/>
          <w:color w:val="000000"/>
          <w:kern w:val="44"/>
          <w:sz w:val="32"/>
          <w:szCs w:val="30"/>
        </w:rPr>
        <w:t>专业名称及代码</w:t>
      </w:r>
    </w:p>
    <w:p w14:paraId="2B19C537">
      <w:pPr>
        <w:pStyle w:val="78"/>
        <w:ind w:firstLine="480"/>
        <w:rPr>
          <w:rFonts w:hint="eastAsia"/>
        </w:rPr>
      </w:pPr>
      <w:r>
        <w:rPr>
          <w:rFonts w:hint="eastAsia"/>
        </w:rPr>
        <w:t>专业名称：现代物流管理</w:t>
      </w:r>
    </w:p>
    <w:p w14:paraId="4B3B2439">
      <w:pPr>
        <w:pStyle w:val="78"/>
        <w:ind w:firstLine="480"/>
        <w:rPr>
          <w:rFonts w:hint="eastAsia"/>
        </w:rPr>
      </w:pPr>
      <w:r>
        <w:rPr>
          <w:rFonts w:hint="eastAsia"/>
        </w:rPr>
        <w:t>专业代码：630903</w:t>
      </w:r>
    </w:p>
    <w:bookmarkEnd w:id="6"/>
    <w:p w14:paraId="7359E98A">
      <w:pPr>
        <w:keepNext/>
        <w:keepLines/>
        <w:spacing w:line="500" w:lineRule="exact"/>
        <w:ind w:firstLine="643" w:firstLineChars="200"/>
        <w:outlineLvl w:val="0"/>
        <w:rPr>
          <w:rFonts w:eastAsia="黑体"/>
          <w:b/>
          <w:bCs/>
          <w:color w:val="000000"/>
          <w:kern w:val="44"/>
          <w:sz w:val="32"/>
          <w:szCs w:val="30"/>
        </w:rPr>
      </w:pPr>
      <w:bookmarkStart w:id="7" w:name="_Toc46303704"/>
      <w:bookmarkStart w:id="8" w:name="_Hlk11185753"/>
      <w:bookmarkStart w:id="9" w:name="_Toc305418727"/>
      <w:bookmarkStart w:id="10" w:name="_Toc303837891"/>
      <w:r>
        <w:rPr>
          <w:rFonts w:hint="eastAsia" w:eastAsia="黑体"/>
          <w:b/>
          <w:bCs/>
          <w:color w:val="000000"/>
          <w:kern w:val="44"/>
          <w:sz w:val="32"/>
          <w:szCs w:val="30"/>
        </w:rPr>
        <w:t>二、入学要求</w:t>
      </w:r>
      <w:bookmarkEnd w:id="7"/>
    </w:p>
    <w:bookmarkEnd w:id="8"/>
    <w:p w14:paraId="776F6F45">
      <w:pPr>
        <w:pStyle w:val="78"/>
        <w:ind w:firstLine="480"/>
      </w:pPr>
      <w:bookmarkStart w:id="11" w:name="_Hlk12287714"/>
      <w:r>
        <w:rPr>
          <w:rFonts w:hint="eastAsia"/>
        </w:rPr>
        <w:t>1.</w:t>
      </w:r>
      <w:r>
        <w:rPr>
          <w:rFonts w:hint="eastAsia" w:ascii="宋体" w:hAnsi="宋体" w:cs="宋体"/>
        </w:rPr>
        <w:t>高中阶段教育毕业生</w:t>
      </w:r>
    </w:p>
    <w:p w14:paraId="19294760">
      <w:pPr>
        <w:widowControl/>
        <w:spacing w:line="360" w:lineRule="auto"/>
        <w:ind w:firstLine="480" w:firstLineChars="200"/>
        <w:jc w:val="left"/>
        <w:rPr>
          <w:rFonts w:ascii="Times New Roman" w:hAnsi="Times New Roman"/>
          <w:color w:val="000000"/>
          <w:sz w:val="24"/>
          <w:szCs w:val="24"/>
        </w:rPr>
      </w:pPr>
      <w:r>
        <w:rPr>
          <w:rFonts w:hint="eastAsia" w:ascii="Times New Roman" w:hAnsi="Times New Roman"/>
          <w:color w:val="000000"/>
          <w:sz w:val="24"/>
          <w:szCs w:val="24"/>
        </w:rPr>
        <w:t>2.具有高中阶段同等学力者</w:t>
      </w:r>
    </w:p>
    <w:bookmarkEnd w:id="11"/>
    <w:p w14:paraId="2056E90E">
      <w:pPr>
        <w:keepNext/>
        <w:keepLines/>
        <w:spacing w:line="500" w:lineRule="exact"/>
        <w:ind w:firstLine="643" w:firstLineChars="200"/>
        <w:outlineLvl w:val="0"/>
        <w:rPr>
          <w:rFonts w:eastAsia="黑体"/>
          <w:b/>
          <w:bCs/>
          <w:color w:val="000000"/>
          <w:kern w:val="44"/>
          <w:sz w:val="32"/>
          <w:szCs w:val="30"/>
        </w:rPr>
      </w:pPr>
      <w:bookmarkStart w:id="12" w:name="_Toc46303705"/>
      <w:bookmarkStart w:id="13" w:name="_Hlk11185867"/>
      <w:r>
        <w:rPr>
          <w:rFonts w:hint="eastAsia" w:eastAsia="黑体"/>
          <w:b/>
          <w:bCs/>
          <w:color w:val="000000"/>
          <w:kern w:val="44"/>
          <w:sz w:val="32"/>
          <w:szCs w:val="30"/>
        </w:rPr>
        <w:t>三、修业年限</w:t>
      </w:r>
      <w:bookmarkEnd w:id="12"/>
    </w:p>
    <w:bookmarkEnd w:id="13"/>
    <w:p w14:paraId="0DDE216A">
      <w:pPr>
        <w:spacing w:line="500" w:lineRule="exact"/>
        <w:ind w:firstLine="480" w:firstLineChars="200"/>
        <w:rPr>
          <w:rFonts w:ascii="Times New Roman" w:hAnsi="Times New Roman"/>
          <w:sz w:val="24"/>
          <w:szCs w:val="24"/>
        </w:rPr>
      </w:pPr>
      <w:bookmarkStart w:id="14" w:name="_Hlk11185852"/>
      <w:r>
        <w:rPr>
          <w:rFonts w:hint="eastAsia" w:ascii="Times New Roman" w:hAnsi="Times New Roman"/>
          <w:sz w:val="24"/>
          <w:szCs w:val="24"/>
        </w:rPr>
        <w:t>弹性学制，修业年限</w:t>
      </w:r>
      <w:r>
        <w:rPr>
          <w:rFonts w:ascii="Times New Roman" w:hAnsi="Times New Roman"/>
          <w:sz w:val="24"/>
          <w:szCs w:val="24"/>
        </w:rPr>
        <w:t>3-</w:t>
      </w:r>
      <w:r>
        <w:rPr>
          <w:rFonts w:hint="eastAsia" w:ascii="Times New Roman" w:hAnsi="Times New Roman"/>
          <w:sz w:val="24"/>
          <w:szCs w:val="24"/>
        </w:rPr>
        <w:t>6年</w:t>
      </w:r>
    </w:p>
    <w:bookmarkEnd w:id="14"/>
    <w:p w14:paraId="3FDBF92C">
      <w:pPr>
        <w:keepNext/>
        <w:keepLines/>
        <w:spacing w:line="500" w:lineRule="exact"/>
        <w:ind w:firstLine="643" w:firstLineChars="200"/>
        <w:outlineLvl w:val="0"/>
        <w:rPr>
          <w:rFonts w:eastAsia="黑体"/>
          <w:b/>
          <w:bCs/>
          <w:color w:val="000000"/>
          <w:kern w:val="44"/>
          <w:sz w:val="32"/>
          <w:szCs w:val="30"/>
        </w:rPr>
      </w:pPr>
      <w:bookmarkStart w:id="15" w:name="_Toc46303706"/>
      <w:bookmarkStart w:id="16" w:name="_Hlk11185893"/>
      <w:bookmarkStart w:id="17" w:name="_Toc407696133"/>
      <w:bookmarkStart w:id="18" w:name="_Toc405393376"/>
      <w:bookmarkStart w:id="19" w:name="_Toc407697891"/>
      <w:r>
        <w:rPr>
          <w:rFonts w:hint="eastAsia" w:eastAsia="黑体"/>
          <w:b/>
          <w:bCs/>
          <w:color w:val="000000"/>
          <w:kern w:val="44"/>
          <w:sz w:val="32"/>
          <w:szCs w:val="30"/>
        </w:rPr>
        <w:t>四、职业面向</w:t>
      </w:r>
      <w:bookmarkEnd w:id="15"/>
    </w:p>
    <w:p w14:paraId="16BE9E8C">
      <w:pPr>
        <w:jc w:val="center"/>
        <w:rPr>
          <w:rFonts w:ascii="Times New Roman" w:hAnsi="Times New Roman"/>
          <w:b/>
          <w:bCs/>
          <w:color w:val="000000"/>
          <w:sz w:val="24"/>
          <w:szCs w:val="24"/>
        </w:rPr>
      </w:pPr>
      <w:bookmarkStart w:id="20" w:name="_Hlk11958191"/>
      <w:r>
        <w:rPr>
          <w:rFonts w:hint="eastAsia" w:ascii="Times New Roman" w:hAnsi="Times New Roman"/>
          <w:b/>
          <w:bCs/>
          <w:color w:val="000000"/>
          <w:sz w:val="24"/>
          <w:szCs w:val="24"/>
        </w:rPr>
        <w:t>表1  职业面向表</w:t>
      </w:r>
    </w:p>
    <w:bookmarkEnd w:id="16"/>
    <w:tbl>
      <w:tblPr>
        <w:tblStyle w:val="24"/>
        <w:tblpPr w:leftFromText="180" w:rightFromText="180" w:vertAnchor="text" w:horzAnchor="margin" w:tblpXSpec="center" w:tblpY="67"/>
        <w:tblW w:w="524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4"/>
        <w:gridCol w:w="1152"/>
        <w:gridCol w:w="1356"/>
        <w:gridCol w:w="1502"/>
        <w:gridCol w:w="1828"/>
        <w:gridCol w:w="1823"/>
      </w:tblGrid>
      <w:tr w14:paraId="31EF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exact"/>
        </w:trPr>
        <w:tc>
          <w:tcPr>
            <w:tcW w:w="1287" w:type="dxa"/>
            <w:vAlign w:val="center"/>
          </w:tcPr>
          <w:p w14:paraId="35306465">
            <w:pPr>
              <w:jc w:val="center"/>
              <w:rPr>
                <w:rFonts w:ascii="Times New Roman" w:hAnsi="Times New Roman"/>
                <w:color w:val="000000"/>
                <w:sz w:val="24"/>
                <w:szCs w:val="24"/>
              </w:rPr>
            </w:pPr>
            <w:r>
              <w:rPr>
                <w:rFonts w:hint="eastAsia" w:ascii="Times New Roman" w:hAnsi="Times New Roman"/>
                <w:color w:val="000000"/>
                <w:sz w:val="24"/>
                <w:szCs w:val="24"/>
              </w:rPr>
              <w:t>所属专业大类（代码）</w:t>
            </w:r>
          </w:p>
        </w:tc>
        <w:tc>
          <w:tcPr>
            <w:tcW w:w="1153" w:type="dxa"/>
            <w:vAlign w:val="center"/>
          </w:tcPr>
          <w:p w14:paraId="43200198">
            <w:pPr>
              <w:jc w:val="center"/>
              <w:rPr>
                <w:rFonts w:ascii="Times New Roman" w:hAnsi="Times New Roman"/>
                <w:color w:val="000000"/>
                <w:sz w:val="24"/>
                <w:szCs w:val="24"/>
              </w:rPr>
            </w:pPr>
            <w:r>
              <w:rPr>
                <w:rFonts w:hint="eastAsia" w:ascii="Times New Roman" w:hAnsi="Times New Roman"/>
                <w:color w:val="000000"/>
                <w:sz w:val="24"/>
                <w:szCs w:val="24"/>
              </w:rPr>
              <w:t>所属专业类</w:t>
            </w:r>
          </w:p>
          <w:p w14:paraId="79F6BB43">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1349" w:type="dxa"/>
            <w:vAlign w:val="center"/>
          </w:tcPr>
          <w:p w14:paraId="5A351D74">
            <w:pPr>
              <w:jc w:val="center"/>
              <w:rPr>
                <w:rFonts w:ascii="Times New Roman" w:hAnsi="Times New Roman"/>
                <w:color w:val="000000"/>
                <w:sz w:val="24"/>
                <w:szCs w:val="24"/>
              </w:rPr>
            </w:pPr>
            <w:r>
              <w:rPr>
                <w:rFonts w:hint="eastAsia" w:ascii="Times New Roman" w:hAnsi="Times New Roman"/>
                <w:color w:val="000000"/>
                <w:sz w:val="24"/>
                <w:szCs w:val="24"/>
              </w:rPr>
              <w:t>对应行业</w:t>
            </w:r>
          </w:p>
          <w:p w14:paraId="081F01D7">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1502" w:type="dxa"/>
            <w:vAlign w:val="center"/>
          </w:tcPr>
          <w:p w14:paraId="60EFB426">
            <w:pPr>
              <w:jc w:val="center"/>
              <w:rPr>
                <w:rFonts w:ascii="Times New Roman" w:hAnsi="Times New Roman"/>
                <w:color w:val="000000"/>
                <w:sz w:val="24"/>
                <w:szCs w:val="24"/>
              </w:rPr>
            </w:pPr>
            <w:r>
              <w:rPr>
                <w:rFonts w:hint="eastAsia" w:ascii="Times New Roman" w:hAnsi="Times New Roman"/>
                <w:color w:val="000000"/>
                <w:sz w:val="24"/>
                <w:szCs w:val="24"/>
              </w:rPr>
              <w:t>主要职业类别（代码）</w:t>
            </w:r>
          </w:p>
        </w:tc>
        <w:tc>
          <w:tcPr>
            <w:tcW w:w="1831" w:type="dxa"/>
            <w:vAlign w:val="center"/>
          </w:tcPr>
          <w:p w14:paraId="51256826">
            <w:pPr>
              <w:jc w:val="center"/>
              <w:rPr>
                <w:rFonts w:ascii="Times New Roman" w:hAnsi="Times New Roman"/>
                <w:color w:val="000000"/>
                <w:sz w:val="24"/>
                <w:szCs w:val="24"/>
              </w:rPr>
            </w:pPr>
            <w:r>
              <w:rPr>
                <w:rFonts w:hint="eastAsia" w:ascii="Times New Roman" w:hAnsi="Times New Roman"/>
                <w:color w:val="000000"/>
                <w:sz w:val="24"/>
                <w:szCs w:val="24"/>
              </w:rPr>
              <w:t>主要岗位群或技术领域举例</w:t>
            </w:r>
          </w:p>
        </w:tc>
        <w:tc>
          <w:tcPr>
            <w:tcW w:w="1826" w:type="dxa"/>
          </w:tcPr>
          <w:p w14:paraId="463DDA86">
            <w:pPr>
              <w:jc w:val="center"/>
              <w:rPr>
                <w:rFonts w:ascii="Times New Roman" w:hAnsi="Times New Roman"/>
                <w:color w:val="000000"/>
                <w:sz w:val="24"/>
                <w:szCs w:val="24"/>
              </w:rPr>
            </w:pPr>
            <w:r>
              <w:rPr>
                <w:rFonts w:hint="eastAsia" w:ascii="Times New Roman" w:hAnsi="Times New Roman"/>
                <w:color w:val="000000"/>
                <w:sz w:val="24"/>
                <w:szCs w:val="24"/>
              </w:rPr>
              <w:t>职业资格证书或技能等级证书举例</w:t>
            </w:r>
          </w:p>
        </w:tc>
      </w:tr>
      <w:tr w14:paraId="2B72B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exact"/>
        </w:trPr>
        <w:tc>
          <w:tcPr>
            <w:tcW w:w="1287" w:type="dxa"/>
            <w:vAlign w:val="center"/>
          </w:tcPr>
          <w:p w14:paraId="7EF67695">
            <w:pPr>
              <w:jc w:val="center"/>
              <w:rPr>
                <w:rFonts w:hint="eastAsia" w:ascii="宋体" w:hAnsi="宋体" w:cs="Tahoma"/>
                <w:bCs/>
                <w:kern w:val="0"/>
                <w:szCs w:val="21"/>
              </w:rPr>
            </w:pPr>
            <w:r>
              <w:rPr>
                <w:rFonts w:hint="eastAsia" w:ascii="Times New Roman" w:hAnsi="Times New Roman"/>
                <w:sz w:val="24"/>
                <w:szCs w:val="24"/>
              </w:rPr>
              <w:t>63财经商贸大类</w:t>
            </w:r>
          </w:p>
        </w:tc>
        <w:tc>
          <w:tcPr>
            <w:tcW w:w="1153" w:type="dxa"/>
            <w:vAlign w:val="center"/>
          </w:tcPr>
          <w:p w14:paraId="55D7AB42">
            <w:pPr>
              <w:jc w:val="center"/>
              <w:rPr>
                <w:rFonts w:hint="eastAsia" w:ascii="宋体" w:hAnsi="宋体" w:cs="Tahoma"/>
                <w:bCs/>
                <w:kern w:val="0"/>
                <w:szCs w:val="21"/>
              </w:rPr>
            </w:pPr>
            <w:r>
              <w:rPr>
                <w:rFonts w:hint="eastAsia" w:ascii="Times New Roman" w:hAnsi="Times New Roman"/>
                <w:sz w:val="24"/>
                <w:szCs w:val="24"/>
              </w:rPr>
              <w:t>6309物流类</w:t>
            </w:r>
          </w:p>
        </w:tc>
        <w:tc>
          <w:tcPr>
            <w:tcW w:w="1349" w:type="dxa"/>
            <w:vAlign w:val="center"/>
          </w:tcPr>
          <w:p w14:paraId="31F407D4">
            <w:pPr>
              <w:jc w:val="center"/>
              <w:rPr>
                <w:rFonts w:hint="eastAsia" w:ascii="Times New Roman" w:hAnsi="Times New Roman" w:eastAsia="宋体"/>
                <w:sz w:val="24"/>
                <w:szCs w:val="24"/>
                <w:lang w:eastAsia="zh-CN"/>
              </w:rPr>
            </w:pPr>
            <w:r>
              <w:rPr>
                <w:rFonts w:hint="eastAsia" w:ascii="Times New Roman" w:hAnsi="Times New Roman"/>
                <w:sz w:val="24"/>
                <w:szCs w:val="24"/>
              </w:rPr>
              <w:t> </w:t>
            </w:r>
          </w:p>
          <w:p w14:paraId="716808E3">
            <w:pPr>
              <w:jc w:val="center"/>
              <w:rPr>
                <w:rFonts w:hint="eastAsia" w:ascii="宋体" w:hAnsi="宋体" w:cs="Tahoma"/>
                <w:bCs/>
                <w:kern w:val="0"/>
                <w:szCs w:val="21"/>
              </w:rPr>
            </w:pPr>
            <w:r>
              <w:rPr>
                <w:rFonts w:hint="eastAsia" w:ascii="Times New Roman" w:hAnsi="Times New Roman"/>
                <w:sz w:val="24"/>
                <w:szCs w:val="24"/>
              </w:rPr>
              <w:t> 仓储业（79）； 物资供销业 （78）</w:t>
            </w:r>
          </w:p>
        </w:tc>
        <w:tc>
          <w:tcPr>
            <w:tcW w:w="1502" w:type="dxa"/>
            <w:vAlign w:val="center"/>
          </w:tcPr>
          <w:p w14:paraId="699904CC">
            <w:pPr>
              <w:jc w:val="center"/>
              <w:rPr>
                <w:rFonts w:hint="eastAsia" w:ascii="宋体" w:hAnsi="宋体" w:cs="Tahoma"/>
                <w:bCs/>
                <w:kern w:val="0"/>
                <w:szCs w:val="21"/>
              </w:rPr>
            </w:pPr>
            <w:r>
              <w:rPr>
                <w:rFonts w:hint="eastAsia" w:ascii="Times New Roman" w:hAnsi="Times New Roman"/>
                <w:color w:val="000000"/>
                <w:sz w:val="24"/>
                <w:szCs w:val="24"/>
              </w:rPr>
              <w:t>仓储人员（4-02-06）</w:t>
            </w:r>
          </w:p>
        </w:tc>
        <w:tc>
          <w:tcPr>
            <w:tcW w:w="1831" w:type="dxa"/>
            <w:vAlign w:val="center"/>
          </w:tcPr>
          <w:p w14:paraId="68A84F4D">
            <w:pPr>
              <w:jc w:val="center"/>
              <w:rPr>
                <w:rFonts w:hint="eastAsia" w:ascii="宋体" w:hAnsi="宋体" w:cs="Tahoma"/>
                <w:bCs/>
                <w:kern w:val="0"/>
                <w:szCs w:val="21"/>
              </w:rPr>
            </w:pPr>
            <w:r>
              <w:rPr>
                <w:rFonts w:hint="eastAsia" w:ascii="Times New Roman" w:hAnsi="Times New Roman"/>
                <w:color w:val="000000"/>
                <w:sz w:val="24"/>
                <w:szCs w:val="24"/>
              </w:rPr>
              <w:t>物流计划员、采购、仓管员、运输计划与调度、配送、</w:t>
            </w:r>
          </w:p>
        </w:tc>
        <w:tc>
          <w:tcPr>
            <w:tcW w:w="1826" w:type="dxa"/>
          </w:tcPr>
          <w:p w14:paraId="03465631">
            <w:pPr>
              <w:jc w:val="center"/>
              <w:rPr>
                <w:rFonts w:ascii="Times New Roman" w:hAnsi="Times New Roman"/>
                <w:color w:val="000000"/>
                <w:sz w:val="24"/>
                <w:szCs w:val="24"/>
              </w:rPr>
            </w:pPr>
            <w:r>
              <w:rPr>
                <w:rFonts w:ascii="宋体" w:hAnsi="宋体" w:cs="宋体"/>
                <w:sz w:val="24"/>
                <w:szCs w:val="24"/>
              </w:rPr>
              <w:t>　国际物流职业资格认</w:t>
            </w:r>
            <w:r>
              <w:rPr>
                <w:rFonts w:hint="eastAsia" w:ascii="宋体" w:hAnsi="宋体" w:cs="宋体"/>
                <w:sz w:val="24"/>
                <w:szCs w:val="24"/>
              </w:rPr>
              <w:t>、</w:t>
            </w:r>
            <w:r>
              <w:rPr>
                <w:rFonts w:ascii="宋体" w:hAnsi="宋体" w:cs="宋体"/>
                <w:sz w:val="24"/>
                <w:szCs w:val="24"/>
              </w:rPr>
              <w:t>物流职业经理认证</w:t>
            </w:r>
            <w:r>
              <w:rPr>
                <w:rFonts w:hint="eastAsia" w:ascii="宋体" w:hAnsi="宋体" w:cs="宋体"/>
                <w:sz w:val="24"/>
                <w:szCs w:val="24"/>
              </w:rPr>
              <w:t>、</w:t>
            </w:r>
          </w:p>
          <w:p w14:paraId="58BEA0EF">
            <w:pPr>
              <w:jc w:val="center"/>
              <w:rPr>
                <w:rFonts w:hint="eastAsia" w:ascii="宋体" w:hAnsi="宋体" w:cs="Tahoma"/>
                <w:bCs/>
                <w:kern w:val="0"/>
                <w:szCs w:val="21"/>
              </w:rPr>
            </w:pPr>
            <w:r>
              <w:rPr>
                <w:rFonts w:hint="eastAsia" w:ascii="Times New Roman" w:hAnsi="Times New Roman"/>
                <w:color w:val="000000"/>
                <w:sz w:val="24"/>
                <w:szCs w:val="24"/>
              </w:rPr>
              <w:t>物流师、助理物流师</w:t>
            </w:r>
          </w:p>
        </w:tc>
      </w:tr>
      <w:bookmarkEnd w:id="20"/>
    </w:tbl>
    <w:p w14:paraId="12D81954">
      <w:pPr>
        <w:keepNext/>
        <w:keepLines/>
        <w:spacing w:line="500" w:lineRule="exact"/>
        <w:ind w:firstLine="643" w:firstLineChars="200"/>
        <w:outlineLvl w:val="0"/>
        <w:rPr>
          <w:rFonts w:eastAsia="黑体"/>
          <w:b/>
          <w:bCs/>
          <w:color w:val="000000"/>
          <w:kern w:val="44"/>
          <w:sz w:val="32"/>
          <w:szCs w:val="30"/>
        </w:rPr>
      </w:pPr>
      <w:bookmarkStart w:id="21" w:name="_Toc46303707"/>
      <w:bookmarkStart w:id="22" w:name="_Hlk11185969"/>
      <w:r>
        <w:rPr>
          <w:rFonts w:hint="eastAsia" w:eastAsia="黑体"/>
          <w:b/>
          <w:bCs/>
          <w:color w:val="000000"/>
          <w:kern w:val="44"/>
          <w:sz w:val="32"/>
          <w:szCs w:val="30"/>
        </w:rPr>
        <w:t>五、</w:t>
      </w:r>
      <w:bookmarkEnd w:id="9"/>
      <w:bookmarkEnd w:id="10"/>
      <w:r>
        <w:rPr>
          <w:rFonts w:hint="eastAsia" w:eastAsia="黑体"/>
          <w:b/>
          <w:bCs/>
          <w:color w:val="000000"/>
          <w:kern w:val="44"/>
          <w:sz w:val="32"/>
          <w:szCs w:val="30"/>
        </w:rPr>
        <w:t>培养目标及培养规格</w:t>
      </w:r>
      <w:bookmarkEnd w:id="17"/>
      <w:bookmarkEnd w:id="18"/>
      <w:bookmarkEnd w:id="19"/>
      <w:bookmarkEnd w:id="21"/>
    </w:p>
    <w:bookmarkEnd w:id="22"/>
    <w:p w14:paraId="3074C2BD">
      <w:pPr>
        <w:keepNext/>
        <w:keepLines/>
        <w:spacing w:line="500" w:lineRule="exact"/>
        <w:ind w:firstLine="562" w:firstLineChars="200"/>
        <w:outlineLvl w:val="1"/>
        <w:rPr>
          <w:rFonts w:ascii="Arial" w:hAnsi="Arial" w:eastAsia="黑体"/>
          <w:b/>
          <w:bCs/>
          <w:color w:val="000000"/>
          <w:sz w:val="28"/>
          <w:szCs w:val="28"/>
        </w:rPr>
      </w:pPr>
      <w:bookmarkStart w:id="23" w:name="_Toc46303708"/>
      <w:bookmarkStart w:id="24" w:name="_Toc407696135"/>
      <w:bookmarkStart w:id="25" w:name="_Toc407697893"/>
      <w:bookmarkStart w:id="26" w:name="_Toc405393378"/>
      <w:r>
        <w:rPr>
          <w:rFonts w:hint="eastAsia" w:ascii="Arial" w:hAnsi="Arial" w:eastAsia="黑体"/>
          <w:b/>
          <w:bCs/>
          <w:color w:val="000000"/>
          <w:sz w:val="28"/>
          <w:szCs w:val="28"/>
        </w:rPr>
        <w:t>（一）培养目标</w:t>
      </w:r>
      <w:bookmarkEnd w:id="23"/>
      <w:bookmarkEnd w:id="24"/>
      <w:bookmarkEnd w:id="25"/>
      <w:bookmarkEnd w:id="26"/>
    </w:p>
    <w:p w14:paraId="5987FD47">
      <w:pPr>
        <w:pStyle w:val="78"/>
        <w:ind w:firstLine="480"/>
      </w:pPr>
      <w:bookmarkStart w:id="27" w:name="_Toc46303711"/>
      <w:bookmarkStart w:id="28" w:name="_Hlk11186088"/>
      <w:r>
        <w:rPr>
          <w:rFonts w:hint="eastAsia"/>
        </w:rPr>
        <w:t>以习近平新时代中国特色社会主义思想为指导，全面贯彻党的教育方针，落实立德树人根本任务，深化产教融合、校企合作，健全德技并修、工学结合的育人机制和多方参与的质量评价机制，深入推进教师、教材、教法改革，总结现代学徒制试点成功经验和典型案例，在本校物流专业中，全面推广由政府引导、行业参与、社会支持、企业和职业学校双主体育人的中国特色现代学徒制。相关岗位要求的人才。</w:t>
      </w:r>
    </w:p>
    <w:p w14:paraId="75B9FE9B">
      <w:pPr>
        <w:keepNext/>
        <w:keepLines/>
        <w:spacing w:line="500" w:lineRule="exact"/>
        <w:ind w:firstLine="562" w:firstLineChars="200"/>
        <w:outlineLvl w:val="1"/>
        <w:rPr>
          <w:rFonts w:ascii="Arial" w:hAnsi="Arial" w:eastAsia="黑体"/>
          <w:b/>
          <w:bCs/>
          <w:color w:val="FF0000"/>
          <w:sz w:val="24"/>
          <w:szCs w:val="24"/>
        </w:rPr>
      </w:pPr>
      <w:r>
        <w:rPr>
          <w:rFonts w:hint="eastAsia" w:ascii="Arial" w:hAnsi="Arial" w:eastAsia="黑体"/>
          <w:b/>
          <w:bCs/>
          <w:color w:val="000000"/>
          <w:sz w:val="28"/>
          <w:szCs w:val="28"/>
        </w:rPr>
        <w:t>（二）培养规格</w:t>
      </w:r>
      <w:bookmarkEnd w:id="27"/>
    </w:p>
    <w:bookmarkEnd w:id="28"/>
    <w:p w14:paraId="348120E2">
      <w:pPr>
        <w:spacing w:line="500" w:lineRule="exact"/>
        <w:ind w:firstLine="482" w:firstLineChars="200"/>
        <w:rPr>
          <w:rFonts w:hint="eastAsia" w:ascii="黑体" w:hAnsi="黑体" w:eastAsia="黑体" w:cs="宋体"/>
          <w:b/>
          <w:sz w:val="24"/>
          <w:szCs w:val="24"/>
        </w:rPr>
      </w:pPr>
      <w:r>
        <w:rPr>
          <w:rFonts w:hint="eastAsia" w:ascii="黑体" w:hAnsi="黑体" w:eastAsia="黑体" w:cs="宋体"/>
          <w:b/>
          <w:sz w:val="24"/>
          <w:szCs w:val="24"/>
        </w:rPr>
        <w:t>1、素质</w:t>
      </w:r>
    </w:p>
    <w:p w14:paraId="3872BC61">
      <w:pPr>
        <w:spacing w:line="360" w:lineRule="auto"/>
        <w:ind w:firstLine="470" w:firstLineChars="196"/>
        <w:rPr>
          <w:rFonts w:hint="eastAsia"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14:paraId="0F33AD24">
      <w:pPr>
        <w:spacing w:line="360" w:lineRule="auto"/>
        <w:ind w:firstLine="470" w:firstLineChars="196"/>
        <w:rPr>
          <w:rFonts w:hint="eastAsia"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14:paraId="1F65DE58">
      <w:pPr>
        <w:spacing w:line="360" w:lineRule="auto"/>
        <w:ind w:firstLine="470" w:firstLineChars="196"/>
        <w:rPr>
          <w:rFonts w:hint="eastAsia" w:ascii="宋体" w:hAnsi="宋体"/>
          <w:sz w:val="24"/>
          <w:szCs w:val="24"/>
        </w:rPr>
      </w:pPr>
      <w:r>
        <w:rPr>
          <w:rFonts w:hint="eastAsia" w:ascii="宋体" w:hAnsi="宋体"/>
          <w:sz w:val="24"/>
          <w:szCs w:val="24"/>
        </w:rPr>
        <w:t>(3）具有质量意识、环保意识、安全意识、信息素养、工匠精神、创新思维。</w:t>
      </w:r>
    </w:p>
    <w:p w14:paraId="0D81E4DF">
      <w:pPr>
        <w:spacing w:line="360" w:lineRule="auto"/>
        <w:ind w:firstLine="470" w:firstLineChars="196"/>
        <w:rPr>
          <w:rFonts w:hint="eastAsia"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14:paraId="4208E6DD">
      <w:pPr>
        <w:spacing w:line="360" w:lineRule="auto"/>
        <w:ind w:firstLine="470" w:firstLineChars="196"/>
        <w:rPr>
          <w:rFonts w:hint="eastAsia"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14:paraId="24AA3B5F">
      <w:pPr>
        <w:spacing w:line="360" w:lineRule="auto"/>
        <w:ind w:firstLine="470" w:firstLineChars="196"/>
        <w:rPr>
          <w:rFonts w:hint="eastAsia"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14:paraId="424091E4">
      <w:pPr>
        <w:spacing w:line="500" w:lineRule="exact"/>
        <w:ind w:firstLine="482" w:firstLineChars="200"/>
        <w:rPr>
          <w:rFonts w:hint="eastAsia" w:ascii="黑体" w:hAnsi="黑体" w:eastAsia="黑体" w:cs="宋体"/>
          <w:b/>
          <w:sz w:val="24"/>
          <w:szCs w:val="24"/>
        </w:rPr>
      </w:pPr>
      <w:r>
        <w:rPr>
          <w:rFonts w:hint="eastAsia" w:ascii="黑体" w:hAnsi="黑体" w:eastAsia="黑体" w:cs="宋体"/>
          <w:b/>
          <w:sz w:val="24"/>
          <w:szCs w:val="24"/>
        </w:rPr>
        <w:t>2、知识</w:t>
      </w:r>
    </w:p>
    <w:p w14:paraId="3F5A56C9">
      <w:pPr>
        <w:spacing w:line="360" w:lineRule="auto"/>
        <w:ind w:firstLine="470" w:firstLineChars="196"/>
        <w:rPr>
          <w:rFonts w:hint="eastAsia" w:ascii="宋体" w:hAnsi="宋体"/>
          <w:sz w:val="24"/>
          <w:szCs w:val="24"/>
        </w:rPr>
      </w:pPr>
      <w:r>
        <w:rPr>
          <w:rFonts w:hint="eastAsia" w:ascii="宋体" w:hAnsi="宋体"/>
          <w:sz w:val="24"/>
          <w:szCs w:val="24"/>
        </w:rPr>
        <w:t>（1）掌握高等技术应用型人才必备的外语和其它文化知识。</w:t>
      </w:r>
    </w:p>
    <w:p w14:paraId="1A3E0D75">
      <w:pPr>
        <w:spacing w:line="360" w:lineRule="auto"/>
        <w:ind w:firstLine="470" w:firstLineChars="196"/>
        <w:rPr>
          <w:rFonts w:hint="eastAsia" w:ascii="宋体" w:hAnsi="宋体"/>
          <w:sz w:val="24"/>
          <w:szCs w:val="24"/>
        </w:rPr>
      </w:pPr>
      <w:r>
        <w:rPr>
          <w:rFonts w:hint="eastAsia" w:ascii="宋体" w:hAnsi="宋体"/>
          <w:sz w:val="24"/>
          <w:szCs w:val="24"/>
        </w:rPr>
        <w:t>（2）掌握营销职业道德和公关礼仪的基本知识。</w:t>
      </w:r>
    </w:p>
    <w:p w14:paraId="30F42C2D">
      <w:pPr>
        <w:spacing w:line="360" w:lineRule="auto"/>
        <w:ind w:firstLine="470" w:firstLineChars="196"/>
        <w:rPr>
          <w:rFonts w:hint="eastAsia" w:ascii="宋体" w:hAnsi="宋体"/>
          <w:sz w:val="24"/>
          <w:szCs w:val="24"/>
        </w:rPr>
      </w:pPr>
      <w:r>
        <w:rPr>
          <w:rFonts w:hint="eastAsia" w:ascii="宋体" w:hAnsi="宋体"/>
          <w:sz w:val="24"/>
          <w:szCs w:val="24"/>
        </w:rPr>
        <w:t>（3）系统掌握物流基本理论与基本知识。</w:t>
      </w:r>
    </w:p>
    <w:p w14:paraId="4AC7B5FD">
      <w:pPr>
        <w:spacing w:line="360" w:lineRule="auto"/>
        <w:ind w:firstLine="470" w:firstLineChars="196"/>
        <w:rPr>
          <w:rFonts w:hint="eastAsia" w:ascii="宋体" w:hAnsi="宋体"/>
          <w:sz w:val="24"/>
          <w:szCs w:val="24"/>
        </w:rPr>
      </w:pPr>
      <w:r>
        <w:rPr>
          <w:rFonts w:hint="eastAsia" w:ascii="宋体" w:hAnsi="宋体"/>
          <w:sz w:val="24"/>
          <w:szCs w:val="24"/>
        </w:rPr>
        <w:t>（4）熟练掌握采购、仓储、运输、客服、出纳和运营管理等物流管理方面的工作技巧和方法。</w:t>
      </w:r>
    </w:p>
    <w:p w14:paraId="1F399641">
      <w:pPr>
        <w:spacing w:line="360" w:lineRule="auto"/>
        <w:ind w:firstLine="470" w:firstLineChars="196"/>
        <w:rPr>
          <w:rFonts w:hint="eastAsia" w:ascii="宋体" w:hAnsi="宋体"/>
          <w:sz w:val="24"/>
          <w:szCs w:val="24"/>
        </w:rPr>
      </w:pPr>
      <w:r>
        <w:rPr>
          <w:rFonts w:hint="eastAsia" w:ascii="宋体" w:hAnsi="宋体"/>
          <w:sz w:val="24"/>
          <w:szCs w:val="24"/>
        </w:rPr>
        <w:t>（5）掌握国内外物流管理相关理论、贸易政策与法规知识。</w:t>
      </w:r>
    </w:p>
    <w:p w14:paraId="4980B05A">
      <w:pPr>
        <w:spacing w:line="500" w:lineRule="exact"/>
        <w:ind w:firstLine="482" w:firstLineChars="200"/>
        <w:rPr>
          <w:rFonts w:hint="eastAsia" w:ascii="黑体" w:hAnsi="黑体" w:eastAsia="黑体" w:cs="宋体"/>
          <w:b/>
          <w:sz w:val="24"/>
          <w:szCs w:val="24"/>
        </w:rPr>
      </w:pPr>
      <w:r>
        <w:rPr>
          <w:rFonts w:hint="eastAsia" w:ascii="黑体" w:hAnsi="黑体" w:eastAsia="黑体" w:cs="宋体"/>
          <w:b/>
          <w:sz w:val="24"/>
          <w:szCs w:val="24"/>
        </w:rPr>
        <w:t>3、能力</w:t>
      </w:r>
    </w:p>
    <w:p w14:paraId="1407A9F4">
      <w:pPr>
        <w:pStyle w:val="78"/>
        <w:ind w:firstLine="480"/>
      </w:pPr>
      <w:r>
        <w:rPr>
          <w:rFonts w:hint="eastAsia"/>
        </w:rPr>
        <w:t>1.通用能力：</w:t>
      </w:r>
    </w:p>
    <w:p w14:paraId="0AA5DAB4">
      <w:pPr>
        <w:spacing w:line="500" w:lineRule="exact"/>
        <w:ind w:firstLine="480" w:firstLineChars="200"/>
        <w:rPr>
          <w:rFonts w:hint="eastAsia" w:ascii="宋体" w:hAnsi="宋体"/>
          <w:sz w:val="24"/>
          <w:szCs w:val="24"/>
        </w:rPr>
      </w:pPr>
      <w:r>
        <w:rPr>
          <w:rFonts w:hint="eastAsia" w:ascii="宋体" w:hAnsi="宋体"/>
          <w:sz w:val="24"/>
          <w:szCs w:val="24"/>
        </w:rPr>
        <w:t>（1）具备基本的计算机操作与办公软件应用能力</w:t>
      </w:r>
    </w:p>
    <w:p w14:paraId="25D151B1">
      <w:pPr>
        <w:spacing w:line="500" w:lineRule="exact"/>
        <w:ind w:firstLine="480" w:firstLineChars="200"/>
        <w:rPr>
          <w:rFonts w:hint="eastAsia" w:ascii="宋体" w:hAnsi="宋体"/>
          <w:sz w:val="24"/>
          <w:szCs w:val="24"/>
        </w:rPr>
      </w:pPr>
      <w:r>
        <w:rPr>
          <w:rFonts w:hint="eastAsia" w:ascii="宋体" w:hAnsi="宋体"/>
          <w:sz w:val="24"/>
          <w:szCs w:val="24"/>
        </w:rPr>
        <w:t>（2）具备较好的语言表达与文字写作能力</w:t>
      </w:r>
    </w:p>
    <w:p w14:paraId="6E4182E1">
      <w:pPr>
        <w:spacing w:line="500" w:lineRule="exact"/>
        <w:ind w:firstLine="480" w:firstLineChars="200"/>
        <w:rPr>
          <w:rFonts w:hint="eastAsia" w:ascii="宋体" w:hAnsi="宋体"/>
          <w:sz w:val="24"/>
          <w:szCs w:val="24"/>
        </w:rPr>
      </w:pPr>
      <w:r>
        <w:rPr>
          <w:rFonts w:hint="eastAsia" w:ascii="宋体" w:hAnsi="宋体"/>
          <w:sz w:val="24"/>
          <w:szCs w:val="24"/>
        </w:rPr>
        <w:t>（3）具备较好的团队合作能力</w:t>
      </w:r>
    </w:p>
    <w:p w14:paraId="39B3758D">
      <w:pPr>
        <w:spacing w:line="500" w:lineRule="exact"/>
        <w:ind w:firstLine="480" w:firstLineChars="200"/>
        <w:rPr>
          <w:rFonts w:hint="eastAsia" w:ascii="宋体" w:hAnsi="宋体" w:cs="宋体"/>
          <w:sz w:val="24"/>
          <w:szCs w:val="24"/>
        </w:rPr>
      </w:pPr>
      <w:r>
        <w:rPr>
          <w:rFonts w:hint="eastAsia" w:ascii="宋体" w:hAnsi="宋体" w:cs="宋体"/>
          <w:sz w:val="24"/>
          <w:szCs w:val="24"/>
        </w:rPr>
        <w:t>（4）具备较好的自主学习能力</w:t>
      </w:r>
    </w:p>
    <w:p w14:paraId="31C417A7">
      <w:pPr>
        <w:spacing w:line="500" w:lineRule="exact"/>
        <w:ind w:firstLine="480" w:firstLineChars="200"/>
        <w:rPr>
          <w:rFonts w:hint="eastAsia" w:ascii="宋体" w:hAnsi="宋体" w:cs="宋体"/>
          <w:sz w:val="24"/>
          <w:szCs w:val="24"/>
        </w:rPr>
      </w:pPr>
      <w:r>
        <w:rPr>
          <w:rFonts w:hint="eastAsia" w:ascii="宋体" w:hAnsi="宋体" w:cs="宋体"/>
          <w:sz w:val="24"/>
          <w:szCs w:val="24"/>
        </w:rPr>
        <w:t>（5）具备良好的分析问题、解决问题的能力</w:t>
      </w:r>
    </w:p>
    <w:p w14:paraId="2CD16A31">
      <w:pPr>
        <w:spacing w:line="500" w:lineRule="exact"/>
        <w:ind w:firstLine="480" w:firstLineChars="200"/>
        <w:rPr>
          <w:rFonts w:hint="eastAsia" w:ascii="宋体" w:hAnsi="宋体" w:cs="宋体"/>
          <w:sz w:val="24"/>
          <w:szCs w:val="24"/>
        </w:rPr>
      </w:pPr>
      <w:r>
        <w:rPr>
          <w:rFonts w:hint="eastAsia" w:ascii="宋体" w:hAnsi="宋体" w:cs="宋体"/>
          <w:sz w:val="24"/>
          <w:szCs w:val="24"/>
        </w:rPr>
        <w:t>（6）具备一定的实践及创新能力</w:t>
      </w:r>
    </w:p>
    <w:p w14:paraId="23B55FC1">
      <w:pPr>
        <w:spacing w:line="500" w:lineRule="exact"/>
        <w:ind w:firstLine="480" w:firstLineChars="200"/>
        <w:rPr>
          <w:rFonts w:hint="eastAsia" w:ascii="宋体" w:hAnsi="宋体"/>
          <w:sz w:val="24"/>
          <w:szCs w:val="24"/>
        </w:rPr>
      </w:pPr>
      <w:r>
        <w:rPr>
          <w:rFonts w:hint="eastAsia" w:ascii="宋体" w:hAnsi="宋体"/>
          <w:sz w:val="24"/>
          <w:szCs w:val="24"/>
        </w:rPr>
        <w:t>2.专门能力及拓展能力：</w:t>
      </w:r>
    </w:p>
    <w:p w14:paraId="65C8A1B3">
      <w:pPr>
        <w:spacing w:line="500" w:lineRule="exact"/>
        <w:ind w:firstLine="480" w:firstLineChars="200"/>
        <w:rPr>
          <w:rFonts w:hint="eastAsia" w:ascii="宋体" w:hAnsi="宋体"/>
          <w:sz w:val="24"/>
          <w:szCs w:val="24"/>
        </w:rPr>
      </w:pPr>
      <w:r>
        <w:rPr>
          <w:rFonts w:hint="eastAsia" w:ascii="宋体" w:hAnsi="宋体"/>
          <w:sz w:val="24"/>
          <w:szCs w:val="24"/>
        </w:rPr>
        <w:t>有目的的、符合物流管理专业要求的、按照一定方法独立完成任务、解决问题和评价结果的能力，根据典型工作任务所对应的职业行动领域的进一步细化的能力要求有：</w:t>
      </w:r>
    </w:p>
    <w:p w14:paraId="747ECEF5">
      <w:pPr>
        <w:spacing w:line="500" w:lineRule="exact"/>
        <w:ind w:firstLine="480" w:firstLineChars="200"/>
        <w:rPr>
          <w:rFonts w:hint="eastAsia" w:ascii="宋体" w:hAnsi="宋体"/>
          <w:sz w:val="24"/>
          <w:szCs w:val="24"/>
        </w:rPr>
      </w:pPr>
      <w:r>
        <w:rPr>
          <w:rFonts w:hint="eastAsia" w:ascii="宋体" w:hAnsi="宋体"/>
          <w:sz w:val="24"/>
          <w:szCs w:val="24"/>
        </w:rPr>
        <w:t>（1）传统物流的基础上，掌握运输、仓储、库存、装卸搬运以及包装等物流操作技能基本能力</w:t>
      </w:r>
    </w:p>
    <w:p w14:paraId="3DD0D1E4">
      <w:pPr>
        <w:spacing w:line="500" w:lineRule="exact"/>
        <w:ind w:firstLine="480" w:firstLineChars="200"/>
        <w:rPr>
          <w:rFonts w:hint="eastAsia" w:ascii="宋体" w:hAnsi="宋体"/>
          <w:sz w:val="24"/>
          <w:szCs w:val="24"/>
        </w:rPr>
      </w:pPr>
      <w:r>
        <w:rPr>
          <w:rFonts w:hint="eastAsia" w:ascii="宋体" w:hAnsi="宋体"/>
          <w:sz w:val="24"/>
          <w:szCs w:val="24"/>
        </w:rPr>
        <w:t>（2）引入高科技手段，运用计算机进行信息联网能力</w:t>
      </w:r>
    </w:p>
    <w:p w14:paraId="43BF64A1">
      <w:pPr>
        <w:spacing w:line="500" w:lineRule="exact"/>
        <w:ind w:firstLine="480" w:firstLineChars="200"/>
        <w:rPr>
          <w:rFonts w:hint="eastAsia" w:ascii="宋体" w:hAnsi="宋体"/>
          <w:sz w:val="24"/>
          <w:szCs w:val="24"/>
        </w:rPr>
      </w:pPr>
      <w:r>
        <w:rPr>
          <w:rFonts w:hint="eastAsia" w:ascii="宋体" w:hAnsi="宋体"/>
          <w:sz w:val="24"/>
          <w:szCs w:val="24"/>
        </w:rPr>
        <w:t>（3）对物流信息进行科学管理能力</w:t>
      </w:r>
    </w:p>
    <w:p w14:paraId="2125FF2C">
      <w:pPr>
        <w:spacing w:line="500" w:lineRule="exact"/>
        <w:ind w:firstLine="480" w:firstLineChars="200"/>
        <w:rPr>
          <w:rFonts w:hint="eastAsia" w:ascii="宋体" w:hAnsi="宋体"/>
          <w:sz w:val="24"/>
          <w:szCs w:val="24"/>
        </w:rPr>
      </w:pPr>
      <w:r>
        <w:rPr>
          <w:rFonts w:hint="eastAsia" w:ascii="宋体" w:hAnsi="宋体"/>
          <w:sz w:val="24"/>
          <w:szCs w:val="24"/>
        </w:rPr>
        <w:t>（4）初步具备国际物流基本操作能力</w:t>
      </w:r>
    </w:p>
    <w:p w14:paraId="00C802D1">
      <w:pPr>
        <w:spacing w:line="500" w:lineRule="exact"/>
        <w:ind w:firstLine="480" w:firstLineChars="200"/>
        <w:rPr>
          <w:rFonts w:hint="eastAsia" w:ascii="宋体" w:hAnsi="宋体"/>
          <w:sz w:val="24"/>
          <w:szCs w:val="24"/>
        </w:rPr>
      </w:pPr>
      <w:r>
        <w:rPr>
          <w:rFonts w:hint="eastAsia" w:ascii="宋体" w:hAnsi="宋体"/>
          <w:sz w:val="24"/>
          <w:szCs w:val="24"/>
        </w:rPr>
        <w:t>（5）初步具备微小物流公司创业的能力</w:t>
      </w:r>
    </w:p>
    <w:p w14:paraId="1FA222BD">
      <w:pPr>
        <w:ind w:firstLine="482" w:firstLineChars="200"/>
        <w:rPr>
          <w:rFonts w:hint="eastAsia" w:ascii="黑体" w:hAnsi="黑体" w:eastAsia="黑体" w:cs="宋体"/>
          <w:b/>
          <w:sz w:val="24"/>
          <w:szCs w:val="24"/>
        </w:rPr>
      </w:pPr>
    </w:p>
    <w:p w14:paraId="65C7D4CA">
      <w:pPr>
        <w:tabs>
          <w:tab w:val="left" w:pos="484"/>
        </w:tabs>
        <w:rPr>
          <w:rFonts w:hint="eastAsia" w:ascii="黑体" w:hAnsi="黑体" w:eastAsia="黑体" w:cs="宋体"/>
          <w:sz w:val="24"/>
          <w:szCs w:val="24"/>
        </w:rPr>
        <w:sectPr>
          <w:footerReference r:id="rId4" w:type="default"/>
          <w:pgSz w:w="11906" w:h="16838"/>
          <w:pgMar w:top="1440" w:right="1800" w:bottom="1440" w:left="1800" w:header="851" w:footer="992" w:gutter="0"/>
          <w:cols w:space="425" w:num="1"/>
          <w:docGrid w:type="lines" w:linePitch="312" w:charSpace="0"/>
        </w:sectPr>
      </w:pPr>
      <w:r>
        <w:rPr>
          <w:rFonts w:hint="eastAsia" w:ascii="黑体" w:hAnsi="黑体" w:eastAsia="黑体" w:cs="宋体"/>
          <w:sz w:val="24"/>
          <w:szCs w:val="24"/>
        </w:rPr>
        <w:tab/>
      </w:r>
    </w:p>
    <w:p w14:paraId="02EDDA48">
      <w:pPr>
        <w:keepNext/>
        <w:keepLines/>
        <w:spacing w:line="500" w:lineRule="exact"/>
        <w:ind w:firstLine="643" w:firstLineChars="200"/>
        <w:outlineLvl w:val="0"/>
        <w:rPr>
          <w:rFonts w:eastAsia="黑体"/>
          <w:b/>
          <w:bCs/>
          <w:color w:val="000000"/>
          <w:kern w:val="44"/>
          <w:sz w:val="32"/>
          <w:szCs w:val="30"/>
        </w:rPr>
      </w:pPr>
      <w:bookmarkStart w:id="29" w:name="_Toc407696144"/>
      <w:bookmarkStart w:id="30" w:name="_Toc405393387"/>
      <w:bookmarkStart w:id="31" w:name="_Toc407697902"/>
      <w:bookmarkStart w:id="32" w:name="_Hlk11958231"/>
      <w:r>
        <w:rPr>
          <w:rFonts w:hint="eastAsia" w:eastAsia="黑体"/>
          <w:b/>
          <w:bCs/>
          <w:color w:val="000000"/>
          <w:kern w:val="44"/>
          <w:sz w:val="32"/>
          <w:szCs w:val="30"/>
        </w:rPr>
        <w:t>六、专业教学体系</w:t>
      </w:r>
    </w:p>
    <w:p w14:paraId="4D2C88B8">
      <w:pPr>
        <w:keepNext/>
        <w:keepLines/>
        <w:spacing w:line="500" w:lineRule="exact"/>
        <w:ind w:firstLine="562" w:firstLineChars="200"/>
        <w:outlineLvl w:val="1"/>
        <w:rPr>
          <w:rFonts w:ascii="Arial" w:hAnsi="Arial" w:eastAsia="黑体"/>
          <w:b/>
          <w:bCs/>
          <w:color w:val="000000"/>
          <w:sz w:val="28"/>
          <w:szCs w:val="28"/>
        </w:rPr>
      </w:pPr>
      <w:bookmarkStart w:id="33" w:name="_Toc407697901"/>
      <w:bookmarkStart w:id="34" w:name="_Toc405393386"/>
      <w:bookmarkStart w:id="35" w:name="_Toc407696143"/>
      <w:bookmarkStart w:id="36" w:name="_Toc46303715"/>
      <w:r>
        <w:rPr>
          <w:rFonts w:hint="eastAsia" w:ascii="Arial" w:hAnsi="Arial" w:eastAsia="黑体"/>
          <w:b/>
          <w:bCs/>
          <w:color w:val="000000"/>
          <w:sz w:val="28"/>
          <w:szCs w:val="28"/>
        </w:rPr>
        <w:t>（一）</w:t>
      </w:r>
      <w:bookmarkEnd w:id="33"/>
      <w:bookmarkEnd w:id="34"/>
      <w:bookmarkEnd w:id="35"/>
      <w:bookmarkEnd w:id="36"/>
      <w:r>
        <w:rPr>
          <w:rFonts w:hint="eastAsia" w:ascii="Arial" w:hAnsi="Arial" w:eastAsia="黑体"/>
          <w:b/>
          <w:bCs/>
          <w:color w:val="000000"/>
          <w:sz w:val="28"/>
          <w:szCs w:val="28"/>
        </w:rPr>
        <w:t>职业能力分析与课程设置思路</w:t>
      </w:r>
    </w:p>
    <w:p w14:paraId="25F2A45B">
      <w:pPr>
        <w:pStyle w:val="78"/>
        <w:ind w:firstLine="480"/>
        <w:jc w:val="center"/>
        <w:rPr>
          <w:rFonts w:hint="eastAsia" w:ascii="宋体" w:hAnsi="宋体"/>
          <w:szCs w:val="24"/>
        </w:rPr>
      </w:pPr>
      <w:r>
        <w:rPr>
          <w:rFonts w:hint="eastAsia" w:ascii="宋体" w:hAnsi="宋体" w:cs="宋体"/>
          <w:szCs w:val="24"/>
        </w:rPr>
        <w:t>表</w:t>
      </w:r>
      <w:r>
        <w:rPr>
          <w:rFonts w:ascii="宋体" w:hAnsi="宋体"/>
          <w:szCs w:val="24"/>
        </w:rPr>
        <w:t xml:space="preserve">2 </w:t>
      </w:r>
      <w:r>
        <w:rPr>
          <w:rFonts w:hint="eastAsia" w:ascii="宋体" w:hAnsi="宋体" w:cs="宋体"/>
          <w:szCs w:val="24"/>
        </w:rPr>
        <w:t>专业岗位核心能力分析和专业课程配置分析表</w:t>
      </w:r>
    </w:p>
    <w:tbl>
      <w:tblPr>
        <w:tblStyle w:val="24"/>
        <w:tblW w:w="13920" w:type="dxa"/>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1620"/>
        <w:gridCol w:w="2266"/>
        <w:gridCol w:w="4784"/>
        <w:gridCol w:w="4784"/>
      </w:tblGrid>
      <w:tr w14:paraId="36FE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tcPr>
          <w:p w14:paraId="6A3D16F9">
            <w:pPr>
              <w:shd w:val="clear" w:color="auto" w:fill="FFFFFF"/>
              <w:jc w:val="center"/>
              <w:rPr>
                <w:rFonts w:hint="eastAsia" w:ascii="宋体" w:hAnsi="宋体"/>
                <w:b/>
                <w:szCs w:val="21"/>
              </w:rPr>
            </w:pPr>
            <w:r>
              <w:rPr>
                <w:rFonts w:hint="eastAsia" w:ascii="宋体" w:hAnsi="宋体"/>
                <w:b/>
                <w:szCs w:val="21"/>
              </w:rPr>
              <w:t>序号</w:t>
            </w:r>
          </w:p>
        </w:tc>
        <w:tc>
          <w:tcPr>
            <w:tcW w:w="1620" w:type="dxa"/>
          </w:tcPr>
          <w:p w14:paraId="62FEA974">
            <w:pPr>
              <w:shd w:val="clear" w:color="auto" w:fill="FFFFFF"/>
              <w:jc w:val="center"/>
              <w:rPr>
                <w:rFonts w:hint="eastAsia" w:ascii="宋体" w:hAnsi="宋体"/>
                <w:b/>
                <w:szCs w:val="21"/>
              </w:rPr>
            </w:pPr>
            <w:r>
              <w:rPr>
                <w:rFonts w:hint="eastAsia" w:ascii="宋体" w:hAnsi="宋体"/>
                <w:b/>
                <w:szCs w:val="21"/>
              </w:rPr>
              <w:t>核心工作岗位及相关工作岗位</w:t>
            </w:r>
          </w:p>
        </w:tc>
        <w:tc>
          <w:tcPr>
            <w:tcW w:w="2266" w:type="dxa"/>
          </w:tcPr>
          <w:p w14:paraId="1FAA1682">
            <w:pPr>
              <w:shd w:val="clear" w:color="auto" w:fill="FFFFFF"/>
              <w:spacing w:before="156" w:after="156" w:line="360" w:lineRule="exact"/>
              <w:jc w:val="center"/>
              <w:rPr>
                <w:rFonts w:hint="eastAsia" w:ascii="宋体" w:hAnsi="宋体"/>
                <w:b/>
                <w:szCs w:val="21"/>
              </w:rPr>
            </w:pPr>
            <w:r>
              <w:rPr>
                <w:rFonts w:hint="eastAsia" w:ascii="宋体" w:hAnsi="宋体"/>
                <w:b/>
                <w:szCs w:val="21"/>
              </w:rPr>
              <w:t>岗位描述</w:t>
            </w:r>
          </w:p>
        </w:tc>
        <w:tc>
          <w:tcPr>
            <w:tcW w:w="4784" w:type="dxa"/>
          </w:tcPr>
          <w:p w14:paraId="258748B7">
            <w:pPr>
              <w:shd w:val="clear" w:color="auto" w:fill="FFFFFF"/>
              <w:spacing w:before="156" w:after="156" w:line="360" w:lineRule="exact"/>
              <w:jc w:val="center"/>
              <w:rPr>
                <w:rFonts w:hint="eastAsia" w:ascii="宋体" w:hAnsi="宋体"/>
                <w:b/>
                <w:szCs w:val="21"/>
              </w:rPr>
            </w:pPr>
            <w:r>
              <w:rPr>
                <w:rFonts w:hint="eastAsia" w:ascii="宋体" w:hAnsi="宋体"/>
                <w:b/>
                <w:szCs w:val="21"/>
              </w:rPr>
              <w:t>职业能力要求及素质</w:t>
            </w:r>
          </w:p>
        </w:tc>
        <w:tc>
          <w:tcPr>
            <w:tcW w:w="4784" w:type="dxa"/>
          </w:tcPr>
          <w:p w14:paraId="1A050D1A">
            <w:pPr>
              <w:shd w:val="clear" w:color="auto" w:fill="FFFFFF"/>
              <w:spacing w:before="156" w:after="156" w:line="360" w:lineRule="exact"/>
              <w:jc w:val="center"/>
              <w:rPr>
                <w:rFonts w:hint="eastAsia" w:ascii="宋体" w:hAnsi="宋体"/>
                <w:b/>
                <w:szCs w:val="21"/>
              </w:rPr>
            </w:pPr>
            <w:r>
              <w:rPr>
                <w:rFonts w:hint="eastAsia" w:ascii="宋体" w:hAnsi="宋体"/>
                <w:b/>
                <w:szCs w:val="21"/>
              </w:rPr>
              <w:t>专业课程配置</w:t>
            </w:r>
          </w:p>
        </w:tc>
      </w:tr>
      <w:tr w14:paraId="18E8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14:paraId="727BCAE2">
            <w:pPr>
              <w:shd w:val="clear" w:color="auto" w:fill="FFFFFF"/>
              <w:jc w:val="center"/>
              <w:rPr>
                <w:rFonts w:hint="eastAsia" w:ascii="宋体" w:hAnsi="宋体"/>
                <w:szCs w:val="21"/>
              </w:rPr>
            </w:pPr>
            <w:r>
              <w:rPr>
                <w:rFonts w:hint="eastAsia" w:ascii="宋体" w:hAnsi="宋体"/>
                <w:szCs w:val="21"/>
              </w:rPr>
              <w:t>1</w:t>
            </w:r>
          </w:p>
        </w:tc>
        <w:tc>
          <w:tcPr>
            <w:tcW w:w="1620" w:type="dxa"/>
            <w:vAlign w:val="center"/>
          </w:tcPr>
          <w:p w14:paraId="4CC640A4">
            <w:pPr>
              <w:shd w:val="clear" w:color="auto" w:fill="FFFFFF"/>
              <w:jc w:val="center"/>
              <w:rPr>
                <w:rFonts w:hint="eastAsia" w:ascii="宋体" w:hAnsi="宋体"/>
                <w:bCs/>
                <w:szCs w:val="21"/>
              </w:rPr>
            </w:pPr>
            <w:r>
              <w:rPr>
                <w:rFonts w:hint="eastAsia" w:ascii="宋体" w:hAnsi="宋体"/>
                <w:bCs/>
                <w:szCs w:val="21"/>
              </w:rPr>
              <w:t>物流市场开发</w:t>
            </w:r>
          </w:p>
        </w:tc>
        <w:tc>
          <w:tcPr>
            <w:tcW w:w="2266" w:type="dxa"/>
          </w:tcPr>
          <w:p w14:paraId="5F253F58">
            <w:pPr>
              <w:shd w:val="clear" w:color="auto" w:fill="FFFFFF"/>
              <w:rPr>
                <w:rFonts w:hint="eastAsia" w:ascii="宋体" w:hAnsi="宋体"/>
                <w:bCs/>
                <w:szCs w:val="21"/>
              </w:rPr>
            </w:pPr>
            <w:r>
              <w:rPr>
                <w:rFonts w:hint="eastAsia" w:ascii="宋体" w:hAnsi="宋体"/>
                <w:bCs/>
                <w:szCs w:val="21"/>
              </w:rPr>
              <w:t>发掘客户，与客户建立沟通渠道，针对客户需求进行方案设计和成本成本核算，与客户进行沟通谈判，签订物流服务合同</w:t>
            </w:r>
          </w:p>
        </w:tc>
        <w:tc>
          <w:tcPr>
            <w:tcW w:w="4784" w:type="dxa"/>
          </w:tcPr>
          <w:p w14:paraId="79490271">
            <w:pPr>
              <w:shd w:val="clear" w:color="auto" w:fill="FFFFFF"/>
              <w:rPr>
                <w:rFonts w:hint="eastAsia" w:ascii="宋体" w:hAnsi="宋体"/>
                <w:bCs/>
                <w:szCs w:val="21"/>
              </w:rPr>
            </w:pPr>
            <w:r>
              <w:rPr>
                <w:rFonts w:hint="eastAsia" w:ascii="宋体" w:hAnsi="宋体"/>
                <w:bCs/>
                <w:szCs w:val="21"/>
              </w:rPr>
              <w:t>1-1熟悉公司的业务；</w:t>
            </w:r>
          </w:p>
          <w:p w14:paraId="3F783D5A">
            <w:pPr>
              <w:shd w:val="clear" w:color="auto" w:fill="FFFFFF"/>
              <w:rPr>
                <w:rFonts w:hint="eastAsia" w:ascii="宋体" w:hAnsi="宋体"/>
                <w:bCs/>
                <w:szCs w:val="21"/>
              </w:rPr>
            </w:pPr>
            <w:r>
              <w:rPr>
                <w:rFonts w:hint="eastAsia" w:ascii="宋体" w:hAnsi="宋体"/>
                <w:bCs/>
                <w:szCs w:val="21"/>
              </w:rPr>
              <w:t>1-2熟练掌握物流专业知识，有物流案例分析能力；</w:t>
            </w:r>
          </w:p>
          <w:p w14:paraId="5CAC8C4C">
            <w:pPr>
              <w:shd w:val="clear" w:color="auto" w:fill="FFFFFF"/>
              <w:rPr>
                <w:rFonts w:hint="eastAsia" w:ascii="宋体" w:hAnsi="宋体"/>
                <w:bCs/>
                <w:szCs w:val="21"/>
              </w:rPr>
            </w:pPr>
            <w:r>
              <w:rPr>
                <w:rFonts w:hint="eastAsia" w:ascii="宋体" w:hAnsi="宋体"/>
                <w:bCs/>
                <w:szCs w:val="21"/>
              </w:rPr>
              <w:t>1-3具有项目管理和物流方案设计能力；</w:t>
            </w:r>
          </w:p>
          <w:p w14:paraId="219525F6">
            <w:pPr>
              <w:shd w:val="clear" w:color="auto" w:fill="FFFFFF"/>
              <w:rPr>
                <w:rFonts w:hint="eastAsia" w:ascii="宋体" w:hAnsi="宋体"/>
                <w:bCs/>
                <w:szCs w:val="21"/>
              </w:rPr>
            </w:pPr>
            <w:r>
              <w:rPr>
                <w:rFonts w:hint="eastAsia" w:ascii="宋体" w:hAnsi="宋体"/>
                <w:bCs/>
                <w:szCs w:val="21"/>
              </w:rPr>
              <w:t>1-4懂财务知识，能够进行成本核算；</w:t>
            </w:r>
          </w:p>
          <w:p w14:paraId="6DFFC742">
            <w:pPr>
              <w:shd w:val="clear" w:color="auto" w:fill="FFFFFF"/>
              <w:rPr>
                <w:rFonts w:hint="eastAsia" w:ascii="宋体" w:hAnsi="宋体"/>
                <w:bCs/>
                <w:szCs w:val="21"/>
              </w:rPr>
            </w:pPr>
            <w:r>
              <w:rPr>
                <w:rFonts w:hint="eastAsia" w:ascii="宋体" w:hAnsi="宋体"/>
                <w:bCs/>
                <w:szCs w:val="21"/>
              </w:rPr>
              <w:t>1-5懂经济法律知识，能利用合同条款保护公司的利益</w:t>
            </w:r>
          </w:p>
          <w:p w14:paraId="7762F3AC">
            <w:pPr>
              <w:shd w:val="clear" w:color="auto" w:fill="FFFFFF"/>
              <w:rPr>
                <w:rFonts w:hint="eastAsia" w:ascii="宋体" w:hAnsi="宋体"/>
                <w:bCs/>
                <w:szCs w:val="21"/>
              </w:rPr>
            </w:pPr>
            <w:r>
              <w:rPr>
                <w:rFonts w:hint="eastAsia" w:ascii="宋体" w:hAnsi="宋体"/>
                <w:bCs/>
                <w:szCs w:val="21"/>
              </w:rPr>
              <w:t>1-6具有良好的语言表达能力。</w:t>
            </w:r>
          </w:p>
        </w:tc>
        <w:tc>
          <w:tcPr>
            <w:tcW w:w="4784" w:type="dxa"/>
          </w:tcPr>
          <w:p w14:paraId="594B37E2">
            <w:pPr>
              <w:shd w:val="clear" w:color="auto" w:fill="FFFFFF"/>
              <w:rPr>
                <w:rFonts w:hint="eastAsia" w:ascii="宋体" w:hAnsi="宋体"/>
                <w:bCs/>
                <w:szCs w:val="21"/>
              </w:rPr>
            </w:pPr>
            <w:r>
              <w:rPr>
                <w:rFonts w:hint="eastAsia" w:ascii="宋体" w:hAnsi="宋体"/>
                <w:bCs/>
                <w:szCs w:val="21"/>
              </w:rPr>
              <w:t>商务基础</w:t>
            </w:r>
          </w:p>
          <w:p w14:paraId="595D7E84">
            <w:pPr>
              <w:shd w:val="clear" w:color="auto" w:fill="FFFFFF"/>
              <w:rPr>
                <w:rFonts w:hint="eastAsia" w:ascii="宋体" w:hAnsi="宋体"/>
                <w:bCs/>
                <w:szCs w:val="21"/>
              </w:rPr>
            </w:pPr>
            <w:r>
              <w:rPr>
                <w:rFonts w:hint="eastAsia" w:ascii="宋体" w:hAnsi="宋体"/>
                <w:bCs/>
                <w:szCs w:val="21"/>
              </w:rPr>
              <w:t>物流企业管理</w:t>
            </w:r>
          </w:p>
          <w:p w14:paraId="24356471">
            <w:pPr>
              <w:shd w:val="clear" w:color="auto" w:fill="FFFFFF"/>
              <w:rPr>
                <w:rFonts w:hint="eastAsia" w:ascii="宋体" w:hAnsi="宋体"/>
                <w:bCs/>
                <w:szCs w:val="21"/>
              </w:rPr>
            </w:pPr>
            <w:r>
              <w:rPr>
                <w:rFonts w:hint="eastAsia" w:ascii="宋体" w:hAnsi="宋体"/>
                <w:bCs/>
                <w:szCs w:val="21"/>
              </w:rPr>
              <w:t>市场营销</w:t>
            </w:r>
          </w:p>
          <w:p w14:paraId="15F37A65">
            <w:pPr>
              <w:shd w:val="clear" w:color="auto" w:fill="FFFFFF"/>
              <w:rPr>
                <w:rFonts w:hint="eastAsia" w:ascii="宋体" w:hAnsi="宋体"/>
                <w:szCs w:val="21"/>
              </w:rPr>
            </w:pPr>
            <w:r>
              <w:rPr>
                <w:rFonts w:hint="eastAsia" w:ascii="宋体" w:hAnsi="宋体"/>
                <w:szCs w:val="21"/>
              </w:rPr>
              <w:t>物流成本管理</w:t>
            </w:r>
            <w:r>
              <w:rPr>
                <w:rFonts w:hint="eastAsia" w:ascii="宋体" w:hAnsi="宋体"/>
                <w:szCs w:val="21"/>
              </w:rPr>
              <w:tab/>
            </w:r>
          </w:p>
          <w:p w14:paraId="1BCF1C2C">
            <w:pPr>
              <w:shd w:val="clear" w:color="auto" w:fill="FFFFFF"/>
              <w:rPr>
                <w:rFonts w:hint="eastAsia" w:ascii="宋体" w:hAnsi="宋体"/>
                <w:szCs w:val="21"/>
              </w:rPr>
            </w:pPr>
            <w:r>
              <w:rPr>
                <w:rFonts w:hint="eastAsia" w:ascii="宋体" w:hAnsi="宋体"/>
                <w:szCs w:val="21"/>
              </w:rPr>
              <w:t>物流法规</w:t>
            </w:r>
          </w:p>
          <w:p w14:paraId="7A47A968">
            <w:pPr>
              <w:shd w:val="clear" w:color="auto" w:fill="FFFFFF"/>
            </w:pPr>
            <w:r>
              <w:rPr>
                <w:rFonts w:hint="eastAsia" w:ascii="宋体" w:hAnsi="宋体"/>
                <w:szCs w:val="21"/>
              </w:rPr>
              <w:t>第三方物流</w:t>
            </w:r>
          </w:p>
        </w:tc>
      </w:tr>
      <w:tr w14:paraId="59C3C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14:paraId="7C6B4677">
            <w:pPr>
              <w:shd w:val="clear" w:color="auto" w:fill="FFFFFF"/>
              <w:jc w:val="center"/>
              <w:rPr>
                <w:rFonts w:hint="eastAsia" w:ascii="宋体" w:hAnsi="宋体"/>
                <w:szCs w:val="21"/>
              </w:rPr>
            </w:pPr>
            <w:r>
              <w:rPr>
                <w:rFonts w:hint="eastAsia" w:ascii="宋体" w:hAnsi="宋体"/>
                <w:szCs w:val="21"/>
              </w:rPr>
              <w:t>2</w:t>
            </w:r>
          </w:p>
        </w:tc>
        <w:tc>
          <w:tcPr>
            <w:tcW w:w="1620" w:type="dxa"/>
            <w:vAlign w:val="center"/>
          </w:tcPr>
          <w:p w14:paraId="3D2F412C">
            <w:pPr>
              <w:shd w:val="clear" w:color="auto" w:fill="FFFFFF"/>
              <w:jc w:val="center"/>
              <w:rPr>
                <w:rFonts w:hint="eastAsia" w:ascii="宋体" w:hAnsi="宋体"/>
                <w:bCs/>
                <w:szCs w:val="21"/>
              </w:rPr>
            </w:pPr>
            <w:r>
              <w:rPr>
                <w:rFonts w:hint="eastAsia" w:ascii="宋体" w:hAnsi="宋体"/>
                <w:bCs/>
                <w:szCs w:val="21"/>
              </w:rPr>
              <w:t>物流计划员</w:t>
            </w:r>
          </w:p>
        </w:tc>
        <w:tc>
          <w:tcPr>
            <w:tcW w:w="2266" w:type="dxa"/>
          </w:tcPr>
          <w:p w14:paraId="0023F57B">
            <w:pPr>
              <w:shd w:val="clear" w:color="auto" w:fill="FFFFFF"/>
              <w:rPr>
                <w:rFonts w:hint="eastAsia" w:ascii="宋体" w:hAnsi="宋体"/>
                <w:szCs w:val="21"/>
              </w:rPr>
            </w:pPr>
            <w:r>
              <w:rPr>
                <w:rFonts w:hint="eastAsia" w:ascii="宋体" w:hAnsi="宋体"/>
                <w:szCs w:val="21"/>
              </w:rPr>
              <w:t>分析内部需求和公司库存资源情况，控制库存，编制采购计划</w:t>
            </w:r>
          </w:p>
        </w:tc>
        <w:tc>
          <w:tcPr>
            <w:tcW w:w="4784" w:type="dxa"/>
          </w:tcPr>
          <w:p w14:paraId="7AA6E8DF">
            <w:pPr>
              <w:shd w:val="clear" w:color="auto" w:fill="FFFFFF"/>
              <w:rPr>
                <w:rFonts w:hint="eastAsia" w:ascii="宋体" w:hAnsi="宋体"/>
                <w:szCs w:val="21"/>
              </w:rPr>
            </w:pPr>
            <w:r>
              <w:rPr>
                <w:rFonts w:hint="eastAsia" w:ascii="宋体" w:hAnsi="宋体"/>
                <w:szCs w:val="21"/>
              </w:rPr>
              <w:t>2-1具有信息收集和处理的能力；</w:t>
            </w:r>
          </w:p>
          <w:p w14:paraId="4AAD248A">
            <w:pPr>
              <w:shd w:val="clear" w:color="auto" w:fill="FFFFFF"/>
              <w:rPr>
                <w:rFonts w:hint="eastAsia" w:ascii="宋体" w:hAnsi="宋体"/>
                <w:szCs w:val="21"/>
              </w:rPr>
            </w:pPr>
            <w:r>
              <w:rPr>
                <w:rFonts w:hint="eastAsia" w:ascii="宋体" w:hAnsi="宋体"/>
                <w:szCs w:val="21"/>
              </w:rPr>
              <w:t>2-2熟练掌握物流系统相关软件，具有ERP系统软件操作能力；</w:t>
            </w:r>
          </w:p>
          <w:p w14:paraId="73AAF3F2">
            <w:pPr>
              <w:shd w:val="clear" w:color="auto" w:fill="FFFFFF"/>
              <w:rPr>
                <w:rFonts w:hint="eastAsia" w:ascii="宋体" w:hAnsi="宋体"/>
                <w:szCs w:val="21"/>
              </w:rPr>
            </w:pPr>
            <w:r>
              <w:rPr>
                <w:rFonts w:hint="eastAsia" w:ascii="宋体" w:hAnsi="宋体"/>
                <w:szCs w:val="21"/>
              </w:rPr>
              <w:t>2-3了解和掌握本公司的能力和资源情况进行综合平衡的能力；</w:t>
            </w:r>
          </w:p>
          <w:p w14:paraId="65644DAC">
            <w:pPr>
              <w:shd w:val="clear" w:color="auto" w:fill="FFFFFF"/>
              <w:rPr>
                <w:rFonts w:hint="eastAsia" w:ascii="宋体" w:hAnsi="宋体"/>
                <w:szCs w:val="21"/>
              </w:rPr>
            </w:pPr>
            <w:r>
              <w:rPr>
                <w:rFonts w:hint="eastAsia" w:ascii="宋体" w:hAnsi="宋体"/>
                <w:szCs w:val="21"/>
              </w:rPr>
              <w:t>2-4能科学地编制采购计划；</w:t>
            </w:r>
          </w:p>
          <w:p w14:paraId="1B8C2BDB">
            <w:pPr>
              <w:shd w:val="clear" w:color="auto" w:fill="FFFFFF"/>
              <w:rPr>
                <w:rFonts w:hint="eastAsia" w:ascii="宋体" w:hAnsi="宋体"/>
                <w:szCs w:val="21"/>
              </w:rPr>
            </w:pPr>
            <w:r>
              <w:rPr>
                <w:rFonts w:hint="eastAsia" w:ascii="宋体" w:hAnsi="宋体"/>
                <w:szCs w:val="21"/>
              </w:rPr>
              <w:t>2-5具有良好的沟通能力。</w:t>
            </w:r>
          </w:p>
        </w:tc>
        <w:tc>
          <w:tcPr>
            <w:tcW w:w="4784" w:type="dxa"/>
          </w:tcPr>
          <w:p w14:paraId="541D063E">
            <w:pPr>
              <w:shd w:val="clear" w:color="auto" w:fill="FFFFFF"/>
              <w:rPr>
                <w:rFonts w:hint="eastAsia" w:ascii="宋体" w:hAnsi="宋体"/>
                <w:szCs w:val="21"/>
              </w:rPr>
            </w:pPr>
            <w:r>
              <w:rPr>
                <w:rFonts w:hint="eastAsia" w:ascii="宋体" w:hAnsi="宋体"/>
                <w:szCs w:val="21"/>
              </w:rPr>
              <w:t>物流企业管理</w:t>
            </w:r>
          </w:p>
          <w:p w14:paraId="44B44667">
            <w:pPr>
              <w:pStyle w:val="2"/>
              <w:ind w:firstLine="0" w:firstLineChars="0"/>
              <w:rPr>
                <w:rFonts w:hint="eastAsia" w:ascii="宋体" w:hAnsi="宋体" w:eastAsia="宋体" w:cs="Times New Roman"/>
                <w:szCs w:val="21"/>
                <w:lang w:val="en-US"/>
              </w:rPr>
            </w:pPr>
            <w:r>
              <w:rPr>
                <w:rFonts w:hint="eastAsia" w:ascii="宋体" w:hAnsi="宋体" w:eastAsia="宋体" w:cs="Times New Roman"/>
                <w:szCs w:val="21"/>
                <w:lang w:val="en-US"/>
              </w:rPr>
              <w:t>物流成本管理</w:t>
            </w:r>
          </w:p>
          <w:p w14:paraId="455EB60F">
            <w:pPr>
              <w:pStyle w:val="2"/>
              <w:ind w:firstLine="0" w:firstLineChars="0"/>
              <w:rPr>
                <w:rFonts w:hint="eastAsia" w:ascii="宋体" w:hAnsi="宋体" w:eastAsia="宋体" w:cs="Times New Roman"/>
                <w:szCs w:val="21"/>
                <w:lang w:val="en-US"/>
              </w:rPr>
            </w:pPr>
            <w:r>
              <w:rPr>
                <w:rFonts w:hint="eastAsia" w:ascii="宋体" w:hAnsi="宋体" w:eastAsia="宋体" w:cs="Times New Roman"/>
                <w:szCs w:val="21"/>
                <w:lang w:val="en-US"/>
              </w:rPr>
              <w:t>物流运筹学</w:t>
            </w:r>
          </w:p>
          <w:p w14:paraId="0A61F7D3">
            <w:pPr>
              <w:pStyle w:val="2"/>
              <w:ind w:firstLine="0" w:firstLineChars="0"/>
              <w:rPr>
                <w:rFonts w:hint="eastAsia" w:ascii="宋体" w:hAnsi="宋体" w:eastAsia="宋体" w:cs="Times New Roman"/>
                <w:szCs w:val="21"/>
                <w:lang w:val="en-US"/>
              </w:rPr>
            </w:pPr>
            <w:r>
              <w:rPr>
                <w:rFonts w:hint="eastAsia" w:ascii="宋体" w:hAnsi="宋体" w:eastAsia="宋体" w:cs="Times New Roman"/>
                <w:szCs w:val="21"/>
                <w:lang w:val="en-US"/>
              </w:rPr>
              <w:t>电子商务物流</w:t>
            </w:r>
          </w:p>
        </w:tc>
      </w:tr>
      <w:tr w14:paraId="59667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14:paraId="53BCCADB">
            <w:pPr>
              <w:shd w:val="clear" w:color="auto" w:fill="FFFFFF"/>
              <w:jc w:val="center"/>
              <w:rPr>
                <w:rFonts w:hint="eastAsia" w:ascii="宋体" w:hAnsi="宋体"/>
                <w:szCs w:val="21"/>
              </w:rPr>
            </w:pPr>
            <w:r>
              <w:rPr>
                <w:rFonts w:hint="eastAsia" w:ascii="宋体" w:hAnsi="宋体"/>
                <w:szCs w:val="21"/>
              </w:rPr>
              <w:t>3</w:t>
            </w:r>
          </w:p>
        </w:tc>
        <w:tc>
          <w:tcPr>
            <w:tcW w:w="1620" w:type="dxa"/>
            <w:vAlign w:val="center"/>
          </w:tcPr>
          <w:p w14:paraId="3B41013F">
            <w:pPr>
              <w:shd w:val="clear" w:color="auto" w:fill="FFFFFF"/>
              <w:jc w:val="center"/>
              <w:rPr>
                <w:rFonts w:hint="eastAsia" w:ascii="宋体" w:hAnsi="宋体"/>
                <w:szCs w:val="21"/>
              </w:rPr>
            </w:pPr>
            <w:r>
              <w:rPr>
                <w:rFonts w:hint="eastAsia" w:ascii="宋体" w:hAnsi="宋体"/>
                <w:bCs/>
                <w:szCs w:val="21"/>
              </w:rPr>
              <w:t>采购</w:t>
            </w:r>
          </w:p>
        </w:tc>
        <w:tc>
          <w:tcPr>
            <w:tcW w:w="2266" w:type="dxa"/>
          </w:tcPr>
          <w:p w14:paraId="0913115E">
            <w:pPr>
              <w:shd w:val="clear" w:color="auto" w:fill="FFFFFF"/>
              <w:rPr>
                <w:rFonts w:hint="eastAsia" w:ascii="宋体" w:hAnsi="宋体"/>
                <w:szCs w:val="21"/>
              </w:rPr>
            </w:pPr>
            <w:r>
              <w:rPr>
                <w:rFonts w:hint="eastAsia" w:ascii="宋体" w:hAnsi="宋体"/>
                <w:szCs w:val="21"/>
              </w:rPr>
              <w:t>明确需求，收集客户资料，进行供应市场分析，组织询价和报价工作，寻找和选择供应商，进行供应商关系管理和采购合同管理，对价格进行维护</w:t>
            </w:r>
          </w:p>
        </w:tc>
        <w:tc>
          <w:tcPr>
            <w:tcW w:w="4784" w:type="dxa"/>
          </w:tcPr>
          <w:p w14:paraId="3A54634F">
            <w:pPr>
              <w:shd w:val="clear" w:color="auto" w:fill="FFFFFF"/>
              <w:rPr>
                <w:rFonts w:hint="eastAsia" w:ascii="宋体" w:hAnsi="宋体"/>
                <w:szCs w:val="21"/>
              </w:rPr>
            </w:pPr>
            <w:r>
              <w:rPr>
                <w:rFonts w:hint="eastAsia" w:ascii="宋体" w:hAnsi="宋体"/>
                <w:szCs w:val="21"/>
              </w:rPr>
              <w:t>3-1收集信息的能力；</w:t>
            </w:r>
          </w:p>
          <w:p w14:paraId="781AA39A">
            <w:pPr>
              <w:shd w:val="clear" w:color="auto" w:fill="FFFFFF"/>
              <w:rPr>
                <w:rFonts w:hint="eastAsia" w:ascii="宋体" w:hAnsi="宋体"/>
                <w:szCs w:val="21"/>
              </w:rPr>
            </w:pPr>
            <w:r>
              <w:rPr>
                <w:rFonts w:hint="eastAsia" w:ascii="宋体" w:hAnsi="宋体"/>
                <w:szCs w:val="21"/>
              </w:rPr>
              <w:t>3-2对相关信息敏感,及时作出判断和决策的能力；</w:t>
            </w:r>
          </w:p>
          <w:p w14:paraId="6CA199F7">
            <w:pPr>
              <w:shd w:val="clear" w:color="auto" w:fill="FFFFFF"/>
              <w:rPr>
                <w:rFonts w:hint="eastAsia" w:ascii="宋体" w:hAnsi="宋体"/>
                <w:szCs w:val="21"/>
              </w:rPr>
            </w:pPr>
            <w:r>
              <w:rPr>
                <w:rFonts w:hint="eastAsia" w:ascii="宋体" w:hAnsi="宋体"/>
                <w:szCs w:val="21"/>
              </w:rPr>
              <w:t>3-3懂得产品成本的构成和具有成本分析能力；</w:t>
            </w:r>
          </w:p>
          <w:p w14:paraId="3ADBD47C">
            <w:pPr>
              <w:shd w:val="clear" w:color="auto" w:fill="FFFFFF"/>
              <w:rPr>
                <w:rFonts w:hint="eastAsia" w:ascii="宋体" w:hAnsi="宋体"/>
                <w:szCs w:val="21"/>
              </w:rPr>
            </w:pPr>
            <w:r>
              <w:rPr>
                <w:rFonts w:hint="eastAsia" w:ascii="宋体" w:hAnsi="宋体"/>
                <w:szCs w:val="21"/>
              </w:rPr>
              <w:t>3-4熟悉物资消耗特性及市场供应特点，具有对供应市场进行分析的能力；</w:t>
            </w:r>
          </w:p>
          <w:p w14:paraId="7A75758A">
            <w:pPr>
              <w:shd w:val="clear" w:color="auto" w:fill="FFFFFF"/>
              <w:rPr>
                <w:rFonts w:hint="eastAsia" w:ascii="宋体" w:hAnsi="宋体"/>
                <w:szCs w:val="21"/>
              </w:rPr>
            </w:pPr>
            <w:r>
              <w:rPr>
                <w:rFonts w:hint="eastAsia" w:ascii="宋体" w:hAnsi="宋体"/>
                <w:szCs w:val="21"/>
              </w:rPr>
              <w:t>3-5进行招投标采购管理能力；</w:t>
            </w:r>
          </w:p>
          <w:p w14:paraId="6008E744">
            <w:pPr>
              <w:shd w:val="clear" w:color="auto" w:fill="FFFFFF"/>
              <w:rPr>
                <w:rFonts w:hint="eastAsia" w:ascii="宋体" w:hAnsi="宋体"/>
                <w:szCs w:val="21"/>
              </w:rPr>
            </w:pPr>
            <w:r>
              <w:rPr>
                <w:rFonts w:hint="eastAsia" w:ascii="宋体" w:hAnsi="宋体"/>
                <w:szCs w:val="21"/>
              </w:rPr>
              <w:t>3-6懂法律知识，具有拟定和把握合同条款，维护自身权益的能力；</w:t>
            </w:r>
          </w:p>
          <w:p w14:paraId="07AC2DE6">
            <w:pPr>
              <w:shd w:val="clear" w:color="auto" w:fill="FFFFFF"/>
              <w:rPr>
                <w:rFonts w:hint="eastAsia" w:ascii="宋体" w:hAnsi="宋体"/>
                <w:szCs w:val="21"/>
              </w:rPr>
            </w:pPr>
            <w:r>
              <w:rPr>
                <w:rFonts w:hint="eastAsia" w:ascii="宋体" w:hAnsi="宋体"/>
                <w:szCs w:val="21"/>
              </w:rPr>
              <w:t>3-7良好的沟通能力和语言能力。</w:t>
            </w:r>
          </w:p>
        </w:tc>
        <w:tc>
          <w:tcPr>
            <w:tcW w:w="4784" w:type="dxa"/>
          </w:tcPr>
          <w:p w14:paraId="0F1B80FF">
            <w:pPr>
              <w:shd w:val="clear" w:color="auto" w:fill="FFFFFF"/>
              <w:rPr>
                <w:rFonts w:hint="eastAsia" w:ascii="宋体" w:hAnsi="宋体"/>
                <w:szCs w:val="21"/>
              </w:rPr>
            </w:pPr>
            <w:r>
              <w:rPr>
                <w:rFonts w:hint="eastAsia" w:ascii="宋体" w:hAnsi="宋体"/>
                <w:szCs w:val="21"/>
              </w:rPr>
              <w:t>采购与供应链管理</w:t>
            </w:r>
          </w:p>
          <w:p w14:paraId="391F1E0E">
            <w:pPr>
              <w:pStyle w:val="2"/>
              <w:ind w:firstLine="0" w:firstLineChars="0"/>
              <w:rPr>
                <w:rFonts w:hint="eastAsia"/>
                <w:lang w:val="en-US"/>
              </w:rPr>
            </w:pPr>
            <w:r>
              <w:rPr>
                <w:rFonts w:hint="eastAsia"/>
                <w:lang w:val="en-US"/>
              </w:rPr>
              <w:t>物流成本管理</w:t>
            </w:r>
          </w:p>
        </w:tc>
      </w:tr>
      <w:tr w14:paraId="0242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14:paraId="0C6C1D7A">
            <w:pPr>
              <w:shd w:val="clear" w:color="auto" w:fill="FFFFFF"/>
              <w:jc w:val="center"/>
              <w:rPr>
                <w:rFonts w:hint="eastAsia" w:ascii="宋体" w:hAnsi="宋体"/>
                <w:szCs w:val="21"/>
              </w:rPr>
            </w:pPr>
            <w:r>
              <w:rPr>
                <w:rFonts w:hint="eastAsia" w:ascii="宋体" w:hAnsi="宋体"/>
                <w:szCs w:val="21"/>
              </w:rPr>
              <w:t>4</w:t>
            </w:r>
          </w:p>
        </w:tc>
        <w:tc>
          <w:tcPr>
            <w:tcW w:w="1620" w:type="dxa"/>
            <w:vAlign w:val="center"/>
          </w:tcPr>
          <w:p w14:paraId="13126578">
            <w:pPr>
              <w:shd w:val="clear" w:color="auto" w:fill="FFFFFF"/>
              <w:jc w:val="center"/>
              <w:rPr>
                <w:rFonts w:hint="eastAsia" w:ascii="宋体" w:hAnsi="宋体"/>
                <w:szCs w:val="21"/>
              </w:rPr>
            </w:pPr>
            <w:r>
              <w:rPr>
                <w:rFonts w:hint="eastAsia" w:ascii="宋体" w:hAnsi="宋体"/>
                <w:bCs/>
                <w:szCs w:val="21"/>
              </w:rPr>
              <w:t>仓管员</w:t>
            </w:r>
          </w:p>
        </w:tc>
        <w:tc>
          <w:tcPr>
            <w:tcW w:w="2266" w:type="dxa"/>
          </w:tcPr>
          <w:p w14:paraId="4797DF72">
            <w:pPr>
              <w:shd w:val="clear" w:color="auto" w:fill="FFFFFF"/>
              <w:rPr>
                <w:rFonts w:hint="eastAsia" w:ascii="宋体" w:hAnsi="宋体"/>
                <w:szCs w:val="21"/>
              </w:rPr>
            </w:pPr>
            <w:r>
              <w:rPr>
                <w:rFonts w:hint="eastAsia" w:ascii="宋体" w:hAnsi="宋体"/>
                <w:szCs w:val="21"/>
              </w:rPr>
              <w:t>商品接运前的准备，针对商品的特性进行装卸方案的规划设计，进货入库作业，保管作业，发货作业和盘点作业</w:t>
            </w:r>
          </w:p>
          <w:p w14:paraId="637CEE3B">
            <w:pPr>
              <w:shd w:val="clear" w:color="auto" w:fill="FFFFFF"/>
              <w:rPr>
                <w:rFonts w:hint="eastAsia" w:ascii="宋体" w:hAnsi="宋体"/>
                <w:szCs w:val="21"/>
              </w:rPr>
            </w:pPr>
          </w:p>
        </w:tc>
        <w:tc>
          <w:tcPr>
            <w:tcW w:w="4784" w:type="dxa"/>
          </w:tcPr>
          <w:p w14:paraId="05863D00">
            <w:pPr>
              <w:shd w:val="clear" w:color="auto" w:fill="FFFFFF"/>
              <w:rPr>
                <w:rFonts w:hint="eastAsia" w:ascii="宋体" w:hAnsi="宋体"/>
                <w:szCs w:val="21"/>
              </w:rPr>
            </w:pPr>
            <w:r>
              <w:rPr>
                <w:rFonts w:hint="eastAsia" w:ascii="宋体" w:hAnsi="宋体"/>
                <w:szCs w:val="21"/>
              </w:rPr>
              <w:t>4-1懂得仓库作业的基本流程；</w:t>
            </w:r>
          </w:p>
          <w:p w14:paraId="34BBAE30">
            <w:pPr>
              <w:shd w:val="clear" w:color="auto" w:fill="FFFFFF"/>
              <w:ind w:left="480" w:hanging="480"/>
              <w:rPr>
                <w:rFonts w:hint="eastAsia" w:ascii="宋体" w:hAnsi="宋体"/>
                <w:szCs w:val="21"/>
              </w:rPr>
            </w:pPr>
            <w:r>
              <w:rPr>
                <w:rFonts w:hint="eastAsia" w:ascii="宋体" w:hAnsi="宋体"/>
                <w:szCs w:val="21"/>
              </w:rPr>
              <w:t>4-2具有进行商品检验的能力；</w:t>
            </w:r>
          </w:p>
          <w:p w14:paraId="05C79AC4">
            <w:pPr>
              <w:shd w:val="clear" w:color="auto" w:fill="FFFFFF"/>
              <w:rPr>
                <w:rFonts w:hint="eastAsia" w:ascii="宋体" w:hAnsi="宋体"/>
                <w:szCs w:val="21"/>
              </w:rPr>
            </w:pPr>
            <w:r>
              <w:rPr>
                <w:rFonts w:hint="eastAsia" w:ascii="宋体" w:hAnsi="宋体"/>
                <w:szCs w:val="21"/>
              </w:rPr>
              <w:t>4-3具有针对商品的特性科学合理地进行仓储空间规划和优化的能力；</w:t>
            </w:r>
          </w:p>
          <w:p w14:paraId="18BC55EC">
            <w:pPr>
              <w:shd w:val="clear" w:color="auto" w:fill="FFFFFF"/>
              <w:rPr>
                <w:rFonts w:hint="eastAsia" w:ascii="宋体" w:hAnsi="宋体"/>
                <w:szCs w:val="21"/>
              </w:rPr>
            </w:pPr>
            <w:r>
              <w:rPr>
                <w:rFonts w:hint="eastAsia" w:ascii="宋体" w:hAnsi="宋体"/>
                <w:szCs w:val="21"/>
              </w:rPr>
              <w:t>4-4具有商品知识，具有针对不同商品特性选用装卸机具设备的能力；</w:t>
            </w:r>
          </w:p>
          <w:p w14:paraId="6C79A79C">
            <w:pPr>
              <w:shd w:val="clear" w:color="auto" w:fill="FFFFFF"/>
              <w:rPr>
                <w:rFonts w:hint="eastAsia" w:ascii="宋体" w:hAnsi="宋体"/>
                <w:szCs w:val="21"/>
              </w:rPr>
            </w:pPr>
            <w:r>
              <w:rPr>
                <w:rFonts w:hint="eastAsia" w:ascii="宋体" w:hAnsi="宋体"/>
                <w:szCs w:val="21"/>
              </w:rPr>
              <w:t>4-5具有入库作业的能力；</w:t>
            </w:r>
          </w:p>
          <w:p w14:paraId="25EF65AF">
            <w:pPr>
              <w:shd w:val="clear" w:color="auto" w:fill="FFFFFF"/>
              <w:rPr>
                <w:rFonts w:hint="eastAsia" w:ascii="宋体" w:hAnsi="宋体"/>
                <w:szCs w:val="21"/>
              </w:rPr>
            </w:pPr>
            <w:r>
              <w:rPr>
                <w:rFonts w:hint="eastAsia" w:ascii="宋体" w:hAnsi="宋体"/>
                <w:szCs w:val="21"/>
              </w:rPr>
              <w:t>4-6具有使用各种分拣设备和设施的能力；</w:t>
            </w:r>
          </w:p>
          <w:p w14:paraId="18602C38">
            <w:pPr>
              <w:shd w:val="clear" w:color="auto" w:fill="FFFFFF"/>
              <w:rPr>
                <w:rFonts w:hint="eastAsia" w:ascii="宋体" w:hAnsi="宋体"/>
                <w:szCs w:val="21"/>
              </w:rPr>
            </w:pPr>
            <w:r>
              <w:rPr>
                <w:rFonts w:hint="eastAsia" w:ascii="宋体" w:hAnsi="宋体"/>
                <w:szCs w:val="21"/>
              </w:rPr>
              <w:t>4-7具有进行分拣信息的处理；</w:t>
            </w:r>
          </w:p>
          <w:p w14:paraId="3D4F8396">
            <w:pPr>
              <w:shd w:val="clear" w:color="auto" w:fill="FFFFFF"/>
              <w:rPr>
                <w:rFonts w:hint="eastAsia" w:ascii="宋体" w:hAnsi="宋体"/>
                <w:szCs w:val="21"/>
              </w:rPr>
            </w:pPr>
            <w:r>
              <w:rPr>
                <w:rFonts w:hint="eastAsia" w:ascii="宋体" w:hAnsi="宋体"/>
                <w:szCs w:val="21"/>
              </w:rPr>
              <w:t>4-8具有物流系统相关软件的操作能力；</w:t>
            </w:r>
          </w:p>
          <w:p w14:paraId="4DE00259">
            <w:pPr>
              <w:shd w:val="clear" w:color="auto" w:fill="FFFFFF"/>
              <w:rPr>
                <w:rFonts w:hint="eastAsia" w:ascii="宋体" w:hAnsi="宋体"/>
                <w:szCs w:val="21"/>
              </w:rPr>
            </w:pPr>
            <w:r>
              <w:rPr>
                <w:rFonts w:hint="eastAsia" w:ascii="宋体" w:hAnsi="宋体"/>
                <w:szCs w:val="21"/>
              </w:rPr>
              <w:t>4-9能够合理地选用和使用仓储资源和响应的设施设备；</w:t>
            </w:r>
          </w:p>
          <w:p w14:paraId="595DFAB2">
            <w:pPr>
              <w:shd w:val="clear" w:color="auto" w:fill="FFFFFF"/>
              <w:ind w:left="-67" w:firstLine="29"/>
              <w:rPr>
                <w:rFonts w:hint="eastAsia" w:ascii="宋体" w:hAnsi="宋体"/>
                <w:szCs w:val="21"/>
              </w:rPr>
            </w:pPr>
            <w:r>
              <w:rPr>
                <w:rFonts w:hint="eastAsia" w:ascii="宋体" w:hAnsi="宋体"/>
                <w:szCs w:val="21"/>
              </w:rPr>
              <w:t>4-10能针对不同货物或商品进行科学养护；</w:t>
            </w:r>
          </w:p>
          <w:p w14:paraId="6F0646DA">
            <w:pPr>
              <w:shd w:val="clear" w:color="auto" w:fill="FFFFFF"/>
              <w:ind w:left="480" w:hanging="480"/>
              <w:rPr>
                <w:rFonts w:hint="eastAsia" w:ascii="宋体" w:hAnsi="宋体"/>
                <w:szCs w:val="21"/>
              </w:rPr>
            </w:pPr>
            <w:r>
              <w:rPr>
                <w:rFonts w:hint="eastAsia" w:ascii="宋体" w:hAnsi="宋体"/>
                <w:szCs w:val="21"/>
              </w:rPr>
              <w:t>4-11能对盘点结果进行分析处理；</w:t>
            </w:r>
          </w:p>
          <w:p w14:paraId="25F23AE2">
            <w:pPr>
              <w:shd w:val="clear" w:color="auto" w:fill="FFFFFF"/>
              <w:rPr>
                <w:rFonts w:hint="eastAsia" w:ascii="宋体" w:hAnsi="宋体"/>
                <w:szCs w:val="21"/>
              </w:rPr>
            </w:pPr>
            <w:r>
              <w:rPr>
                <w:rFonts w:hint="eastAsia" w:ascii="宋体" w:hAnsi="宋体"/>
                <w:szCs w:val="21"/>
              </w:rPr>
              <w:t>4-12能对储存货物或商品进行相关信息的处理。</w:t>
            </w:r>
          </w:p>
        </w:tc>
        <w:tc>
          <w:tcPr>
            <w:tcW w:w="4784" w:type="dxa"/>
          </w:tcPr>
          <w:p w14:paraId="3754C08D">
            <w:pPr>
              <w:shd w:val="clear" w:color="auto" w:fill="FFFFFF"/>
              <w:rPr>
                <w:rFonts w:hint="eastAsia" w:ascii="宋体" w:hAnsi="宋体"/>
                <w:szCs w:val="21"/>
              </w:rPr>
            </w:pPr>
            <w:r>
              <w:rPr>
                <w:rFonts w:hint="eastAsia" w:ascii="宋体" w:hAnsi="宋体"/>
                <w:szCs w:val="21"/>
              </w:rPr>
              <w:t>仓储与配送管理</w:t>
            </w:r>
          </w:p>
          <w:p w14:paraId="7E2D258D">
            <w:pPr>
              <w:shd w:val="clear" w:color="auto" w:fill="FFFFFF"/>
              <w:rPr>
                <w:rFonts w:hint="eastAsia" w:ascii="宋体" w:hAnsi="宋体"/>
                <w:szCs w:val="21"/>
              </w:rPr>
            </w:pPr>
            <w:r>
              <w:rPr>
                <w:rFonts w:hint="eastAsia" w:ascii="宋体" w:hAnsi="宋体"/>
                <w:szCs w:val="21"/>
              </w:rPr>
              <w:t>物流信息技术与应用</w:t>
            </w:r>
          </w:p>
          <w:p w14:paraId="28F004A8">
            <w:pPr>
              <w:pStyle w:val="2"/>
              <w:ind w:firstLine="0" w:firstLineChars="0"/>
              <w:rPr>
                <w:rFonts w:hint="eastAsia"/>
                <w:lang w:val="en-US"/>
              </w:rPr>
            </w:pPr>
          </w:p>
        </w:tc>
      </w:tr>
      <w:tr w14:paraId="02A7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14:paraId="4B9E728E">
            <w:pPr>
              <w:shd w:val="clear" w:color="auto" w:fill="FFFFFF"/>
              <w:jc w:val="center"/>
              <w:rPr>
                <w:rFonts w:hint="eastAsia" w:ascii="宋体" w:hAnsi="宋体"/>
                <w:szCs w:val="21"/>
              </w:rPr>
            </w:pPr>
            <w:r>
              <w:rPr>
                <w:rFonts w:hint="eastAsia" w:ascii="宋体" w:hAnsi="宋体"/>
                <w:szCs w:val="21"/>
              </w:rPr>
              <w:t>5</w:t>
            </w:r>
          </w:p>
        </w:tc>
        <w:tc>
          <w:tcPr>
            <w:tcW w:w="1620" w:type="dxa"/>
            <w:vAlign w:val="center"/>
          </w:tcPr>
          <w:p w14:paraId="4A552F2D">
            <w:pPr>
              <w:shd w:val="clear" w:color="auto" w:fill="FFFFFF"/>
              <w:jc w:val="center"/>
              <w:rPr>
                <w:rFonts w:hint="eastAsia" w:ascii="宋体" w:hAnsi="宋体"/>
                <w:bCs/>
                <w:szCs w:val="21"/>
              </w:rPr>
            </w:pPr>
            <w:r>
              <w:rPr>
                <w:rFonts w:hint="eastAsia" w:ascii="宋体" w:hAnsi="宋体"/>
                <w:bCs/>
                <w:szCs w:val="21"/>
              </w:rPr>
              <w:t>运输计划与调度</w:t>
            </w:r>
          </w:p>
        </w:tc>
        <w:tc>
          <w:tcPr>
            <w:tcW w:w="2266" w:type="dxa"/>
          </w:tcPr>
          <w:p w14:paraId="4D08C38E">
            <w:pPr>
              <w:shd w:val="clear" w:color="auto" w:fill="FFFFFF"/>
              <w:rPr>
                <w:rFonts w:hint="eastAsia" w:ascii="宋体" w:hAnsi="宋体"/>
                <w:szCs w:val="21"/>
              </w:rPr>
            </w:pPr>
            <w:r>
              <w:rPr>
                <w:rFonts w:hint="eastAsia" w:ascii="宋体" w:hAnsi="宋体"/>
                <w:szCs w:val="21"/>
              </w:rPr>
              <w:t>取送货的车辆调配、指挥；与供货方目的站的协调；运输计划的制订与装载的安排；相关单据的填写、交接和归档；运输、配送、车辆台账的更新；生产工具使用记录和保管；司机的调配管理；车辆的维修保养和燃油管理</w:t>
            </w:r>
          </w:p>
        </w:tc>
        <w:tc>
          <w:tcPr>
            <w:tcW w:w="4784" w:type="dxa"/>
          </w:tcPr>
          <w:p w14:paraId="1072ABE9">
            <w:pPr>
              <w:shd w:val="clear" w:color="auto" w:fill="FFFFFF"/>
              <w:rPr>
                <w:rFonts w:hint="eastAsia" w:ascii="宋体" w:hAnsi="宋体"/>
                <w:szCs w:val="21"/>
              </w:rPr>
            </w:pPr>
            <w:r>
              <w:rPr>
                <w:rFonts w:hint="eastAsia" w:ascii="宋体" w:hAnsi="宋体"/>
                <w:szCs w:val="21"/>
              </w:rPr>
              <w:t>5-1具有</w:t>
            </w:r>
            <w:r>
              <w:rPr>
                <w:rFonts w:ascii="宋体" w:hAnsi="宋体"/>
                <w:szCs w:val="21"/>
              </w:rPr>
              <w:t>严谨</w:t>
            </w:r>
            <w:r>
              <w:rPr>
                <w:rFonts w:hint="eastAsia" w:ascii="宋体" w:hAnsi="宋体"/>
                <w:szCs w:val="21"/>
              </w:rPr>
              <w:t>、</w:t>
            </w:r>
            <w:r>
              <w:rPr>
                <w:rFonts w:ascii="宋体" w:hAnsi="宋体"/>
                <w:szCs w:val="21"/>
              </w:rPr>
              <w:t>认真、工作踏实</w:t>
            </w:r>
            <w:r>
              <w:rPr>
                <w:rFonts w:hint="eastAsia" w:ascii="宋体" w:hAnsi="宋体"/>
                <w:szCs w:val="21"/>
              </w:rPr>
              <w:t>和</w:t>
            </w:r>
            <w:r>
              <w:rPr>
                <w:rFonts w:ascii="宋体" w:hAnsi="宋体"/>
                <w:szCs w:val="21"/>
              </w:rPr>
              <w:t>吃苦耐劳</w:t>
            </w:r>
            <w:r>
              <w:rPr>
                <w:rFonts w:hint="eastAsia" w:ascii="宋体" w:hAnsi="宋体"/>
                <w:szCs w:val="21"/>
              </w:rPr>
              <w:t>的</w:t>
            </w:r>
            <w:r>
              <w:rPr>
                <w:rFonts w:ascii="宋体" w:hAnsi="宋体"/>
                <w:szCs w:val="21"/>
              </w:rPr>
              <w:t>工作</w:t>
            </w:r>
            <w:r>
              <w:rPr>
                <w:rFonts w:hint="eastAsia" w:ascii="宋体" w:hAnsi="宋体"/>
                <w:szCs w:val="21"/>
              </w:rPr>
              <w:t>态度</w:t>
            </w:r>
            <w:r>
              <w:rPr>
                <w:rFonts w:ascii="宋体" w:hAnsi="宋体"/>
                <w:szCs w:val="21"/>
              </w:rPr>
              <w:t>，能够适应物流行业工作操作时间</w:t>
            </w:r>
            <w:r>
              <w:rPr>
                <w:rFonts w:hint="eastAsia" w:ascii="宋体" w:hAnsi="宋体"/>
                <w:szCs w:val="21"/>
              </w:rPr>
              <w:t>；</w:t>
            </w:r>
          </w:p>
          <w:p w14:paraId="476F7263">
            <w:pPr>
              <w:shd w:val="clear" w:color="auto" w:fill="FFFFFF"/>
              <w:rPr>
                <w:rFonts w:hint="eastAsia" w:ascii="宋体" w:hAnsi="宋体"/>
                <w:szCs w:val="21"/>
              </w:rPr>
            </w:pPr>
            <w:r>
              <w:rPr>
                <w:rFonts w:hint="eastAsia" w:ascii="宋体" w:hAnsi="宋体"/>
                <w:szCs w:val="21"/>
              </w:rPr>
              <w:t>5-2</w:t>
            </w:r>
            <w:r>
              <w:rPr>
                <w:rFonts w:ascii="宋体" w:hAnsi="宋体"/>
                <w:szCs w:val="21"/>
              </w:rPr>
              <w:t>熟悉</w:t>
            </w:r>
            <w:r>
              <w:rPr>
                <w:rFonts w:hint="eastAsia" w:ascii="宋体" w:hAnsi="宋体"/>
                <w:szCs w:val="21"/>
              </w:rPr>
              <w:t>当地运输路线和运输市场供求信息；</w:t>
            </w:r>
          </w:p>
          <w:p w14:paraId="19242AE5">
            <w:pPr>
              <w:shd w:val="clear" w:color="auto" w:fill="FFFFFF"/>
              <w:rPr>
                <w:rFonts w:hint="eastAsia" w:ascii="宋体" w:hAnsi="宋体"/>
                <w:szCs w:val="21"/>
              </w:rPr>
            </w:pPr>
            <w:r>
              <w:rPr>
                <w:rFonts w:hint="eastAsia" w:ascii="宋体" w:hAnsi="宋体"/>
                <w:szCs w:val="21"/>
              </w:rPr>
              <w:t>5-3熟悉货物特性，具有货物配载和加固的规划和设计能力；</w:t>
            </w:r>
          </w:p>
          <w:p w14:paraId="32C92667">
            <w:pPr>
              <w:shd w:val="clear" w:color="auto" w:fill="FFFFFF"/>
              <w:rPr>
                <w:rFonts w:hint="eastAsia" w:ascii="宋体" w:hAnsi="宋体"/>
                <w:szCs w:val="21"/>
              </w:rPr>
            </w:pPr>
            <w:r>
              <w:rPr>
                <w:rFonts w:hint="eastAsia" w:ascii="宋体" w:hAnsi="宋体"/>
                <w:szCs w:val="21"/>
              </w:rPr>
              <w:t>5-4具有独立处理突发事件的能力；</w:t>
            </w:r>
          </w:p>
          <w:p w14:paraId="52D943BE">
            <w:pPr>
              <w:shd w:val="clear" w:color="auto" w:fill="FFFFFF"/>
              <w:rPr>
                <w:rFonts w:hint="eastAsia" w:ascii="宋体" w:hAnsi="宋体"/>
                <w:szCs w:val="21"/>
              </w:rPr>
            </w:pPr>
            <w:r>
              <w:rPr>
                <w:rFonts w:hint="eastAsia" w:ascii="宋体" w:hAnsi="宋体"/>
                <w:szCs w:val="21"/>
              </w:rPr>
              <w:t>5-5</w:t>
            </w:r>
            <w:r>
              <w:rPr>
                <w:rFonts w:ascii="宋体" w:hAnsi="宋体"/>
                <w:szCs w:val="21"/>
              </w:rPr>
              <w:t>有较强的协调沟通能力</w:t>
            </w:r>
            <w:r>
              <w:rPr>
                <w:rFonts w:hint="eastAsia" w:ascii="宋体" w:hAnsi="宋体"/>
                <w:szCs w:val="21"/>
              </w:rPr>
              <w:t>和</w:t>
            </w:r>
            <w:r>
              <w:rPr>
                <w:rFonts w:ascii="宋体" w:hAnsi="宋体"/>
                <w:szCs w:val="21"/>
              </w:rPr>
              <w:t>较</w:t>
            </w:r>
            <w:r>
              <w:rPr>
                <w:rFonts w:hint="eastAsia" w:ascii="宋体" w:hAnsi="宋体"/>
                <w:szCs w:val="21"/>
              </w:rPr>
              <w:t>好</w:t>
            </w:r>
            <w:r>
              <w:rPr>
                <w:rFonts w:ascii="宋体" w:hAnsi="宋体"/>
                <w:szCs w:val="21"/>
              </w:rPr>
              <w:t>的团队精神，能够服从上级的安排，能够协助上级制定工作计划和制作工作方案</w:t>
            </w:r>
            <w:r>
              <w:rPr>
                <w:rFonts w:hint="eastAsia" w:ascii="宋体" w:hAnsi="宋体"/>
                <w:szCs w:val="21"/>
              </w:rPr>
              <w:t>；</w:t>
            </w:r>
          </w:p>
        </w:tc>
        <w:tc>
          <w:tcPr>
            <w:tcW w:w="4784" w:type="dxa"/>
          </w:tcPr>
          <w:p w14:paraId="6D5D7A53">
            <w:pPr>
              <w:shd w:val="clear" w:color="auto" w:fill="FFFFFF"/>
              <w:rPr>
                <w:rFonts w:hint="eastAsia" w:ascii="宋体" w:hAnsi="宋体"/>
                <w:szCs w:val="21"/>
              </w:rPr>
            </w:pPr>
            <w:r>
              <w:rPr>
                <w:rFonts w:hint="eastAsia" w:ascii="宋体" w:hAnsi="宋体"/>
                <w:szCs w:val="21"/>
              </w:rPr>
              <w:t>物流运筹学</w:t>
            </w:r>
          </w:p>
          <w:p w14:paraId="256CA97A">
            <w:pPr>
              <w:shd w:val="clear" w:color="auto" w:fill="FFFFFF"/>
            </w:pPr>
            <w:r>
              <w:rPr>
                <w:rFonts w:hint="eastAsia" w:ascii="宋体" w:hAnsi="宋体"/>
                <w:szCs w:val="21"/>
              </w:rPr>
              <w:t>运输管理实务</w:t>
            </w:r>
          </w:p>
        </w:tc>
      </w:tr>
      <w:tr w14:paraId="53B2C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14:paraId="2533E82D">
            <w:pPr>
              <w:shd w:val="clear" w:color="auto" w:fill="FFFFFF"/>
              <w:jc w:val="center"/>
              <w:rPr>
                <w:rFonts w:hint="eastAsia" w:ascii="宋体" w:hAnsi="宋体"/>
                <w:szCs w:val="21"/>
              </w:rPr>
            </w:pPr>
            <w:r>
              <w:rPr>
                <w:rFonts w:hint="eastAsia" w:ascii="宋体" w:hAnsi="宋体"/>
                <w:szCs w:val="21"/>
              </w:rPr>
              <w:t>6</w:t>
            </w:r>
          </w:p>
        </w:tc>
        <w:tc>
          <w:tcPr>
            <w:tcW w:w="1620" w:type="dxa"/>
            <w:vAlign w:val="center"/>
          </w:tcPr>
          <w:p w14:paraId="03E17FEE">
            <w:pPr>
              <w:shd w:val="clear" w:color="auto" w:fill="FFFFFF"/>
              <w:ind w:firstLine="12"/>
              <w:jc w:val="center"/>
              <w:rPr>
                <w:rFonts w:hint="eastAsia" w:ascii="宋体" w:hAnsi="宋体"/>
                <w:bCs/>
                <w:szCs w:val="21"/>
              </w:rPr>
            </w:pPr>
            <w:r>
              <w:rPr>
                <w:rFonts w:hint="eastAsia" w:ascii="宋体" w:hAnsi="宋体"/>
                <w:bCs/>
                <w:szCs w:val="21"/>
              </w:rPr>
              <w:t>配送</w:t>
            </w:r>
          </w:p>
        </w:tc>
        <w:tc>
          <w:tcPr>
            <w:tcW w:w="2266" w:type="dxa"/>
          </w:tcPr>
          <w:p w14:paraId="3E884681">
            <w:pPr>
              <w:shd w:val="clear" w:color="auto" w:fill="FFFFFF"/>
              <w:rPr>
                <w:rFonts w:hint="eastAsia" w:ascii="宋体" w:hAnsi="宋体"/>
                <w:szCs w:val="21"/>
              </w:rPr>
            </w:pPr>
            <w:r>
              <w:rPr>
                <w:rFonts w:hint="eastAsia" w:ascii="宋体" w:hAnsi="宋体"/>
                <w:szCs w:val="21"/>
              </w:rPr>
              <w:t>接受并执行配送指令；制定配送计划；进行车辆的日常调度；货物或商品的集配载；执行过程中的信息反馈</w:t>
            </w:r>
          </w:p>
        </w:tc>
        <w:tc>
          <w:tcPr>
            <w:tcW w:w="4784" w:type="dxa"/>
          </w:tcPr>
          <w:p w14:paraId="0E6FA4E0">
            <w:pPr>
              <w:shd w:val="clear" w:color="auto" w:fill="FFFFFF"/>
              <w:rPr>
                <w:rFonts w:hint="eastAsia" w:ascii="宋体" w:hAnsi="宋体"/>
                <w:szCs w:val="21"/>
              </w:rPr>
            </w:pPr>
            <w:r>
              <w:rPr>
                <w:rFonts w:hint="eastAsia" w:ascii="宋体" w:hAnsi="宋体"/>
                <w:szCs w:val="21"/>
              </w:rPr>
              <w:t>6-1熟悉深圳的地理位置和线路情况；</w:t>
            </w:r>
          </w:p>
          <w:p w14:paraId="22EF8D47">
            <w:pPr>
              <w:shd w:val="clear" w:color="auto" w:fill="FFFFFF"/>
              <w:rPr>
                <w:rFonts w:hint="eastAsia" w:ascii="宋体" w:hAnsi="宋体"/>
                <w:szCs w:val="21"/>
              </w:rPr>
            </w:pPr>
            <w:r>
              <w:rPr>
                <w:rFonts w:hint="eastAsia" w:ascii="宋体" w:hAnsi="宋体"/>
                <w:szCs w:val="21"/>
              </w:rPr>
              <w:t>6-2掌握车辆调度原则，具有进行车辆合理调度的能力；</w:t>
            </w:r>
          </w:p>
          <w:p w14:paraId="25794980">
            <w:pPr>
              <w:shd w:val="clear" w:color="auto" w:fill="FFFFFF"/>
              <w:rPr>
                <w:rFonts w:hint="eastAsia" w:ascii="宋体" w:hAnsi="宋体"/>
                <w:szCs w:val="21"/>
              </w:rPr>
            </w:pPr>
            <w:r>
              <w:rPr>
                <w:rFonts w:hint="eastAsia" w:ascii="宋体" w:hAnsi="宋体"/>
                <w:szCs w:val="21"/>
              </w:rPr>
              <w:t>6-3有较好的统筹规划能力；</w:t>
            </w:r>
          </w:p>
          <w:p w14:paraId="2A281200">
            <w:pPr>
              <w:shd w:val="clear" w:color="auto" w:fill="FFFFFF"/>
              <w:rPr>
                <w:rFonts w:hint="eastAsia" w:ascii="宋体" w:hAnsi="宋体"/>
                <w:szCs w:val="21"/>
              </w:rPr>
            </w:pPr>
            <w:r>
              <w:rPr>
                <w:rFonts w:hint="eastAsia" w:ascii="宋体" w:hAnsi="宋体"/>
                <w:szCs w:val="21"/>
              </w:rPr>
              <w:t>6-4具有合理选用包装材料的能力；</w:t>
            </w:r>
          </w:p>
          <w:p w14:paraId="63EB0344">
            <w:pPr>
              <w:shd w:val="clear" w:color="auto" w:fill="FFFFFF"/>
              <w:rPr>
                <w:rFonts w:hint="eastAsia" w:ascii="宋体" w:hAnsi="宋体"/>
                <w:szCs w:val="21"/>
              </w:rPr>
            </w:pPr>
            <w:r>
              <w:rPr>
                <w:rFonts w:hint="eastAsia" w:ascii="宋体" w:hAnsi="宋体"/>
                <w:szCs w:val="21"/>
              </w:rPr>
              <w:t>6-5具有运用包装技法实施包装的能力；</w:t>
            </w:r>
          </w:p>
          <w:p w14:paraId="364F7CBC">
            <w:pPr>
              <w:shd w:val="clear" w:color="auto" w:fill="FFFFFF"/>
              <w:rPr>
                <w:rFonts w:hint="eastAsia" w:ascii="宋体" w:hAnsi="宋体"/>
                <w:szCs w:val="21"/>
              </w:rPr>
            </w:pPr>
            <w:r>
              <w:rPr>
                <w:rFonts w:hint="eastAsia" w:ascii="宋体" w:hAnsi="宋体"/>
                <w:szCs w:val="21"/>
              </w:rPr>
              <w:t>6-6具有包装设备设施的使用能力。</w:t>
            </w:r>
          </w:p>
          <w:p w14:paraId="49AC4AE0">
            <w:pPr>
              <w:shd w:val="clear" w:color="auto" w:fill="FFFFFF"/>
              <w:rPr>
                <w:rFonts w:hint="eastAsia" w:ascii="宋体" w:hAnsi="宋体"/>
                <w:szCs w:val="21"/>
              </w:rPr>
            </w:pPr>
            <w:r>
              <w:rPr>
                <w:rFonts w:hint="eastAsia" w:ascii="宋体" w:hAnsi="宋体"/>
                <w:szCs w:val="21"/>
              </w:rPr>
              <w:t>6-7具有针对货物特性和客户要求进行科学配载的能力；</w:t>
            </w:r>
          </w:p>
          <w:p w14:paraId="61EDC79A">
            <w:pPr>
              <w:shd w:val="clear" w:color="auto" w:fill="FFFFFF"/>
              <w:rPr>
                <w:rFonts w:hint="eastAsia" w:ascii="宋体" w:hAnsi="宋体"/>
                <w:szCs w:val="21"/>
              </w:rPr>
            </w:pPr>
            <w:r>
              <w:rPr>
                <w:rFonts w:hint="eastAsia" w:ascii="宋体" w:hAnsi="宋体"/>
                <w:szCs w:val="21"/>
              </w:rPr>
              <w:t>6-8具有物流系统相关软件操作能力；</w:t>
            </w:r>
          </w:p>
          <w:p w14:paraId="1D7F032A">
            <w:pPr>
              <w:shd w:val="clear" w:color="auto" w:fill="FFFFFF"/>
              <w:rPr>
                <w:rFonts w:hint="eastAsia" w:ascii="宋体" w:hAnsi="宋体"/>
                <w:szCs w:val="21"/>
              </w:rPr>
            </w:pPr>
            <w:r>
              <w:rPr>
                <w:rFonts w:hint="eastAsia" w:ascii="宋体" w:hAnsi="宋体"/>
                <w:szCs w:val="21"/>
              </w:rPr>
              <w:t>6-9具有较好的服务意思和责任感；</w:t>
            </w:r>
          </w:p>
          <w:p w14:paraId="3B111B07">
            <w:pPr>
              <w:shd w:val="clear" w:color="auto" w:fill="FFFFFF"/>
              <w:rPr>
                <w:rFonts w:hint="eastAsia" w:ascii="宋体" w:hAnsi="宋体"/>
                <w:szCs w:val="21"/>
              </w:rPr>
            </w:pPr>
            <w:r>
              <w:rPr>
                <w:rFonts w:hint="eastAsia" w:ascii="宋体" w:hAnsi="宋体"/>
                <w:szCs w:val="21"/>
              </w:rPr>
              <w:t>6-10具有配送运作监控的能力。</w:t>
            </w:r>
          </w:p>
        </w:tc>
        <w:tc>
          <w:tcPr>
            <w:tcW w:w="4784" w:type="dxa"/>
          </w:tcPr>
          <w:p w14:paraId="12948980">
            <w:pPr>
              <w:shd w:val="clear" w:color="auto" w:fill="FFFFFF"/>
              <w:rPr>
                <w:rFonts w:hint="eastAsia" w:ascii="宋体" w:hAnsi="宋体"/>
                <w:szCs w:val="21"/>
              </w:rPr>
            </w:pPr>
            <w:r>
              <w:rPr>
                <w:rFonts w:hint="eastAsia" w:ascii="宋体" w:hAnsi="宋体"/>
                <w:szCs w:val="21"/>
              </w:rPr>
              <w:t>仓储与配送管理</w:t>
            </w:r>
          </w:p>
          <w:p w14:paraId="5A543C73">
            <w:pPr>
              <w:pStyle w:val="2"/>
              <w:ind w:firstLine="0" w:firstLineChars="0"/>
              <w:rPr>
                <w:rFonts w:hint="eastAsia"/>
                <w:lang w:val="en-US"/>
              </w:rPr>
            </w:pPr>
          </w:p>
        </w:tc>
      </w:tr>
      <w:tr w14:paraId="15B03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14:paraId="6B6EB684">
            <w:pPr>
              <w:shd w:val="clear" w:color="auto" w:fill="FFFFFF"/>
              <w:jc w:val="center"/>
              <w:rPr>
                <w:rFonts w:hint="eastAsia" w:ascii="宋体" w:hAnsi="宋体"/>
                <w:szCs w:val="21"/>
              </w:rPr>
            </w:pPr>
            <w:r>
              <w:rPr>
                <w:rFonts w:hint="eastAsia" w:ascii="宋体" w:hAnsi="宋体"/>
                <w:szCs w:val="21"/>
              </w:rPr>
              <w:t>7</w:t>
            </w:r>
          </w:p>
        </w:tc>
        <w:tc>
          <w:tcPr>
            <w:tcW w:w="1620" w:type="dxa"/>
            <w:vAlign w:val="center"/>
          </w:tcPr>
          <w:p w14:paraId="10268B31">
            <w:pPr>
              <w:shd w:val="clear" w:color="auto" w:fill="FFFFFF"/>
              <w:jc w:val="center"/>
              <w:rPr>
                <w:rFonts w:hint="eastAsia" w:ascii="宋体" w:hAnsi="宋体"/>
                <w:bCs/>
                <w:szCs w:val="21"/>
              </w:rPr>
            </w:pPr>
          </w:p>
          <w:p w14:paraId="54FE6D01">
            <w:pPr>
              <w:shd w:val="clear" w:color="auto" w:fill="FFFFFF"/>
              <w:jc w:val="center"/>
              <w:rPr>
                <w:rFonts w:hint="eastAsia" w:ascii="宋体" w:hAnsi="宋体"/>
                <w:bCs/>
                <w:szCs w:val="21"/>
              </w:rPr>
            </w:pPr>
            <w:r>
              <w:rPr>
                <w:rFonts w:hint="eastAsia" w:ascii="宋体" w:hAnsi="宋体"/>
                <w:bCs/>
                <w:szCs w:val="21"/>
              </w:rPr>
              <w:t>报关员</w:t>
            </w:r>
          </w:p>
        </w:tc>
        <w:tc>
          <w:tcPr>
            <w:tcW w:w="2266" w:type="dxa"/>
          </w:tcPr>
          <w:p w14:paraId="2C823008">
            <w:pPr>
              <w:shd w:val="clear" w:color="auto" w:fill="FFFFFF"/>
              <w:rPr>
                <w:rFonts w:hint="eastAsia" w:ascii="宋体" w:hAnsi="宋体"/>
                <w:szCs w:val="21"/>
              </w:rPr>
            </w:pPr>
            <w:r>
              <w:rPr>
                <w:rFonts w:hint="eastAsia" w:ascii="宋体" w:hAnsi="宋体"/>
                <w:szCs w:val="21"/>
              </w:rPr>
              <w:t>准备相关报关单证；进出口商品归类；进出口税费计算；配合海关查验；海关相关软件系统的操作；文件档案的管理</w:t>
            </w:r>
          </w:p>
        </w:tc>
        <w:tc>
          <w:tcPr>
            <w:tcW w:w="4784" w:type="dxa"/>
          </w:tcPr>
          <w:p w14:paraId="1B957040">
            <w:pPr>
              <w:shd w:val="clear" w:color="auto" w:fill="FFFFFF"/>
              <w:tabs>
                <w:tab w:val="center" w:pos="4153"/>
                <w:tab w:val="right" w:pos="8306"/>
              </w:tabs>
              <w:snapToGrid w:val="0"/>
              <w:rPr>
                <w:rFonts w:hint="eastAsia" w:ascii="宋体" w:hAnsi="宋体"/>
                <w:szCs w:val="21"/>
              </w:rPr>
            </w:pPr>
            <w:r>
              <w:rPr>
                <w:rFonts w:hint="eastAsia" w:ascii="宋体" w:hAnsi="宋体" w:cs="Courier New"/>
                <w:szCs w:val="21"/>
              </w:rPr>
              <w:t>7-1</w:t>
            </w:r>
            <w:r>
              <w:rPr>
                <w:rFonts w:hint="eastAsia" w:ascii="宋体" w:hAnsi="宋体"/>
                <w:szCs w:val="21"/>
              </w:rPr>
              <w:t>熟悉海关报关、报检流程</w:t>
            </w:r>
          </w:p>
          <w:p w14:paraId="560A144F">
            <w:pPr>
              <w:shd w:val="clear" w:color="auto" w:fill="FFFFFF"/>
              <w:tabs>
                <w:tab w:val="center" w:pos="4153"/>
                <w:tab w:val="right" w:pos="8306"/>
              </w:tabs>
              <w:snapToGrid w:val="0"/>
              <w:rPr>
                <w:rFonts w:hint="eastAsia" w:ascii="宋体" w:hAnsi="宋体"/>
                <w:szCs w:val="21"/>
              </w:rPr>
            </w:pPr>
            <w:r>
              <w:rPr>
                <w:rFonts w:hint="eastAsia" w:ascii="宋体" w:hAnsi="宋体"/>
                <w:szCs w:val="21"/>
              </w:rPr>
              <w:t>7-2对商品进行正确归类能力；</w:t>
            </w:r>
          </w:p>
          <w:p w14:paraId="7829EEC8">
            <w:pPr>
              <w:shd w:val="clear" w:color="auto" w:fill="FFFFFF"/>
              <w:tabs>
                <w:tab w:val="center" w:pos="4153"/>
                <w:tab w:val="right" w:pos="8306"/>
              </w:tabs>
              <w:snapToGrid w:val="0"/>
              <w:rPr>
                <w:rFonts w:hint="eastAsia" w:ascii="宋体" w:hAnsi="宋体"/>
                <w:szCs w:val="21"/>
              </w:rPr>
            </w:pPr>
            <w:r>
              <w:rPr>
                <w:rFonts w:hint="eastAsia" w:ascii="宋体" w:hAnsi="宋体"/>
                <w:szCs w:val="21"/>
              </w:rPr>
              <w:t>7-3收集及制作进出口货物报关单证能力；</w:t>
            </w:r>
          </w:p>
          <w:p w14:paraId="332A7F3F">
            <w:pPr>
              <w:shd w:val="clear" w:color="auto" w:fill="FFFFFF"/>
              <w:tabs>
                <w:tab w:val="center" w:pos="4153"/>
                <w:tab w:val="right" w:pos="8306"/>
              </w:tabs>
              <w:snapToGrid w:val="0"/>
              <w:rPr>
                <w:rFonts w:hint="eastAsia" w:ascii="宋体" w:hAnsi="宋体"/>
                <w:szCs w:val="21"/>
              </w:rPr>
            </w:pPr>
            <w:r>
              <w:rPr>
                <w:rFonts w:hint="eastAsia" w:ascii="宋体" w:hAnsi="宋体"/>
                <w:szCs w:val="21"/>
              </w:rPr>
              <w:t>7-4掌握进出口税费的种类及其计算方法；</w:t>
            </w:r>
          </w:p>
          <w:p w14:paraId="6BFDB1F4">
            <w:pPr>
              <w:shd w:val="clear" w:color="auto" w:fill="FFFFFF"/>
              <w:tabs>
                <w:tab w:val="center" w:pos="4153"/>
                <w:tab w:val="right" w:pos="8306"/>
              </w:tabs>
              <w:snapToGrid w:val="0"/>
              <w:rPr>
                <w:rFonts w:hint="eastAsia" w:ascii="宋体" w:hAnsi="宋体"/>
                <w:szCs w:val="21"/>
              </w:rPr>
            </w:pPr>
            <w:r>
              <w:rPr>
                <w:rFonts w:hint="eastAsia" w:ascii="宋体" w:hAnsi="宋体"/>
                <w:szCs w:val="21"/>
              </w:rPr>
              <w:t>7-5报关流程整体把控能力；</w:t>
            </w:r>
          </w:p>
          <w:p w14:paraId="6F4BED41">
            <w:pPr>
              <w:shd w:val="clear" w:color="auto" w:fill="FFFFFF"/>
              <w:tabs>
                <w:tab w:val="center" w:pos="4153"/>
                <w:tab w:val="right" w:pos="8306"/>
              </w:tabs>
              <w:snapToGrid w:val="0"/>
              <w:rPr>
                <w:rFonts w:hint="eastAsia" w:ascii="宋体" w:hAnsi="宋体"/>
                <w:szCs w:val="21"/>
              </w:rPr>
            </w:pPr>
            <w:r>
              <w:rPr>
                <w:rFonts w:hint="eastAsia" w:ascii="宋体" w:hAnsi="宋体"/>
                <w:szCs w:val="21"/>
              </w:rPr>
              <w:t>7-6</w:t>
            </w:r>
            <w:r>
              <w:rPr>
                <w:rFonts w:hint="eastAsia" w:ascii="宋体" w:hAnsi="宋体" w:cs="Courier New"/>
                <w:szCs w:val="21"/>
              </w:rPr>
              <w:t>海关相关软件系统的操作能力；</w:t>
            </w:r>
          </w:p>
          <w:p w14:paraId="633F30DB">
            <w:pPr>
              <w:shd w:val="clear" w:color="auto" w:fill="FFFFFF"/>
              <w:rPr>
                <w:rFonts w:hint="eastAsia" w:ascii="宋体" w:hAnsi="宋体"/>
                <w:szCs w:val="21"/>
              </w:rPr>
            </w:pPr>
            <w:r>
              <w:rPr>
                <w:rFonts w:hint="eastAsia" w:ascii="宋体" w:hAnsi="宋体"/>
                <w:szCs w:val="21"/>
              </w:rPr>
              <w:t>7-7交流沟通、独立工作能力；</w:t>
            </w:r>
          </w:p>
          <w:p w14:paraId="02FD0232">
            <w:pPr>
              <w:shd w:val="clear" w:color="auto" w:fill="FFFFFF"/>
              <w:rPr>
                <w:rFonts w:hint="eastAsia" w:ascii="宋体" w:hAnsi="宋体"/>
                <w:szCs w:val="21"/>
              </w:rPr>
            </w:pPr>
            <w:r>
              <w:rPr>
                <w:rFonts w:hint="eastAsia" w:ascii="宋体" w:hAnsi="宋体"/>
                <w:szCs w:val="21"/>
              </w:rPr>
              <w:t>7-8文档资料的管理能力。</w:t>
            </w:r>
          </w:p>
        </w:tc>
        <w:tc>
          <w:tcPr>
            <w:tcW w:w="4784" w:type="dxa"/>
          </w:tcPr>
          <w:p w14:paraId="201A8AEF">
            <w:pPr>
              <w:shd w:val="clear" w:color="auto" w:fill="FFFFFF"/>
              <w:tabs>
                <w:tab w:val="center" w:pos="4153"/>
                <w:tab w:val="right" w:pos="8306"/>
              </w:tabs>
              <w:snapToGrid w:val="0"/>
              <w:rPr>
                <w:rFonts w:hint="eastAsia" w:ascii="宋体" w:hAnsi="宋体" w:cs="Courier New"/>
                <w:szCs w:val="21"/>
              </w:rPr>
            </w:pPr>
            <w:r>
              <w:rPr>
                <w:rFonts w:hint="eastAsia" w:ascii="宋体" w:hAnsi="宋体" w:cs="Courier New"/>
                <w:szCs w:val="21"/>
              </w:rPr>
              <w:t>国际物流实务</w:t>
            </w:r>
          </w:p>
          <w:p w14:paraId="25FE884C">
            <w:pPr>
              <w:pStyle w:val="2"/>
              <w:ind w:firstLine="0" w:firstLineChars="0"/>
              <w:rPr>
                <w:rFonts w:hint="eastAsia"/>
                <w:lang w:val="en-US"/>
              </w:rPr>
            </w:pPr>
            <w:r>
              <w:rPr>
                <w:rFonts w:hint="eastAsia"/>
                <w:lang w:val="en-US"/>
              </w:rPr>
              <w:t>外贸英语函电</w:t>
            </w:r>
          </w:p>
          <w:p w14:paraId="67AE8B91">
            <w:pPr>
              <w:pStyle w:val="2"/>
              <w:ind w:firstLine="0" w:firstLineChars="0"/>
              <w:rPr>
                <w:rFonts w:hint="eastAsia"/>
                <w:lang w:val="en-US"/>
              </w:rPr>
            </w:pPr>
          </w:p>
        </w:tc>
      </w:tr>
      <w:tr w14:paraId="27FA5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14:paraId="16B98F48">
            <w:pPr>
              <w:shd w:val="clear" w:color="auto" w:fill="FFFFFF"/>
              <w:jc w:val="center"/>
              <w:rPr>
                <w:rFonts w:hint="eastAsia" w:ascii="宋体" w:hAnsi="宋体"/>
                <w:szCs w:val="21"/>
              </w:rPr>
            </w:pPr>
            <w:r>
              <w:rPr>
                <w:rFonts w:hint="eastAsia" w:ascii="宋体" w:hAnsi="宋体"/>
                <w:szCs w:val="21"/>
              </w:rPr>
              <w:t>8</w:t>
            </w:r>
          </w:p>
        </w:tc>
        <w:tc>
          <w:tcPr>
            <w:tcW w:w="1620" w:type="dxa"/>
            <w:vAlign w:val="center"/>
          </w:tcPr>
          <w:p w14:paraId="10B031EA">
            <w:pPr>
              <w:shd w:val="clear" w:color="auto" w:fill="FFFFFF"/>
              <w:jc w:val="center"/>
              <w:rPr>
                <w:rFonts w:hint="eastAsia" w:ascii="宋体" w:hAnsi="宋体"/>
                <w:szCs w:val="21"/>
              </w:rPr>
            </w:pPr>
            <w:r>
              <w:rPr>
                <w:rFonts w:hint="eastAsia" w:ascii="宋体" w:hAnsi="宋体"/>
                <w:szCs w:val="21"/>
              </w:rPr>
              <w:t>客户服务</w:t>
            </w:r>
          </w:p>
        </w:tc>
        <w:tc>
          <w:tcPr>
            <w:tcW w:w="2266" w:type="dxa"/>
          </w:tcPr>
          <w:p w14:paraId="00CA1535">
            <w:pPr>
              <w:shd w:val="clear" w:color="auto" w:fill="FFFFFF"/>
              <w:rPr>
                <w:rFonts w:hint="eastAsia" w:ascii="宋体" w:hAnsi="宋体"/>
                <w:szCs w:val="21"/>
              </w:rPr>
            </w:pPr>
            <w:r>
              <w:rPr>
                <w:rFonts w:hint="eastAsia" w:ascii="宋体" w:hAnsi="宋体"/>
                <w:szCs w:val="21"/>
              </w:rPr>
              <w:t>接受客户客户需求订单；订单实施的组织和监督；对配送、运输过程中出现的异常情况进行跟踪处理；协调客户关系，进行投诉处理；与相关部门的沟通；对问题处理的情况进行记录和反馈。</w:t>
            </w:r>
          </w:p>
        </w:tc>
        <w:tc>
          <w:tcPr>
            <w:tcW w:w="4784" w:type="dxa"/>
          </w:tcPr>
          <w:p w14:paraId="4B587DAD">
            <w:pPr>
              <w:shd w:val="clear" w:color="auto" w:fill="FFFFFF"/>
              <w:rPr>
                <w:rFonts w:hint="eastAsia" w:ascii="宋体" w:hAnsi="宋体"/>
                <w:szCs w:val="21"/>
              </w:rPr>
            </w:pPr>
            <w:r>
              <w:rPr>
                <w:rFonts w:hint="eastAsia" w:ascii="宋体" w:hAnsi="宋体"/>
                <w:szCs w:val="21"/>
              </w:rPr>
              <w:t>8-1</w:t>
            </w:r>
            <w:r>
              <w:rPr>
                <w:rFonts w:ascii="宋体" w:hAnsi="宋体"/>
                <w:szCs w:val="21"/>
              </w:rPr>
              <w:t>了解客户管理</w:t>
            </w:r>
            <w:r>
              <w:rPr>
                <w:rFonts w:hint="eastAsia" w:ascii="宋体" w:hAnsi="宋体"/>
                <w:szCs w:val="21"/>
              </w:rPr>
              <w:t>知识</w:t>
            </w:r>
            <w:r>
              <w:rPr>
                <w:rFonts w:ascii="宋体" w:hAnsi="宋体"/>
                <w:szCs w:val="21"/>
              </w:rPr>
              <w:t>，懂</w:t>
            </w:r>
            <w:r>
              <w:rPr>
                <w:rFonts w:hint="eastAsia" w:ascii="宋体" w:hAnsi="宋体"/>
                <w:szCs w:val="21"/>
              </w:rPr>
              <w:t>商务</w:t>
            </w:r>
            <w:r>
              <w:rPr>
                <w:rFonts w:ascii="宋体" w:hAnsi="宋体"/>
                <w:szCs w:val="21"/>
              </w:rPr>
              <w:t>礼仪</w:t>
            </w:r>
            <w:r>
              <w:rPr>
                <w:rFonts w:hint="eastAsia" w:ascii="宋体" w:hAnsi="宋体"/>
                <w:szCs w:val="21"/>
              </w:rPr>
              <w:t>，具有</w:t>
            </w:r>
            <w:r>
              <w:rPr>
                <w:rFonts w:ascii="宋体" w:hAnsi="宋体"/>
                <w:szCs w:val="21"/>
              </w:rPr>
              <w:t>客户联络跟踪</w:t>
            </w:r>
            <w:r>
              <w:rPr>
                <w:rFonts w:hint="eastAsia" w:ascii="宋体" w:hAnsi="宋体"/>
                <w:szCs w:val="21"/>
              </w:rPr>
              <w:t>的能力；</w:t>
            </w:r>
          </w:p>
          <w:p w14:paraId="5C6E8144">
            <w:pPr>
              <w:shd w:val="clear" w:color="auto" w:fill="FFFFFF"/>
              <w:rPr>
                <w:rFonts w:hint="eastAsia" w:ascii="宋体" w:hAnsi="宋体"/>
                <w:szCs w:val="21"/>
              </w:rPr>
            </w:pPr>
            <w:r>
              <w:rPr>
                <w:rFonts w:hint="eastAsia" w:ascii="宋体" w:hAnsi="宋体"/>
                <w:szCs w:val="21"/>
              </w:rPr>
              <w:t>8-2懂配送、运输作业的相关流程和法规；</w:t>
            </w:r>
          </w:p>
          <w:p w14:paraId="63E0E669">
            <w:pPr>
              <w:shd w:val="clear" w:color="auto" w:fill="FFFFFF"/>
              <w:rPr>
                <w:rFonts w:hint="eastAsia" w:ascii="宋体" w:hAnsi="宋体"/>
                <w:szCs w:val="21"/>
              </w:rPr>
            </w:pPr>
            <w:r>
              <w:rPr>
                <w:rFonts w:hint="eastAsia" w:ascii="宋体" w:hAnsi="宋体"/>
                <w:szCs w:val="21"/>
              </w:rPr>
              <w:t>8-3具有及时果断地处理问题的能力；</w:t>
            </w:r>
          </w:p>
          <w:p w14:paraId="19053199">
            <w:pPr>
              <w:shd w:val="clear" w:color="auto" w:fill="FFFFFF"/>
              <w:rPr>
                <w:rFonts w:hint="eastAsia" w:ascii="宋体" w:hAnsi="宋体"/>
                <w:szCs w:val="21"/>
              </w:rPr>
            </w:pPr>
            <w:r>
              <w:rPr>
                <w:rFonts w:hint="eastAsia" w:ascii="宋体" w:hAnsi="宋体"/>
                <w:szCs w:val="21"/>
              </w:rPr>
              <w:t>8-4具有良好的沟通能力。</w:t>
            </w:r>
          </w:p>
        </w:tc>
        <w:tc>
          <w:tcPr>
            <w:tcW w:w="4784" w:type="dxa"/>
          </w:tcPr>
          <w:p w14:paraId="6E4C0053">
            <w:pPr>
              <w:shd w:val="clear" w:color="auto" w:fill="FFFFFF"/>
              <w:rPr>
                <w:rFonts w:hint="eastAsia" w:ascii="宋体" w:hAnsi="宋体"/>
                <w:szCs w:val="21"/>
              </w:rPr>
            </w:pPr>
            <w:r>
              <w:rPr>
                <w:rFonts w:hint="eastAsia" w:ascii="宋体" w:hAnsi="宋体"/>
                <w:szCs w:val="21"/>
              </w:rPr>
              <w:t>商务基础</w:t>
            </w:r>
          </w:p>
          <w:p w14:paraId="486FD26C">
            <w:pPr>
              <w:pStyle w:val="2"/>
              <w:ind w:firstLine="0" w:firstLineChars="0"/>
              <w:rPr>
                <w:rFonts w:hint="eastAsia"/>
                <w:lang w:val="en-US"/>
              </w:rPr>
            </w:pPr>
            <w:r>
              <w:rPr>
                <w:rFonts w:hint="eastAsia"/>
                <w:lang w:val="en-US"/>
              </w:rPr>
              <w:t>市场营销</w:t>
            </w:r>
          </w:p>
          <w:p w14:paraId="6CB0F881">
            <w:pPr>
              <w:pStyle w:val="2"/>
              <w:ind w:firstLine="0" w:firstLineChars="0"/>
              <w:rPr>
                <w:rFonts w:hint="eastAsia"/>
                <w:lang w:val="en-US"/>
              </w:rPr>
            </w:pPr>
          </w:p>
        </w:tc>
      </w:tr>
      <w:tr w14:paraId="4FC7F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14:paraId="642281E7">
            <w:pPr>
              <w:shd w:val="clear" w:color="auto" w:fill="FFFFFF"/>
              <w:jc w:val="center"/>
              <w:rPr>
                <w:rFonts w:hint="eastAsia" w:ascii="宋体" w:hAnsi="宋体"/>
                <w:szCs w:val="21"/>
              </w:rPr>
            </w:pPr>
            <w:r>
              <w:rPr>
                <w:rFonts w:hint="eastAsia" w:ascii="宋体" w:hAnsi="宋体"/>
                <w:szCs w:val="21"/>
              </w:rPr>
              <w:t>9</w:t>
            </w:r>
          </w:p>
        </w:tc>
        <w:tc>
          <w:tcPr>
            <w:tcW w:w="1620" w:type="dxa"/>
            <w:vAlign w:val="center"/>
          </w:tcPr>
          <w:p w14:paraId="62809A55">
            <w:pPr>
              <w:shd w:val="clear" w:color="auto" w:fill="FFFFFF"/>
              <w:jc w:val="center"/>
              <w:rPr>
                <w:rFonts w:hint="eastAsia" w:ascii="宋体" w:hAnsi="宋体"/>
                <w:szCs w:val="21"/>
              </w:rPr>
            </w:pPr>
            <w:r>
              <w:rPr>
                <w:rFonts w:hint="eastAsia" w:ascii="宋体" w:hAnsi="宋体"/>
                <w:szCs w:val="21"/>
              </w:rPr>
              <w:t>货代员</w:t>
            </w:r>
          </w:p>
        </w:tc>
        <w:tc>
          <w:tcPr>
            <w:tcW w:w="2266" w:type="dxa"/>
          </w:tcPr>
          <w:p w14:paraId="13492A97">
            <w:pPr>
              <w:shd w:val="clear" w:color="auto" w:fill="FFFFFF"/>
              <w:rPr>
                <w:rFonts w:hint="eastAsia" w:ascii="宋体" w:hAnsi="宋体"/>
                <w:szCs w:val="21"/>
              </w:rPr>
            </w:pPr>
            <w:r>
              <w:rPr>
                <w:rFonts w:hint="eastAsia" w:ascii="宋体" w:hAnsi="宋体"/>
                <w:szCs w:val="21"/>
              </w:rPr>
              <w:t>收集客户信息；发掘和维护客户；线路选择；成本分析；制订方案；系统录入；对单核单；签发运输单证；电放单证</w:t>
            </w:r>
          </w:p>
        </w:tc>
        <w:tc>
          <w:tcPr>
            <w:tcW w:w="4784" w:type="dxa"/>
          </w:tcPr>
          <w:p w14:paraId="59504BF6">
            <w:pPr>
              <w:shd w:val="clear" w:color="auto" w:fill="FFFFFF"/>
              <w:rPr>
                <w:rFonts w:hint="eastAsia" w:ascii="宋体" w:hAnsi="宋体"/>
                <w:szCs w:val="21"/>
              </w:rPr>
            </w:pPr>
            <w:r>
              <w:rPr>
                <w:rFonts w:hint="eastAsia" w:ascii="宋体" w:hAnsi="宋体"/>
                <w:szCs w:val="21"/>
              </w:rPr>
              <w:t>9-1熟货物运输特性；</w:t>
            </w:r>
          </w:p>
          <w:p w14:paraId="0E424EF5">
            <w:pPr>
              <w:shd w:val="clear" w:color="auto" w:fill="FFFFFF"/>
              <w:rPr>
                <w:rFonts w:hint="eastAsia" w:ascii="宋体" w:hAnsi="宋体"/>
                <w:szCs w:val="21"/>
              </w:rPr>
            </w:pPr>
            <w:r>
              <w:rPr>
                <w:rFonts w:hint="eastAsia" w:ascii="宋体" w:hAnsi="宋体"/>
                <w:szCs w:val="21"/>
              </w:rPr>
              <w:t>9-2具有熟练使用自动化办公设备的能力；</w:t>
            </w:r>
          </w:p>
          <w:p w14:paraId="12FA09EF">
            <w:pPr>
              <w:shd w:val="clear" w:color="auto" w:fill="FFFFFF"/>
              <w:rPr>
                <w:rFonts w:hint="eastAsia" w:ascii="宋体" w:hAnsi="宋体"/>
                <w:szCs w:val="21"/>
              </w:rPr>
            </w:pPr>
            <w:r>
              <w:rPr>
                <w:rFonts w:hint="eastAsia" w:ascii="宋体" w:hAnsi="宋体"/>
                <w:szCs w:val="21"/>
              </w:rPr>
              <w:t>9-3具有相关软件系统的操作能力；</w:t>
            </w:r>
          </w:p>
          <w:p w14:paraId="11CA0E62">
            <w:pPr>
              <w:shd w:val="clear" w:color="auto" w:fill="FFFFFF"/>
              <w:rPr>
                <w:rFonts w:hint="eastAsia" w:ascii="宋体" w:hAnsi="宋体"/>
                <w:szCs w:val="21"/>
              </w:rPr>
            </w:pPr>
            <w:r>
              <w:rPr>
                <w:rFonts w:hint="eastAsia" w:ascii="宋体" w:hAnsi="宋体"/>
                <w:szCs w:val="21"/>
              </w:rPr>
              <w:t>9-4具有运输方式的优化和选择能力；</w:t>
            </w:r>
          </w:p>
          <w:p w14:paraId="3E344145">
            <w:pPr>
              <w:shd w:val="clear" w:color="auto" w:fill="FFFFFF"/>
              <w:rPr>
                <w:rFonts w:hint="eastAsia" w:ascii="宋体" w:hAnsi="宋体"/>
                <w:szCs w:val="21"/>
              </w:rPr>
            </w:pPr>
            <w:r>
              <w:rPr>
                <w:rFonts w:hint="eastAsia" w:ascii="宋体" w:hAnsi="宋体"/>
                <w:szCs w:val="21"/>
              </w:rPr>
              <w:t>9-5具有运输成本核算能力；具有对运输供应商的选择和监控能力；</w:t>
            </w:r>
          </w:p>
          <w:p w14:paraId="04499C84">
            <w:pPr>
              <w:shd w:val="clear" w:color="auto" w:fill="FFFFFF"/>
              <w:rPr>
                <w:rFonts w:hint="eastAsia" w:ascii="宋体" w:hAnsi="宋体"/>
                <w:szCs w:val="21"/>
              </w:rPr>
            </w:pPr>
            <w:r>
              <w:rPr>
                <w:rFonts w:hint="eastAsia" w:ascii="宋体" w:hAnsi="宋体"/>
                <w:szCs w:val="21"/>
              </w:rPr>
              <w:t>9-6掌握处理各类单证的能力；</w:t>
            </w:r>
          </w:p>
          <w:p w14:paraId="224C05AE">
            <w:pPr>
              <w:shd w:val="clear" w:color="auto" w:fill="FFFFFF"/>
              <w:tabs>
                <w:tab w:val="center" w:pos="4153"/>
                <w:tab w:val="right" w:pos="8306"/>
              </w:tabs>
              <w:snapToGrid w:val="0"/>
              <w:rPr>
                <w:rFonts w:hint="eastAsia" w:ascii="宋体" w:hAnsi="宋体" w:cs="Courier New"/>
                <w:szCs w:val="21"/>
              </w:rPr>
            </w:pPr>
            <w:r>
              <w:rPr>
                <w:rFonts w:hint="eastAsia" w:ascii="宋体" w:hAnsi="宋体" w:cs="Courier New"/>
                <w:szCs w:val="21"/>
              </w:rPr>
              <w:t>9-7具有英文交流和良好的沟通能力能力。</w:t>
            </w:r>
          </w:p>
        </w:tc>
        <w:tc>
          <w:tcPr>
            <w:tcW w:w="4784" w:type="dxa"/>
          </w:tcPr>
          <w:p w14:paraId="3E9F811D">
            <w:pPr>
              <w:shd w:val="clear" w:color="auto" w:fill="FFFFFF"/>
              <w:rPr>
                <w:rFonts w:hint="eastAsia" w:ascii="宋体" w:hAnsi="宋体"/>
                <w:szCs w:val="21"/>
              </w:rPr>
            </w:pPr>
            <w:r>
              <w:rPr>
                <w:rFonts w:hint="eastAsia" w:ascii="宋体" w:hAnsi="宋体"/>
                <w:szCs w:val="21"/>
              </w:rPr>
              <w:t>国际物流实务</w:t>
            </w:r>
          </w:p>
          <w:p w14:paraId="251F8059">
            <w:pPr>
              <w:shd w:val="clear" w:color="auto" w:fill="FFFFFF"/>
            </w:pPr>
            <w:r>
              <w:rPr>
                <w:rFonts w:hint="eastAsia" w:ascii="宋体" w:hAnsi="宋体"/>
                <w:szCs w:val="21"/>
              </w:rPr>
              <w:t>外贸英语函电</w:t>
            </w:r>
          </w:p>
        </w:tc>
      </w:tr>
    </w:tbl>
    <w:p w14:paraId="0A6A73F3">
      <w:pPr>
        <w:pStyle w:val="78"/>
        <w:ind w:firstLine="480"/>
      </w:pPr>
    </w:p>
    <w:p w14:paraId="167DAC39">
      <w:pPr>
        <w:pStyle w:val="78"/>
        <w:ind w:firstLine="480"/>
      </w:pPr>
    </w:p>
    <w:p w14:paraId="2BCEF9DE">
      <w:pPr>
        <w:pStyle w:val="78"/>
        <w:ind w:firstLine="480"/>
      </w:pPr>
    </w:p>
    <w:p w14:paraId="544623F9">
      <w:pPr>
        <w:pStyle w:val="2"/>
        <w:ind w:firstLine="0" w:firstLineChars="0"/>
        <w:rPr>
          <w:rFonts w:hint="eastAsia"/>
          <w:lang w:val="en-US"/>
        </w:rPr>
      </w:pPr>
    </w:p>
    <w:p w14:paraId="5A96E1A8">
      <w:pPr>
        <w:pStyle w:val="2"/>
        <w:ind w:firstLine="0" w:firstLineChars="0"/>
        <w:rPr>
          <w:rFonts w:hint="eastAsia"/>
          <w:lang w:val="en-US"/>
        </w:rPr>
        <w:sectPr>
          <w:pgSz w:w="16838" w:h="11906" w:orient="landscape"/>
          <w:pgMar w:top="1800" w:right="1440" w:bottom="1800" w:left="1440" w:header="851" w:footer="992" w:gutter="0"/>
          <w:cols w:space="425" w:num="1"/>
          <w:docGrid w:type="lines" w:linePitch="312" w:charSpace="0"/>
        </w:sectPr>
      </w:pPr>
    </w:p>
    <w:p w14:paraId="02F2D749">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（二）课程体系设计</w:t>
      </w:r>
    </w:p>
    <w:p w14:paraId="62A028D0">
      <w:pPr>
        <w:spacing w:line="500" w:lineRule="exact"/>
        <w:ind w:firstLine="482" w:firstLineChars="200"/>
        <w:rPr>
          <w:rFonts w:hint="eastAsia" w:ascii="黑体" w:hAnsi="黑体" w:eastAsia="黑体" w:cs="宋体"/>
          <w:b/>
          <w:sz w:val="24"/>
          <w:szCs w:val="24"/>
        </w:rPr>
      </w:pPr>
      <w:r>
        <w:rPr>
          <w:rFonts w:hint="eastAsia" w:ascii="黑体" w:hAnsi="黑体" w:eastAsia="黑体" w:cs="宋体"/>
          <w:b/>
          <w:sz w:val="24"/>
          <w:szCs w:val="24"/>
        </w:rPr>
        <w:t>1.课程体系架构</w:t>
      </w:r>
    </w:p>
    <w:p w14:paraId="16974279">
      <w:pPr>
        <w:pStyle w:val="78"/>
        <w:ind w:firstLine="480"/>
        <w:jc w:val="center"/>
        <w:rPr>
          <w:rFonts w:hint="eastAsia" w:ascii="宋体" w:hAnsi="宋体"/>
          <w:szCs w:val="24"/>
        </w:rPr>
      </w:pPr>
      <w:r>
        <w:rPr>
          <w:rFonts w:hint="eastAsia" w:ascii="宋体" w:hAnsi="宋体" w:cs="宋体"/>
          <w:szCs w:val="24"/>
        </w:rPr>
        <w:t>表</w:t>
      </w:r>
      <w:r>
        <w:rPr>
          <w:rFonts w:hint="eastAsia" w:ascii="宋体" w:hAnsi="宋体"/>
          <w:szCs w:val="24"/>
        </w:rPr>
        <w:t>3</w:t>
      </w:r>
      <w:r>
        <w:rPr>
          <w:rFonts w:ascii="宋体" w:hAnsi="宋体"/>
          <w:szCs w:val="24"/>
        </w:rPr>
        <w:t xml:space="preserve"> </w:t>
      </w:r>
      <w:r>
        <w:rPr>
          <w:rFonts w:hint="eastAsia" w:ascii="宋体" w:hAnsi="宋体" w:cs="宋体"/>
          <w:szCs w:val="24"/>
        </w:rPr>
        <w:t>课程体系架构图</w:t>
      </w:r>
    </w:p>
    <w:p w14:paraId="6B6EB103">
      <w:pPr>
        <w:spacing w:line="360" w:lineRule="auto"/>
        <w:rPr>
          <w:b/>
          <w:bCs/>
          <w:szCs w:val="21"/>
        </w:rPr>
      </w:pPr>
      <w:r>
        <w:rPr>
          <w:sz w:val="24"/>
          <w:szCs w:val="24"/>
        </w:rPr>
        <mc:AlternateContent>
          <mc:Choice Requires="wps">
            <w:drawing>
              <wp:anchor distT="0" distB="0" distL="114300" distR="114300" simplePos="0" relativeHeight="251661312" behindDoc="0" locked="0" layoutInCell="1" allowOverlap="1">
                <wp:simplePos x="0" y="0"/>
                <wp:positionH relativeFrom="column">
                  <wp:posOffset>32385</wp:posOffset>
                </wp:positionH>
                <wp:positionV relativeFrom="paragraph">
                  <wp:posOffset>81280</wp:posOffset>
                </wp:positionV>
                <wp:extent cx="548640" cy="7799070"/>
                <wp:effectExtent l="0" t="0" r="22860" b="11430"/>
                <wp:wrapNone/>
                <wp:docPr id="323" name="文本框 323"/>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13642F73">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55pt;margin-top:6.4pt;height:614.1pt;width:43.2pt;z-index:251661312;mso-width-relative:page;mso-height-relative:page;" fillcolor="#B4C7E7 [1300]" filled="t" stroked="t" coordsize="21600,21600" o:gfxdata="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K&#10;Jqym0wAAAAgBAAAPAAAAAAAAAAEAIAAAACIAAABkcnMvZG93bnJldi54bWxQSwECFAAUAAAACACH&#10;TuJAhY/8QmICAADGBAAADgAAAAAAAAABACAAAAAiAQAAZHJzL2Uyb0RvYy54bWxQSwUGAAAAAAYA&#10;BgBZAQAA9gUAAAAA&#10;">
                <v:fill on="t" focussize="0,0"/>
                <v:stroke color="#000000" miterlimit="8" joinstyle="miter"/>
                <v:imagedata o:title=""/>
                <o:lock v:ext="edit" aspectratio="f"/>
                <v:textbox style="layout-flow:vertical-ideographic;">
                  <w:txbxContent>
                    <w:p w14:paraId="13642F73">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z w:val="24"/>
          <w:szCs w:val="24"/>
        </w:rPr>
        <mc:AlternateContent>
          <mc:Choice Requires="wps">
            <w:drawing>
              <wp:anchor distT="0" distB="0" distL="114300" distR="114300" simplePos="0" relativeHeight="251660288" behindDoc="0" locked="0" layoutInCell="1" allowOverlap="1">
                <wp:simplePos x="0" y="0"/>
                <wp:positionH relativeFrom="column">
                  <wp:posOffset>2475865</wp:posOffset>
                </wp:positionH>
                <wp:positionV relativeFrom="paragraph">
                  <wp:posOffset>82550</wp:posOffset>
                </wp:positionV>
                <wp:extent cx="2831465" cy="810895"/>
                <wp:effectExtent l="8890" t="8255" r="7620" b="9525"/>
                <wp:wrapNone/>
                <wp:docPr id="326"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2831465" cy="810895"/>
                        </a:xfrm>
                        <a:prstGeom prst="rect">
                          <a:avLst/>
                        </a:prstGeom>
                        <a:solidFill>
                          <a:srgbClr val="FFFFFF"/>
                        </a:solidFill>
                        <a:ln w="9525">
                          <a:solidFill>
                            <a:srgbClr val="000000"/>
                          </a:solidFill>
                          <a:miter lim="800000"/>
                        </a:ln>
                      </wps:spPr>
                      <wps:txbx>
                        <w:txbxContent>
                          <w:p w14:paraId="60592836">
                            <w:pPr>
                              <w:adjustRightInd w:val="0"/>
                              <w:snapToGrid w:val="0"/>
                              <w:spacing w:line="288" w:lineRule="auto"/>
                              <w:rPr>
                                <w:sz w:val="15"/>
                                <w:szCs w:val="15"/>
                              </w:rPr>
                            </w:pPr>
                            <w:r>
                              <w:rPr>
                                <w:rFonts w:hint="eastAsia"/>
                                <w:sz w:val="15"/>
                                <w:szCs w:val="15"/>
                              </w:rPr>
                              <w:t>1.思想道德与法治 2</w:t>
                            </w:r>
                            <w:r>
                              <w:rPr>
                                <w:sz w:val="15"/>
                                <w:szCs w:val="15"/>
                              </w:rPr>
                              <w:t>.</w:t>
                            </w:r>
                            <w:r>
                              <w:rPr>
                                <w:rFonts w:hint="eastAsia"/>
                                <w:sz w:val="15"/>
                                <w:szCs w:val="15"/>
                              </w:rPr>
                              <w:t>毛泽东思想和中国特色社会主义理论体系概论3.习近平新时代中国特色社会主义思想概论（一） 4.习近平新时代中国特色会主义思想概论（二） 5.形势与政策 6.体育与健康（一）7.体育与健康（二）8.体育与健康（三）9.大学生就业指导与创新创业教育10.心理健康教育11.军事理论12.大学英语（一）13.大学英语（二）14.信息技术15.中华传统文化16.劳动教育17.高等数学（一）18.高等数学（二）</w:t>
                            </w:r>
                          </w:p>
                          <w:p w14:paraId="5575A2BD">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6.5pt;height:63.85pt;width:222.95pt;z-index:251660288;mso-width-relative:page;mso-height-relative:page;" fillcolor="#FFFFFF" filled="t" stroked="t" coordsize="21600,21600" o:gfxdata="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S2LLLYAAAACgEAAA8AAAAAAAAAAQAgAAAA&#10;IgAAAGRycy9kb3ducmV2LnhtbFBLAQIUABQAAAAIAIdO4kBk0jt/RAIAAIsEAAAOAAAAAAAAAAEA&#10;IAAAACcBAABkcnMvZTJvRG9jLnhtbFBLBQYAAAAABgAGAFkBAADdBQAAAAA=&#10;">
                <v:fill on="t" focussize="0,0"/>
                <v:stroke color="#000000" miterlimit="8" joinstyle="miter"/>
                <v:imagedata o:title=""/>
                <o:lock v:ext="edit" aspectratio="f"/>
                <v:textbox>
                  <w:txbxContent>
                    <w:p w14:paraId="60592836">
                      <w:pPr>
                        <w:adjustRightInd w:val="0"/>
                        <w:snapToGrid w:val="0"/>
                        <w:spacing w:line="288" w:lineRule="auto"/>
                        <w:rPr>
                          <w:sz w:val="15"/>
                          <w:szCs w:val="15"/>
                        </w:rPr>
                      </w:pPr>
                      <w:r>
                        <w:rPr>
                          <w:rFonts w:hint="eastAsia"/>
                          <w:sz w:val="15"/>
                          <w:szCs w:val="15"/>
                        </w:rPr>
                        <w:t>1.思想道德与法治 2</w:t>
                      </w:r>
                      <w:r>
                        <w:rPr>
                          <w:sz w:val="15"/>
                          <w:szCs w:val="15"/>
                        </w:rPr>
                        <w:t>.</w:t>
                      </w:r>
                      <w:r>
                        <w:rPr>
                          <w:rFonts w:hint="eastAsia"/>
                          <w:sz w:val="15"/>
                          <w:szCs w:val="15"/>
                        </w:rPr>
                        <w:t>毛泽东思想和中国特色社会主义理论体系概论3.习近平新时代中国特色社会主义思想概论（一） 4.习近平新时代中国特色会主义思想概论（二） 5.形势与政策 6.体育与健康（一）7.体育与健康（二）8.体育与健康（三）9.大学生就业指导与创新创业教育10.心理健康教育11.军事理论12.大学英语（一）13.大学英语（二）14.信息技术15.中华传统文化16.劳动教育17.高等数学（一）18.高等数学（二）</w:t>
                      </w:r>
                    </w:p>
                    <w:p w14:paraId="5575A2BD">
                      <w:pPr>
                        <w:adjustRightInd w:val="0"/>
                        <w:snapToGrid w:val="0"/>
                        <w:spacing w:line="288" w:lineRule="auto"/>
                        <w:rPr>
                          <w:sz w:val="15"/>
                          <w:szCs w:val="15"/>
                        </w:rPr>
                      </w:pPr>
                    </w:p>
                  </w:txbxContent>
                </v:textbox>
              </v:shape>
            </w:pict>
          </mc:Fallback>
        </mc:AlternateContent>
      </w:r>
      <w:r>
        <w:rPr>
          <w:sz w:val="24"/>
          <w:szCs w:val="24"/>
        </w:rPr>
        <mc:AlternateContent>
          <mc:Choice Requires="wps">
            <w:drawing>
              <wp:anchor distT="0" distB="0" distL="114300" distR="114300" simplePos="0" relativeHeight="251662336" behindDoc="0" locked="0" layoutInCell="1" allowOverlap="1">
                <wp:simplePos x="0" y="0"/>
                <wp:positionH relativeFrom="column">
                  <wp:posOffset>994410</wp:posOffset>
                </wp:positionH>
                <wp:positionV relativeFrom="paragraph">
                  <wp:posOffset>82550</wp:posOffset>
                </wp:positionV>
                <wp:extent cx="342900" cy="2957830"/>
                <wp:effectExtent l="0" t="0" r="19050" b="13970"/>
                <wp:wrapNone/>
                <wp:docPr id="325"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2491D2F3">
                            <w:pPr>
                              <w:rPr>
                                <w:shd w:val="clear" w:color="auto" w:fill="B4C6E7" w:themeFill="accent1" w:themeFillTint="66"/>
                              </w:rPr>
                            </w:pPr>
                          </w:p>
                          <w:p w14:paraId="46C84657">
                            <w:pPr>
                              <w:rPr>
                                <w:shd w:val="clear" w:color="auto" w:fill="B4C6E7" w:themeFill="accent1" w:themeFillTint="66"/>
                              </w:rPr>
                            </w:pPr>
                          </w:p>
                          <w:p w14:paraId="233A2131">
                            <w:pPr>
                              <w:rPr>
                                <w:shd w:val="clear" w:color="auto" w:fill="B4C6E7" w:themeFill="accent1" w:themeFillTint="66"/>
                              </w:rPr>
                            </w:pPr>
                          </w:p>
                          <w:p w14:paraId="6C35873C">
                            <w:pPr>
                              <w:rPr>
                                <w:shd w:val="clear" w:color="auto" w:fill="B4C6E7" w:themeFill="accent1" w:themeFillTint="66"/>
                              </w:rPr>
                            </w:pPr>
                          </w:p>
                          <w:p w14:paraId="4634EC9F">
                            <w:pPr>
                              <w:rPr>
                                <w:shd w:val="clear" w:color="auto" w:fill="B4C6E7" w:themeFill="accent1" w:themeFillTint="66"/>
                              </w:rPr>
                            </w:pPr>
                          </w:p>
                          <w:p w14:paraId="3663D2DF">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32.9pt;width:27pt;z-index:251662336;mso-width-relative:page;mso-height-relative:page;" fillcolor="#F8CBAD [1301]" filled="t" stroked="t" coordsize="21600,21600" o:gfxdata="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rYwS62QAAAAoBAAAPAAAAAAAAAAEAIAAAACIAAABkcnMvZG93bnJldi54bWxQSwECFAAUAAAA&#10;CACHTuJA47dpul8CAADEBAAADgAAAAAAAAABACAAAAAoAQAAZHJzL2Uyb0RvYy54bWxQSwUGAAAA&#10;AAYABgBZAQAA+QUAAAAA&#10;">
                <v:fill on="t" focussize="0,0"/>
                <v:stroke color="#000000" miterlimit="8" joinstyle="miter"/>
                <v:imagedata o:title=""/>
                <o:lock v:ext="edit" aspectratio="f"/>
                <v:textbox>
                  <w:txbxContent>
                    <w:p w14:paraId="2491D2F3">
                      <w:pPr>
                        <w:rPr>
                          <w:shd w:val="clear" w:color="auto" w:fill="B4C6E7" w:themeFill="accent1" w:themeFillTint="66"/>
                        </w:rPr>
                      </w:pPr>
                    </w:p>
                    <w:p w14:paraId="46C84657">
                      <w:pPr>
                        <w:rPr>
                          <w:shd w:val="clear" w:color="auto" w:fill="B4C6E7" w:themeFill="accent1" w:themeFillTint="66"/>
                        </w:rPr>
                      </w:pPr>
                    </w:p>
                    <w:p w14:paraId="233A2131">
                      <w:pPr>
                        <w:rPr>
                          <w:shd w:val="clear" w:color="auto" w:fill="B4C6E7" w:themeFill="accent1" w:themeFillTint="66"/>
                        </w:rPr>
                      </w:pPr>
                    </w:p>
                    <w:p w14:paraId="6C35873C">
                      <w:pPr>
                        <w:rPr>
                          <w:shd w:val="clear" w:color="auto" w:fill="B4C6E7" w:themeFill="accent1" w:themeFillTint="66"/>
                        </w:rPr>
                      </w:pPr>
                    </w:p>
                    <w:p w14:paraId="4634EC9F">
                      <w:pPr>
                        <w:rPr>
                          <w:shd w:val="clear" w:color="auto" w:fill="B4C6E7" w:themeFill="accent1" w:themeFillTint="66"/>
                        </w:rPr>
                      </w:pPr>
                    </w:p>
                    <w:p w14:paraId="3663D2DF">
                      <w:pPr>
                        <w:jc w:val="center"/>
                        <w:rPr>
                          <w:b/>
                          <w:sz w:val="24"/>
                          <w:szCs w:val="24"/>
                        </w:rPr>
                      </w:pPr>
                      <w:r>
                        <w:rPr>
                          <w:rFonts w:hint="eastAsia"/>
                          <w:b/>
                          <w:sz w:val="24"/>
                          <w:szCs w:val="24"/>
                        </w:rPr>
                        <w:t>公共基础平台</w:t>
                      </w:r>
                    </w:p>
                  </w:txbxContent>
                </v:textbox>
              </v:shape>
            </w:pict>
          </mc:Fallback>
        </mc:AlternateContent>
      </w:r>
      <w:r>
        <w:rPr>
          <w:rFonts w:ascii="Times New Roman"/>
          <w:sz w:val="24"/>
          <w:szCs w:val="24"/>
        </w:rPr>
        <mc:AlternateContent>
          <mc:Choice Requires="wps">
            <w:drawing>
              <wp:anchor distT="0" distB="0" distL="114300" distR="114300" simplePos="0" relativeHeight="251663360" behindDoc="0" locked="0" layoutInCell="1" allowOverlap="1">
                <wp:simplePos x="0" y="0"/>
                <wp:positionH relativeFrom="column">
                  <wp:posOffset>1710690</wp:posOffset>
                </wp:positionH>
                <wp:positionV relativeFrom="paragraph">
                  <wp:posOffset>82550</wp:posOffset>
                </wp:positionV>
                <wp:extent cx="487680" cy="909320"/>
                <wp:effectExtent l="0" t="0" r="26670" b="24130"/>
                <wp:wrapNone/>
                <wp:docPr id="324"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25FA2BFA">
                            <w:pPr>
                              <w:snapToGrid w:val="0"/>
                              <w:spacing w:line="360" w:lineRule="auto"/>
                              <w:rPr>
                                <w:sz w:val="18"/>
                                <w:szCs w:val="18"/>
                              </w:rPr>
                            </w:pPr>
                          </w:p>
                          <w:p w14:paraId="082E3D10">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7pt;margin-top:6.5pt;height:71.6pt;width:38.4pt;z-index:251663360;mso-width-relative:page;mso-height-relative:page;" fillcolor="#E2F0D9 [665]" filled="t" stroked="t" coordsize="21600,21600" o:gfxdata="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e&#10;UG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KWXTdgAAAAKAQAADwAAAAAAAAABACAAAAAiAAAAZHJzL2Rvd25yZXYueG1sUEsBAhQAFAAA&#10;AAgAh07iQAOj6UJhAgAAwwQAAA4AAAAAAAAAAQAgAAAAJwEAAGRycy9lMm9Eb2MueG1sUEsFBgAA&#10;AAAGAAYAWQEAAPoFAAAAAA==&#10;">
                <v:fill on="t" focussize="0,0"/>
                <v:stroke color="#000000" miterlimit="8" joinstyle="miter"/>
                <v:imagedata o:title=""/>
                <o:lock v:ext="edit" aspectratio="f"/>
                <v:textbox>
                  <w:txbxContent>
                    <w:p w14:paraId="25FA2BFA">
                      <w:pPr>
                        <w:snapToGrid w:val="0"/>
                        <w:spacing w:line="360" w:lineRule="auto"/>
                        <w:rPr>
                          <w:sz w:val="18"/>
                          <w:szCs w:val="18"/>
                        </w:rPr>
                      </w:pPr>
                    </w:p>
                    <w:p w14:paraId="082E3D10">
                      <w:pPr>
                        <w:snapToGrid w:val="0"/>
                        <w:spacing w:line="360" w:lineRule="auto"/>
                        <w:jc w:val="center"/>
                        <w:rPr>
                          <w:b/>
                          <w:sz w:val="18"/>
                          <w:szCs w:val="18"/>
                        </w:rPr>
                      </w:pPr>
                      <w:r>
                        <w:rPr>
                          <w:b/>
                          <w:sz w:val="18"/>
                          <w:szCs w:val="18"/>
                        </w:rPr>
                        <w:t>公共基础课程</w:t>
                      </w:r>
                    </w:p>
                  </w:txbxContent>
                </v:textbox>
              </v:shape>
            </w:pict>
          </mc:Fallback>
        </mc:AlternateContent>
      </w:r>
    </w:p>
    <w:p w14:paraId="335FCF66">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64384" behindDoc="0" locked="0" layoutInCell="1" allowOverlap="1">
                <wp:simplePos x="0" y="0"/>
                <wp:positionH relativeFrom="column">
                  <wp:posOffset>1346835</wp:posOffset>
                </wp:positionH>
                <wp:positionV relativeFrom="paragraph">
                  <wp:posOffset>287655</wp:posOffset>
                </wp:positionV>
                <wp:extent cx="342900" cy="635"/>
                <wp:effectExtent l="13335" t="5715" r="5715" b="12700"/>
                <wp:wrapNone/>
                <wp:docPr id="322" name="直接连接符 322"/>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664384;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aBnS1gAA&#10;AAkBAAAPAAAAAAAAAAEAIAAAACIAAABkcnMvZG93bnJldi54bWxQSwECFAAUAAAACACHTuJAMCyY&#10;lOcBAACvAwAADgAAAAAAAAABACAAAAAl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2209800</wp:posOffset>
                </wp:positionH>
                <wp:positionV relativeFrom="paragraph">
                  <wp:posOffset>240030</wp:posOffset>
                </wp:positionV>
                <wp:extent cx="284480" cy="6350"/>
                <wp:effectExtent l="9525" t="5715" r="10795" b="6985"/>
                <wp:wrapNone/>
                <wp:docPr id="321" name="直接连接符 32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4pt;margin-top:18.9pt;height:0.5pt;width:22.4pt;z-index:251665408;mso-width-relative:page;mso-height-relative:page;" filled="f" stroked="t" coordsize="21600,21600" o:gfxdata="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ggl671gAAAAkBAAAPAAAAAAAAAAEAIAAAACIAAABkcnMvZG93bnJldi54bWxQSwECFAAUAAAA&#10;CACHTuJAPjr04vABAAC6AwAADgAAAAAAAAABACAAAAAlAQAAZHJzL2Uyb0RvYy54bWxQSwUGAAAA&#10;AAYABgBZAQAAhwUAAAAA&#10;">
                <v:fill on="f" focussize="0,0"/>
                <v:stroke color="#000000" joinstyle="round"/>
                <v:imagedata o:title=""/>
                <o:lock v:ext="edit" aspectratio="f"/>
              </v:line>
            </w:pict>
          </mc:Fallback>
        </mc:AlternateContent>
      </w:r>
    </w:p>
    <w:p w14:paraId="43EE3315">
      <w:pPr>
        <w:pStyle w:val="83"/>
        <w:spacing w:line="440" w:lineRule="atLeast"/>
        <w:ind w:left="0" w:firstLine="0"/>
        <w:jc w:val="center"/>
        <w:rPr>
          <w:rFonts w:ascii="楷体_GB2312" w:eastAsia="楷体_GB2312"/>
          <w:b/>
          <w:bCs/>
          <w:sz w:val="32"/>
          <w:szCs w:val="32"/>
        </w:rPr>
      </w:pPr>
    </w:p>
    <w:p w14:paraId="6756269A">
      <w:pPr>
        <w:pStyle w:val="83"/>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695104" behindDoc="0" locked="0" layoutInCell="1" allowOverlap="1">
                <wp:simplePos x="0" y="0"/>
                <wp:positionH relativeFrom="column">
                  <wp:posOffset>2494280</wp:posOffset>
                </wp:positionH>
                <wp:positionV relativeFrom="paragraph">
                  <wp:posOffset>80010</wp:posOffset>
                </wp:positionV>
                <wp:extent cx="2813050" cy="810895"/>
                <wp:effectExtent l="8255" t="9525" r="7620" b="8255"/>
                <wp:wrapNone/>
                <wp:docPr id="320"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2813050" cy="810895"/>
                        </a:xfrm>
                        <a:prstGeom prst="rect">
                          <a:avLst/>
                        </a:prstGeom>
                        <a:solidFill>
                          <a:srgbClr val="FFFFFF"/>
                        </a:solidFill>
                        <a:ln w="9525">
                          <a:solidFill>
                            <a:srgbClr val="000000"/>
                          </a:solidFill>
                          <a:miter lim="800000"/>
                        </a:ln>
                      </wps:spPr>
                      <wps:txbx>
                        <w:txbxContent>
                          <w:p w14:paraId="295DED5F">
                            <w:pPr>
                              <w:adjustRightInd w:val="0"/>
                              <w:snapToGrid w:val="0"/>
                              <w:spacing w:line="288" w:lineRule="auto"/>
                              <w:rPr>
                                <w:sz w:val="15"/>
                                <w:szCs w:val="15"/>
                              </w:rPr>
                            </w:pPr>
                            <w:r>
                              <w:rPr>
                                <w:rFonts w:hint="eastAsia"/>
                                <w:sz w:val="15"/>
                                <w:szCs w:val="15"/>
                              </w:rPr>
                              <w:t>1.国家安全教育 2.文学鉴赏 3.影视鉴赏 4.创新中国 5.企业绿色管理 6.文献信息检索与利用 7.艺术鉴赏 8.常见病的健康管理 9.语言学（普通话） 10.中国文化概论 11.论文写作初阶</w:t>
                            </w:r>
                          </w:p>
                          <w:p w14:paraId="1799BE20">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6.4pt;margin-top:6.3pt;height:63.85pt;width:221.5pt;z-index:251695104;mso-width-relative:page;mso-height-relative:page;" fillcolor="#FFFFFF" filled="t" stroked="t" coordsize="21600,21600" o:gfxdata="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iZxVg2AAAAAoBAAAPAAAAAAAAAAEAIAAAACIA&#10;AABkcnMvZG93bnJldi54bWxQSwECFAAUAAAACACHTuJAPV3QUEICAACLBAAADgAAAAAAAAABACAA&#10;AAAnAQAAZHJzL2Uyb0RvYy54bWxQSwUGAAAAAAYABgBZAQAA2wUAAAAA&#10;">
                <v:fill on="t" focussize="0,0"/>
                <v:stroke color="#000000" miterlimit="8" joinstyle="miter"/>
                <v:imagedata o:title=""/>
                <o:lock v:ext="edit" aspectratio="f"/>
                <v:textbox>
                  <w:txbxContent>
                    <w:p w14:paraId="295DED5F">
                      <w:pPr>
                        <w:adjustRightInd w:val="0"/>
                        <w:snapToGrid w:val="0"/>
                        <w:spacing w:line="288" w:lineRule="auto"/>
                        <w:rPr>
                          <w:sz w:val="15"/>
                          <w:szCs w:val="15"/>
                        </w:rPr>
                      </w:pPr>
                      <w:r>
                        <w:rPr>
                          <w:rFonts w:hint="eastAsia"/>
                          <w:sz w:val="15"/>
                          <w:szCs w:val="15"/>
                        </w:rPr>
                        <w:t>1.国家安全教育 2.文学鉴赏 3.影视鉴赏 4.创新中国 5.企业绿色管理 6.文献信息检索与利用 7.艺术鉴赏 8.常见病的健康管理 9.语言学（普通话） 10.中国文化概论 11.论文写作初阶</w:t>
                      </w:r>
                    </w:p>
                    <w:p w14:paraId="1799BE20">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693056" behindDoc="0" locked="0" layoutInCell="1" allowOverlap="1">
                <wp:simplePos x="0" y="0"/>
                <wp:positionH relativeFrom="column">
                  <wp:posOffset>1701800</wp:posOffset>
                </wp:positionH>
                <wp:positionV relativeFrom="paragraph">
                  <wp:posOffset>38735</wp:posOffset>
                </wp:positionV>
                <wp:extent cx="487680" cy="909320"/>
                <wp:effectExtent l="0" t="0" r="26670" b="24130"/>
                <wp:wrapNone/>
                <wp:docPr id="319"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1BB652EE">
                            <w:pPr>
                              <w:snapToGrid w:val="0"/>
                              <w:spacing w:line="360" w:lineRule="auto"/>
                              <w:rPr>
                                <w:sz w:val="18"/>
                                <w:szCs w:val="18"/>
                              </w:rPr>
                            </w:pPr>
                          </w:p>
                          <w:p w14:paraId="06C29111">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pt;margin-top:3.05pt;height:71.6pt;width:38.4pt;z-index:251693056;mso-width-relative:page;mso-height-relative:page;" fillcolor="#E2F0D9 [665]" filled="t" stroked="t" coordsize="21600,21600" o:gfxdata="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a&#10;UW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Veqf2tgAAAAJAQAADwAAAAAAAAABACAAAAAiAAAAZHJzL2Rvd25yZXYueG1sUEsBAhQAFAAA&#10;AAgAh07iQOcy0WVhAgAAwwQAAA4AAAAAAAAAAQAgAAAAJwEAAGRycy9lMm9Eb2MueG1sUEsFBgAA&#10;AAAGAAYAWQEAAPoFAAAAAA==&#10;">
                <v:fill on="t" focussize="0,0"/>
                <v:stroke color="#000000" miterlimit="8" joinstyle="miter"/>
                <v:imagedata o:title=""/>
                <o:lock v:ext="edit" aspectratio="f"/>
                <v:textbox>
                  <w:txbxContent>
                    <w:p w14:paraId="1BB652EE">
                      <w:pPr>
                        <w:snapToGrid w:val="0"/>
                        <w:spacing w:line="360" w:lineRule="auto"/>
                        <w:rPr>
                          <w:sz w:val="18"/>
                          <w:szCs w:val="18"/>
                        </w:rPr>
                      </w:pPr>
                    </w:p>
                    <w:p w14:paraId="06C29111">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019A3C29">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66432" behindDoc="0" locked="0" layoutInCell="1" allowOverlap="1">
                <wp:simplePos x="0" y="0"/>
                <wp:positionH relativeFrom="column">
                  <wp:posOffset>569595</wp:posOffset>
                </wp:positionH>
                <wp:positionV relativeFrom="paragraph">
                  <wp:posOffset>54610</wp:posOffset>
                </wp:positionV>
                <wp:extent cx="417195" cy="635"/>
                <wp:effectExtent l="0" t="0" r="20955" b="37465"/>
                <wp:wrapNone/>
                <wp:docPr id="318" name="直接连接符 31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666432;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zOzUAAAA&#10;BgEAAA8AAAAAAAAAAQAgAAAAIgAAAGRycy9kb3ducmV2LnhtbFBLAQIUABQAAAAIAIdO4kBN4bBC&#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692032" behindDoc="0" locked="0" layoutInCell="1" allowOverlap="1">
                <wp:simplePos x="0" y="0"/>
                <wp:positionH relativeFrom="column">
                  <wp:posOffset>1332865</wp:posOffset>
                </wp:positionH>
                <wp:positionV relativeFrom="paragraph">
                  <wp:posOffset>61595</wp:posOffset>
                </wp:positionV>
                <wp:extent cx="342900" cy="635"/>
                <wp:effectExtent l="8890" t="6350" r="10160" b="12065"/>
                <wp:wrapNone/>
                <wp:docPr id="317" name="直接连接符 317"/>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4.85pt;height:0.05pt;width:27pt;z-index:251692032;mso-width-relative:page;mso-height-relative:page;" filled="f" stroked="t" coordsize="21600,21600" o:gfxdata="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1az/3UAAAA&#10;BwEAAA8AAAAAAAAAAQAgAAAAIgAAAGRycy9kb3ducmV2LnhtbFBLAQIUABQAAAAIAIdO4kCqladM&#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694080" behindDoc="0" locked="0" layoutInCell="1" allowOverlap="1">
                <wp:simplePos x="0" y="0"/>
                <wp:positionH relativeFrom="column">
                  <wp:posOffset>2201545</wp:posOffset>
                </wp:positionH>
                <wp:positionV relativeFrom="paragraph">
                  <wp:posOffset>39370</wp:posOffset>
                </wp:positionV>
                <wp:extent cx="284480" cy="6350"/>
                <wp:effectExtent l="10795" t="12700" r="9525" b="9525"/>
                <wp:wrapNone/>
                <wp:docPr id="316" name="直接连接符 31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3.1pt;height:0.5pt;width:22.4pt;z-index:251694080;mso-width-relative:page;mso-height-relative:page;" filled="f" stroked="t" coordsize="21600,21600" o:gfxdata="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HfhcNYAAAAHAQAADwAAAAAAAAABACAAAAAiAAAAZHJzL2Rvd25yZXYueG1sUEsBAhQAFAAA&#10;AAgAh07iQB0pVX7xAQAAugMAAA4AAAAAAAAAAQAgAAAAJQEAAGRycy9lMm9Eb2MueG1sUEsFBgAA&#10;AAAGAAYAWQEAAIgFAAAAAA==&#10;">
                <v:fill on="f" focussize="0,0"/>
                <v:stroke color="#000000" joinstyle="round"/>
                <v:imagedata o:title=""/>
                <o:lock v:ext="edit" aspectratio="f"/>
              </v:line>
            </w:pict>
          </mc:Fallback>
        </mc:AlternateContent>
      </w:r>
    </w:p>
    <w:p w14:paraId="52042FD3">
      <w:pPr>
        <w:pStyle w:val="83"/>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699200" behindDoc="0" locked="0" layoutInCell="1" allowOverlap="1">
                <wp:simplePos x="0" y="0"/>
                <wp:positionH relativeFrom="column">
                  <wp:posOffset>2525395</wp:posOffset>
                </wp:positionH>
                <wp:positionV relativeFrom="paragraph">
                  <wp:posOffset>347345</wp:posOffset>
                </wp:positionV>
                <wp:extent cx="2795270" cy="810895"/>
                <wp:effectExtent l="10795" t="12065" r="13335" b="5715"/>
                <wp:wrapNone/>
                <wp:docPr id="315"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2795270" cy="810895"/>
                        </a:xfrm>
                        <a:prstGeom prst="rect">
                          <a:avLst/>
                        </a:prstGeom>
                        <a:solidFill>
                          <a:srgbClr val="FFFFFF"/>
                        </a:solidFill>
                        <a:ln w="9525">
                          <a:solidFill>
                            <a:srgbClr val="000000"/>
                          </a:solidFill>
                          <a:miter lim="800000"/>
                        </a:ln>
                      </wps:spPr>
                      <wps:txbx>
                        <w:txbxContent>
                          <w:p w14:paraId="36E55B7F">
                            <w:pPr>
                              <w:adjustRightInd w:val="0"/>
                              <w:snapToGrid w:val="0"/>
                              <w:spacing w:line="288" w:lineRule="auto"/>
                              <w:rPr>
                                <w:sz w:val="15"/>
                                <w:szCs w:val="15"/>
                              </w:rPr>
                            </w:pPr>
                            <w:r>
                              <w:rPr>
                                <w:rFonts w:hint="eastAsia"/>
                                <w:sz w:val="15"/>
                                <w:szCs w:val="15"/>
                              </w:rPr>
                              <w:t>1.人文素养类 2.前沿科技类 3.马克思主义理论类 4.党史国史类 5.传统文化类 6.身心健康类 7.职业素养类 8.美育教育类</w:t>
                            </w:r>
                          </w:p>
                          <w:p w14:paraId="0EC2FDCB">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8.85pt;margin-top:27.35pt;height:63.85pt;width:220.1pt;z-index:251699200;mso-width-relative:page;mso-height-relative:page;" fillcolor="#FFFFFF" filled="t" stroked="t" coordsize="21600,21600" o:gfxdata="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FpBZcdkAAAAKAQAADwAAAAAAAAABACAAAAAi&#10;AAAAZHJzL2Rvd25yZXYueG1sUEsBAhQAFAAAAAgAh07iQEjxjNlCAgAAiwQAAA4AAAAAAAAAAQAg&#10;AAAAKAEAAGRycy9lMm9Eb2MueG1sUEsFBgAAAAAGAAYAWQEAANwFAAAAAA==&#10;">
                <v:fill on="t" focussize="0,0"/>
                <v:stroke color="#000000" miterlimit="8" joinstyle="miter"/>
                <v:imagedata o:title=""/>
                <o:lock v:ext="edit" aspectratio="f"/>
                <v:textbox>
                  <w:txbxContent>
                    <w:p w14:paraId="36E55B7F">
                      <w:pPr>
                        <w:adjustRightInd w:val="0"/>
                        <w:snapToGrid w:val="0"/>
                        <w:spacing w:line="288" w:lineRule="auto"/>
                        <w:rPr>
                          <w:sz w:val="15"/>
                          <w:szCs w:val="15"/>
                        </w:rPr>
                      </w:pPr>
                      <w:r>
                        <w:rPr>
                          <w:rFonts w:hint="eastAsia"/>
                          <w:sz w:val="15"/>
                          <w:szCs w:val="15"/>
                        </w:rPr>
                        <w:t>1.人文素养类 2.前沿科技类 3.马克思主义理论类 4.党史国史类 5.传统文化类 6.身心健康类 7.职业素养类 8.美育教育类</w:t>
                      </w:r>
                    </w:p>
                    <w:p w14:paraId="0EC2FDCB">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697152" behindDoc="0" locked="0" layoutInCell="1" allowOverlap="1">
                <wp:simplePos x="0" y="0"/>
                <wp:positionH relativeFrom="column">
                  <wp:posOffset>1705610</wp:posOffset>
                </wp:positionH>
                <wp:positionV relativeFrom="paragraph">
                  <wp:posOffset>248920</wp:posOffset>
                </wp:positionV>
                <wp:extent cx="487680" cy="909320"/>
                <wp:effectExtent l="0" t="0" r="26670" b="24130"/>
                <wp:wrapNone/>
                <wp:docPr id="314"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245527C0">
                            <w:pPr>
                              <w:snapToGrid w:val="0"/>
                              <w:spacing w:line="360" w:lineRule="auto"/>
                              <w:rPr>
                                <w:sz w:val="18"/>
                                <w:szCs w:val="18"/>
                              </w:rPr>
                            </w:pPr>
                          </w:p>
                          <w:p w14:paraId="1F78C3A0">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3pt;margin-top:19.6pt;height:71.6pt;width:38.4pt;z-index:251697152;mso-width-relative:page;mso-height-relative:page;" fillcolor="#E2F0D9 [665]" filled="t" stroked="t" coordsize="21600,21600" o:gfxdata="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tb1UXZAAAACgEAAA8AAAAAAAAAAQAgAAAAIgAAAGRycy9kb3ducmV2LnhtbFBLAQIUABQA&#10;AAAIAIdO4kBwiWEnYQIAAMMEAAAOAAAAAAAAAAEAIAAAACgBAABkcnMvZTJvRG9jLnhtbFBLBQYA&#10;AAAABgAGAFkBAAD7BQAAAAA=&#10;">
                <v:fill on="t" focussize="0,0"/>
                <v:stroke color="#000000" miterlimit="8" joinstyle="miter"/>
                <v:imagedata o:title=""/>
                <o:lock v:ext="edit" aspectratio="f"/>
                <v:textbox>
                  <w:txbxContent>
                    <w:p w14:paraId="245527C0">
                      <w:pPr>
                        <w:snapToGrid w:val="0"/>
                        <w:spacing w:line="360" w:lineRule="auto"/>
                        <w:rPr>
                          <w:sz w:val="18"/>
                          <w:szCs w:val="18"/>
                        </w:rPr>
                      </w:pPr>
                    </w:p>
                    <w:p w14:paraId="1F78C3A0">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1D6F4F7C">
      <w:pPr>
        <w:pStyle w:val="83"/>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696128" behindDoc="0" locked="0" layoutInCell="1" allowOverlap="1">
                <wp:simplePos x="0" y="0"/>
                <wp:positionH relativeFrom="column">
                  <wp:posOffset>1332865</wp:posOffset>
                </wp:positionH>
                <wp:positionV relativeFrom="paragraph">
                  <wp:posOffset>300355</wp:posOffset>
                </wp:positionV>
                <wp:extent cx="342900" cy="635"/>
                <wp:effectExtent l="8890" t="8890" r="10160" b="9525"/>
                <wp:wrapNone/>
                <wp:docPr id="313" name="直接连接符 313"/>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23.65pt;height:0.05pt;width:27pt;z-index:251696128;mso-width-relative:page;mso-height-relative:page;" filled="f" stroked="t" coordsize="21600,21600" o:gfxdata="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YctHX&#10;AAAACQEAAA8AAAAAAAAAAQAgAAAAIgAAAGRycy9kb3ducmV2LnhtbFBLAQIUABQAAAAIAIdO4kDw&#10;N6AO6AEAAK8DAAAOAAAAAAAAAAEAIAAAACYBAABkcnMvZTJvRG9jLnhtbFBLBQYAAAAABgAGAFkB&#10;AACA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698176" behindDoc="0" locked="0" layoutInCell="1" allowOverlap="1">
                <wp:simplePos x="0" y="0"/>
                <wp:positionH relativeFrom="column">
                  <wp:posOffset>2201545</wp:posOffset>
                </wp:positionH>
                <wp:positionV relativeFrom="paragraph">
                  <wp:posOffset>285750</wp:posOffset>
                </wp:positionV>
                <wp:extent cx="284480" cy="6350"/>
                <wp:effectExtent l="10795" t="13335" r="9525" b="8890"/>
                <wp:wrapNone/>
                <wp:docPr id="312" name="直接连接符 312"/>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22.5pt;height:0.5pt;width:22.4pt;z-index:251698176;mso-width-relative:page;mso-height-relative:page;" filled="f" stroked="t" coordsize="21600,21600" o:gfxdata="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2SsATYAAAACQEAAA8AAAAAAAAAAQAgAAAAIgAAAGRycy9kb3ducmV2LnhtbFBLAQIUABQA&#10;AAAIAIdO4kAI3jBG8AEAALoDAAAOAAAAAAAAAAEAIAAAACcBAABkcnMvZTJvRG9jLnhtbFBLBQYA&#10;AAAABgAGAFkBAACJBQAAAAA=&#10;">
                <v:fill on="f" focussize="0,0"/>
                <v:stroke color="#000000" joinstyle="round"/>
                <v:imagedata o:title=""/>
                <o:lock v:ext="edit" aspectratio="f"/>
              </v:line>
            </w:pict>
          </mc:Fallback>
        </mc:AlternateContent>
      </w:r>
      <w:r>
        <w:rPr>
          <w:rFonts w:ascii="楷体_GB2312" w:eastAsia="楷体_GB2312"/>
          <w:b/>
          <w:bCs/>
          <w:sz w:val="32"/>
          <w:szCs w:val="32"/>
        </w:rPr>
        <w:tab/>
      </w:r>
    </w:p>
    <w:p w14:paraId="38501710">
      <w:pPr>
        <w:pStyle w:val="83"/>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027040C5">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68480" behindDoc="0" locked="0" layoutInCell="1" allowOverlap="1">
                <wp:simplePos x="0" y="0"/>
                <wp:positionH relativeFrom="column">
                  <wp:posOffset>2475865</wp:posOffset>
                </wp:positionH>
                <wp:positionV relativeFrom="paragraph">
                  <wp:posOffset>279400</wp:posOffset>
                </wp:positionV>
                <wp:extent cx="2854325" cy="762000"/>
                <wp:effectExtent l="0" t="0" r="22225" b="19050"/>
                <wp:wrapNone/>
                <wp:docPr id="310" name="文本框 310"/>
                <wp:cNvGraphicFramePr/>
                <a:graphic xmlns:a="http://schemas.openxmlformats.org/drawingml/2006/main">
                  <a:graphicData uri="http://schemas.microsoft.com/office/word/2010/wordprocessingShape">
                    <wps:wsp>
                      <wps:cNvSpPr txBox="1">
                        <a:spLocks noChangeArrowheads="1"/>
                      </wps:cNvSpPr>
                      <wps:spPr bwMode="auto">
                        <a:xfrm>
                          <a:off x="0" y="0"/>
                          <a:ext cx="2854640" cy="762000"/>
                        </a:xfrm>
                        <a:prstGeom prst="rect">
                          <a:avLst/>
                        </a:prstGeom>
                        <a:solidFill>
                          <a:srgbClr val="FFFFFF"/>
                        </a:solidFill>
                        <a:ln w="9525">
                          <a:solidFill>
                            <a:srgbClr val="000000"/>
                          </a:solidFill>
                          <a:miter lim="800000"/>
                        </a:ln>
                      </wps:spPr>
                      <wps:txbx>
                        <w:txbxContent>
                          <w:p w14:paraId="55F0BE1C">
                            <w:pPr>
                              <w:rPr>
                                <w:sz w:val="15"/>
                                <w:szCs w:val="15"/>
                              </w:rPr>
                            </w:pPr>
                            <w:r>
                              <w:rPr>
                                <w:rFonts w:hint="eastAsia"/>
                                <w:sz w:val="15"/>
                                <w:szCs w:val="15"/>
                              </w:rPr>
                              <w:t>1商务基础2</w:t>
                            </w:r>
                            <w:r>
                              <w:rPr>
                                <w:sz w:val="15"/>
                                <w:szCs w:val="15"/>
                              </w:rPr>
                              <w:t>.</w:t>
                            </w:r>
                            <w:r>
                              <w:rPr>
                                <w:rFonts w:hint="eastAsia"/>
                                <w:sz w:val="15"/>
                                <w:szCs w:val="15"/>
                              </w:rPr>
                              <w:t>仓储与配送管理实务     3. 运输管理实务</w:t>
                            </w:r>
                          </w:p>
                          <w:p w14:paraId="7FA351A7">
                            <w:r>
                              <w:rPr>
                                <w:rFonts w:hint="eastAsia"/>
                                <w:sz w:val="15"/>
                                <w:szCs w:val="15"/>
                              </w:rPr>
                              <w:t>4.国际物流实务     5.  采购与供应链管理   6. 物流成本管理</w:t>
                            </w:r>
                          </w:p>
                          <w:p w14:paraId="54FE9B9F"/>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22pt;height:60pt;width:224.75pt;z-index:251668480;mso-width-relative:page;mso-height-relative:page;" fillcolor="#FFFFFF" filled="t" stroked="t" coordsize="21600,21600" o:gfxdata="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LJ1GdgAAAAKAQAADwAAAAAAAAABACAAAAAi&#10;AAAAZHJzL2Rvd25yZXYueG1sUEsBAhQAFAAAAAgAh07iQHmQD4xDAgAAiwQAAA4AAAAAAAAAAQAg&#10;AAAAJwEAAGRycy9lMm9Eb2MueG1sUEsFBgAAAAAGAAYAWQEAANwFAAAAAA==&#10;">
                <v:fill on="t" focussize="0,0"/>
                <v:stroke color="#000000" miterlimit="8" joinstyle="miter"/>
                <v:imagedata o:title=""/>
                <o:lock v:ext="edit" aspectratio="f"/>
                <v:textbox>
                  <w:txbxContent>
                    <w:p w14:paraId="55F0BE1C">
                      <w:pPr>
                        <w:rPr>
                          <w:sz w:val="15"/>
                          <w:szCs w:val="15"/>
                        </w:rPr>
                      </w:pPr>
                      <w:r>
                        <w:rPr>
                          <w:rFonts w:hint="eastAsia"/>
                          <w:sz w:val="15"/>
                          <w:szCs w:val="15"/>
                        </w:rPr>
                        <w:t>1商务基础2</w:t>
                      </w:r>
                      <w:r>
                        <w:rPr>
                          <w:sz w:val="15"/>
                          <w:szCs w:val="15"/>
                        </w:rPr>
                        <w:t>.</w:t>
                      </w:r>
                      <w:r>
                        <w:rPr>
                          <w:rFonts w:hint="eastAsia"/>
                          <w:sz w:val="15"/>
                          <w:szCs w:val="15"/>
                        </w:rPr>
                        <w:t>仓储与配送管理实务     3. 运输管理实务</w:t>
                      </w:r>
                    </w:p>
                    <w:p w14:paraId="7FA351A7">
                      <w:r>
                        <w:rPr>
                          <w:rFonts w:hint="eastAsia"/>
                          <w:sz w:val="15"/>
                          <w:szCs w:val="15"/>
                        </w:rPr>
                        <w:t>4.国际物流实务     5.  采购与供应链管理   6. 物流成本管理</w:t>
                      </w:r>
                    </w:p>
                    <w:p w14:paraId="54FE9B9F"/>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1668780</wp:posOffset>
                </wp:positionH>
                <wp:positionV relativeFrom="paragraph">
                  <wp:posOffset>280670</wp:posOffset>
                </wp:positionV>
                <wp:extent cx="449580" cy="691515"/>
                <wp:effectExtent l="0" t="0" r="26670" b="13335"/>
                <wp:wrapNone/>
                <wp:docPr id="311" name="文本框 311"/>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1D19F1A0">
                            <w:pPr>
                              <w:snapToGrid w:val="0"/>
                              <w:spacing w:line="360" w:lineRule="auto"/>
                              <w:rPr>
                                <w:b/>
                                <w:sz w:val="18"/>
                                <w:szCs w:val="18"/>
                              </w:rPr>
                            </w:pPr>
                            <w:r>
                              <w:rPr>
                                <w:rFonts w:hint="eastAsia"/>
                                <w:b/>
                                <w:sz w:val="18"/>
                                <w:szCs w:val="18"/>
                              </w:rPr>
                              <w:t>专业基础课程</w:t>
                            </w:r>
                          </w:p>
                          <w:p w14:paraId="00CE3427">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2.1pt;height:54.45pt;width:35.4pt;z-index:251688960;mso-width-relative:page;mso-height-relative:page;" fillcolor="#E2F0D9 [665]" filled="t" stroked="t" coordsize="21600,21600" o:gfxdata="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9lGxbZAAAACgEAAA8AAAAAAAAAAQAgAAAAIgAAAGRycy9kb3ducmV2LnhtbFBLAQIUABQA&#10;AAAIAIdO4kBsSadQYQIAAMMEAAAOAAAAAAAAAAEAIAAAACgBAABkcnMvZTJvRG9jLnhtbFBLBQYA&#10;AAAABgAGAFkBAAD7BQAAAAA=&#10;">
                <v:fill on="t" focussize="0,0"/>
                <v:stroke color="#000000" miterlimit="8" joinstyle="miter"/>
                <v:imagedata o:title=""/>
                <o:lock v:ext="edit" aspectratio="f"/>
                <v:textbox>
                  <w:txbxContent>
                    <w:p w14:paraId="1D19F1A0">
                      <w:pPr>
                        <w:snapToGrid w:val="0"/>
                        <w:spacing w:line="360" w:lineRule="auto"/>
                        <w:rPr>
                          <w:b/>
                          <w:sz w:val="18"/>
                          <w:szCs w:val="18"/>
                        </w:rPr>
                      </w:pPr>
                      <w:r>
                        <w:rPr>
                          <w:rFonts w:hint="eastAsia"/>
                          <w:b/>
                          <w:sz w:val="18"/>
                          <w:szCs w:val="18"/>
                        </w:rPr>
                        <w:t>专业基础课程</w:t>
                      </w:r>
                    </w:p>
                    <w:p w14:paraId="00CE3427">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1000125</wp:posOffset>
                </wp:positionH>
                <wp:positionV relativeFrom="paragraph">
                  <wp:posOffset>233680</wp:posOffset>
                </wp:positionV>
                <wp:extent cx="342900" cy="2879725"/>
                <wp:effectExtent l="0" t="0" r="19050" b="15875"/>
                <wp:wrapNone/>
                <wp:docPr id="309" name="文本框 309"/>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440A55FF">
                            <w:pPr>
                              <w:jc w:val="center"/>
                            </w:pPr>
                          </w:p>
                          <w:p w14:paraId="25EB2421">
                            <w:pPr>
                              <w:jc w:val="center"/>
                            </w:pPr>
                          </w:p>
                          <w:p w14:paraId="33387E5B">
                            <w:pPr>
                              <w:jc w:val="center"/>
                            </w:pPr>
                          </w:p>
                          <w:p w14:paraId="7351FC79">
                            <w:pPr>
                              <w:jc w:val="center"/>
                            </w:pPr>
                          </w:p>
                          <w:p w14:paraId="18883D6C">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8.4pt;height:226.75pt;width:27pt;z-index:251669504;mso-width-relative:page;mso-height-relative:page;" fillcolor="#F8CBAD [1301]" filled="t" stroked="t" coordsize="21600,21600" o:gfxdata="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WjsOjaAAAACgEAAA8AAAAAAAAAAQAgAAAAIgAAAGRycy9kb3ducmV2LnhtbFBLAQIUABQA&#10;AAAIAIdO4kCrEsD+YAIAAMQEAAAOAAAAAAAAAAEAIAAAACkBAABkcnMvZTJvRG9jLnhtbFBLBQYA&#10;AAAABgAGAFkBAAD7BQAAAAA=&#10;">
                <v:fill on="t" focussize="0,0"/>
                <v:stroke color="#000000" miterlimit="8" joinstyle="miter"/>
                <v:imagedata o:title=""/>
                <o:lock v:ext="edit" aspectratio="f"/>
                <v:textbox>
                  <w:txbxContent>
                    <w:p w14:paraId="440A55FF">
                      <w:pPr>
                        <w:jc w:val="center"/>
                      </w:pPr>
                    </w:p>
                    <w:p w14:paraId="25EB2421">
                      <w:pPr>
                        <w:jc w:val="center"/>
                      </w:pPr>
                    </w:p>
                    <w:p w14:paraId="33387E5B">
                      <w:pPr>
                        <w:jc w:val="center"/>
                      </w:pPr>
                    </w:p>
                    <w:p w14:paraId="7351FC79">
                      <w:pPr>
                        <w:jc w:val="center"/>
                      </w:pPr>
                    </w:p>
                    <w:p w14:paraId="18883D6C">
                      <w:pPr>
                        <w:jc w:val="center"/>
                        <w:rPr>
                          <w:b/>
                          <w:szCs w:val="21"/>
                        </w:rPr>
                      </w:pPr>
                      <w:r>
                        <w:rPr>
                          <w:rFonts w:hint="eastAsia"/>
                          <w:b/>
                          <w:sz w:val="24"/>
                          <w:szCs w:val="24"/>
                        </w:rPr>
                        <w:t>专业技能平台</w:t>
                      </w:r>
                    </w:p>
                  </w:txbxContent>
                </v:textbox>
              </v:shape>
            </w:pict>
          </mc:Fallback>
        </mc:AlternateContent>
      </w:r>
    </w:p>
    <w:p w14:paraId="64011144">
      <w:pPr>
        <w:pStyle w:val="83"/>
        <w:tabs>
          <w:tab w:val="left" w:pos="3437"/>
          <w:tab w:val="center" w:pos="4153"/>
        </w:tabs>
        <w:spacing w:line="440" w:lineRule="atLeast"/>
        <w:ind w:left="0" w:firstLine="0"/>
        <w:jc w:val="left"/>
        <w:rPr>
          <w:rFonts w:ascii="楷体_GB2312" w:eastAsia="楷体_GB2312"/>
          <w:b/>
          <w:bCs/>
          <w:sz w:val="32"/>
          <w:szCs w:val="32"/>
        </w:rPr>
      </w:pPr>
      <w:r>
        <mc:AlternateContent>
          <mc:Choice Requires="wps">
            <w:drawing>
              <wp:anchor distT="0" distB="0" distL="114300" distR="114300" simplePos="0" relativeHeight="251671552" behindDoc="0" locked="0" layoutInCell="1" allowOverlap="1">
                <wp:simplePos x="0" y="0"/>
                <wp:positionH relativeFrom="column">
                  <wp:posOffset>2076450</wp:posOffset>
                </wp:positionH>
                <wp:positionV relativeFrom="paragraph">
                  <wp:posOffset>244475</wp:posOffset>
                </wp:positionV>
                <wp:extent cx="353695" cy="0"/>
                <wp:effectExtent l="0" t="0" r="27940" b="19050"/>
                <wp:wrapNone/>
                <wp:docPr id="307" name="直接连接符 307"/>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19.25pt;height:0pt;width:27.85pt;z-index:251671552;mso-width-relative:page;mso-height-relative:page;" filled="f" stroked="t" coordsize="21600,21600" o:gfxdata="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qzdUN1wAA&#10;AAkBAAAPAAAAAAAAAAEAIAAAACIAAABkcnMvZG93bnJldi54bWxQSwECFAAUAAAACACHTuJA79QZ&#10;fuYBAACtAwAADgAAAAAAAAABACAAAAAm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1346200</wp:posOffset>
                </wp:positionH>
                <wp:positionV relativeFrom="paragraph">
                  <wp:posOffset>236220</wp:posOffset>
                </wp:positionV>
                <wp:extent cx="347980" cy="0"/>
                <wp:effectExtent l="0" t="0" r="13970" b="19050"/>
                <wp:wrapNone/>
                <wp:docPr id="308" name="直接连接符 308"/>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pt;margin-top:18.6pt;height:0pt;width:27.4pt;z-index:251687936;mso-width-relative:page;mso-height-relative:page;" filled="f" stroked="t" coordsize="21600,21600" o:gfxdata="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7GdzM9UAAAAJ&#10;AQAADwAAAAAAAAABACAAAAAiAAAAZHJzL2Rvd25yZXYueG1sUEsBAhQAFAAAAAgAh07iQJSrPknm&#10;AQAArQMAAA4AAAAAAAAAAQAgAAAAJAEAAGRycy9lMm9Eb2MueG1sUEsFBgAAAAAGAAYAWQEAAHwF&#10;AAAAAA==&#10;">
                <v:fill on="f" focussize="0,0"/>
                <v:stroke color="#000000" joinstyle="round"/>
                <v:imagedata o:title=""/>
                <o:lock v:ext="edit" aspectratio="f"/>
              </v:line>
            </w:pict>
          </mc:Fallback>
        </mc:AlternateContent>
      </w:r>
      <w:r>
        <w:rPr>
          <w:rFonts w:ascii="楷体_GB2312" w:eastAsia="楷体_GB2312"/>
          <w:b/>
          <w:bCs/>
          <w:sz w:val="32"/>
          <w:szCs w:val="32"/>
        </w:rPr>
        <w:tab/>
      </w:r>
      <w:r>
        <w:rPr>
          <w:rFonts w:ascii="楷体_GB2312" w:eastAsia="楷体_GB2312"/>
          <w:b/>
          <w:bCs/>
          <w:sz w:val="32"/>
          <w:szCs w:val="32"/>
        </w:rPr>
        <w:tab/>
      </w:r>
    </w:p>
    <w:p w14:paraId="5F1190F0">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89984" behindDoc="0" locked="0" layoutInCell="1" allowOverlap="1">
                <wp:simplePos x="0" y="0"/>
                <wp:positionH relativeFrom="column">
                  <wp:posOffset>2449830</wp:posOffset>
                </wp:positionH>
                <wp:positionV relativeFrom="paragraph">
                  <wp:posOffset>360045</wp:posOffset>
                </wp:positionV>
                <wp:extent cx="2870835" cy="867410"/>
                <wp:effectExtent l="11430" t="5715" r="13335" b="12700"/>
                <wp:wrapNone/>
                <wp:docPr id="306" name="文本框 306"/>
                <wp:cNvGraphicFramePr/>
                <a:graphic xmlns:a="http://schemas.openxmlformats.org/drawingml/2006/main">
                  <a:graphicData uri="http://schemas.microsoft.com/office/word/2010/wordprocessingShape">
                    <wps:wsp>
                      <wps:cNvSpPr txBox="1">
                        <a:spLocks noChangeArrowheads="1"/>
                      </wps:cNvSpPr>
                      <wps:spPr bwMode="auto">
                        <a:xfrm>
                          <a:off x="0" y="0"/>
                          <a:ext cx="2870835" cy="867410"/>
                        </a:xfrm>
                        <a:prstGeom prst="rect">
                          <a:avLst/>
                        </a:prstGeom>
                        <a:solidFill>
                          <a:srgbClr val="FFFFFF"/>
                        </a:solidFill>
                        <a:ln w="9525">
                          <a:solidFill>
                            <a:srgbClr val="000000"/>
                          </a:solidFill>
                          <a:miter lim="800000"/>
                        </a:ln>
                      </wps:spPr>
                      <wps:txbx>
                        <w:txbxContent>
                          <w:p w14:paraId="5BE73900">
                            <w:pPr>
                              <w:rPr>
                                <w:sz w:val="15"/>
                                <w:szCs w:val="15"/>
                              </w:rPr>
                            </w:pPr>
                            <w:r>
                              <w:rPr>
                                <w:rFonts w:hint="eastAsia"/>
                                <w:sz w:val="15"/>
                                <w:szCs w:val="15"/>
                              </w:rPr>
                              <w:t>1. 物流企业管理    2</w:t>
                            </w:r>
                            <w:r>
                              <w:rPr>
                                <w:sz w:val="15"/>
                                <w:szCs w:val="15"/>
                              </w:rPr>
                              <w:t>.</w:t>
                            </w:r>
                            <w:r>
                              <w:rPr>
                                <w:rFonts w:hint="eastAsia"/>
                                <w:sz w:val="15"/>
                                <w:szCs w:val="15"/>
                              </w:rPr>
                              <w:t>物流法规     3. 市场营销</w:t>
                            </w:r>
                          </w:p>
                          <w:p w14:paraId="6CEDE102">
                            <w:r>
                              <w:rPr>
                                <w:rFonts w:hint="eastAsia"/>
                                <w:sz w:val="15"/>
                                <w:szCs w:val="15"/>
                              </w:rPr>
                              <w:t>4.物流运筹学     5.物流信息技术与应用     6. 第三方物流</w:t>
                            </w:r>
                          </w:p>
                          <w:p w14:paraId="5B3C0F35">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8.35pt;height:68.3pt;width:226.05pt;z-index:251689984;mso-width-relative:page;mso-height-relative:page;" fillcolor="#FFFFFF" filled="t" stroked="t" coordsize="21600,21600" o:gfxdata="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C5rZX2QAAAAoBAAAPAAAAAAAAAAEAIAAA&#10;ACIAAABkcnMvZG93bnJldi54bWxQSwECFAAUAAAACACHTuJAyH3ilUQCAACLBAAADgAAAAAAAAAB&#10;ACAAAAAoAQAAZHJzL2Uyb0RvYy54bWxQSwUGAAAAAAYABgBZAQAA3gUAAAAA&#10;">
                <v:fill on="t" focussize="0,0"/>
                <v:stroke color="#000000" miterlimit="8" joinstyle="miter"/>
                <v:imagedata o:title=""/>
                <o:lock v:ext="edit" aspectratio="f"/>
                <v:textbox>
                  <w:txbxContent>
                    <w:p w14:paraId="5BE73900">
                      <w:pPr>
                        <w:rPr>
                          <w:sz w:val="15"/>
                          <w:szCs w:val="15"/>
                        </w:rPr>
                      </w:pPr>
                      <w:r>
                        <w:rPr>
                          <w:rFonts w:hint="eastAsia"/>
                          <w:sz w:val="15"/>
                          <w:szCs w:val="15"/>
                        </w:rPr>
                        <w:t>1. 物流企业管理    2</w:t>
                      </w:r>
                      <w:r>
                        <w:rPr>
                          <w:sz w:val="15"/>
                          <w:szCs w:val="15"/>
                        </w:rPr>
                        <w:t>.</w:t>
                      </w:r>
                      <w:r>
                        <w:rPr>
                          <w:rFonts w:hint="eastAsia"/>
                          <w:sz w:val="15"/>
                          <w:szCs w:val="15"/>
                        </w:rPr>
                        <w:t>物流法规     3. 市场营销</w:t>
                      </w:r>
                    </w:p>
                    <w:p w14:paraId="6CEDE102">
                      <w:r>
                        <w:rPr>
                          <w:rFonts w:hint="eastAsia"/>
                          <w:sz w:val="15"/>
                          <w:szCs w:val="15"/>
                        </w:rPr>
                        <w:t>4.物流运筹学     5.物流信息技术与应用     6. 第三方物流</w:t>
                      </w:r>
                    </w:p>
                    <w:p w14:paraId="5B3C0F35">
                      <w:pPr>
                        <w:rPr>
                          <w:sz w:val="15"/>
                          <w:szCs w:val="15"/>
                        </w:rPr>
                      </w:pP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1668780</wp:posOffset>
                </wp:positionH>
                <wp:positionV relativeFrom="paragraph">
                  <wp:posOffset>349250</wp:posOffset>
                </wp:positionV>
                <wp:extent cx="449580" cy="878205"/>
                <wp:effectExtent l="0" t="0" r="26670" b="17145"/>
                <wp:wrapNone/>
                <wp:docPr id="305"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4A310D32">
                            <w:pPr>
                              <w:snapToGrid w:val="0"/>
                              <w:spacing w:line="360" w:lineRule="auto"/>
                              <w:rPr>
                                <w:sz w:val="18"/>
                                <w:szCs w:val="18"/>
                              </w:rPr>
                            </w:pPr>
                          </w:p>
                          <w:p w14:paraId="3B8CE308">
                            <w:pPr>
                              <w:snapToGrid w:val="0"/>
                              <w:spacing w:line="360" w:lineRule="auto"/>
                              <w:rPr>
                                <w:b/>
                                <w:sz w:val="18"/>
                                <w:szCs w:val="18"/>
                              </w:rPr>
                            </w:pPr>
                            <w:r>
                              <w:rPr>
                                <w:rFonts w:hint="eastAsia"/>
                                <w:b/>
                                <w:sz w:val="18"/>
                                <w:szCs w:val="18"/>
                              </w:rPr>
                              <w:t>专业</w:t>
                            </w:r>
                          </w:p>
                          <w:p w14:paraId="05A81D88">
                            <w:pPr>
                              <w:snapToGrid w:val="0"/>
                              <w:spacing w:line="360" w:lineRule="auto"/>
                              <w:rPr>
                                <w:b/>
                                <w:sz w:val="18"/>
                                <w:szCs w:val="18"/>
                              </w:rPr>
                            </w:pPr>
                            <w:r>
                              <w:rPr>
                                <w:rFonts w:hint="eastAsia"/>
                                <w:b/>
                                <w:sz w:val="18"/>
                                <w:szCs w:val="18"/>
                              </w:rPr>
                              <w:t>核心</w:t>
                            </w:r>
                          </w:p>
                          <w:p w14:paraId="3F78309F">
                            <w:pPr>
                              <w:snapToGrid w:val="0"/>
                              <w:spacing w:line="360" w:lineRule="auto"/>
                              <w:rPr>
                                <w:b/>
                                <w:sz w:val="18"/>
                                <w:szCs w:val="18"/>
                              </w:rPr>
                            </w:pPr>
                            <w:r>
                              <w:rPr>
                                <w:rFonts w:hint="eastAsia"/>
                                <w:b/>
                                <w:sz w:val="18"/>
                                <w:szCs w:val="18"/>
                              </w:rPr>
                              <w:t>课程</w:t>
                            </w:r>
                          </w:p>
                          <w:p w14:paraId="17759ACB">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7.5pt;height:69.15pt;width:35.4pt;z-index:251667456;mso-width-relative:page;mso-height-relative:page;" fillcolor="#E2F0D9 [665]" filled="t" stroked="t" coordsize="21600,21600" o:gfxdata="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ewNEzZAAAACgEAAA8AAAAAAAAAAQAgAAAAIgAAAGRycy9kb3ducmV2LnhtbFBLAQIUABQAAAAI&#10;AIdO4kA0oFXeXgIAAMMEAAAOAAAAAAAAAAEAIAAAACgBAABkcnMvZTJvRG9jLnhtbFBLBQYAAAAA&#10;BgAGAFkBAAD4BQAAAAA=&#10;">
                <v:fill on="t" focussize="0,0"/>
                <v:stroke color="#000000" miterlimit="8" joinstyle="miter"/>
                <v:imagedata o:title=""/>
                <o:lock v:ext="edit" aspectratio="f"/>
                <v:textbox>
                  <w:txbxContent>
                    <w:p w14:paraId="4A310D32">
                      <w:pPr>
                        <w:snapToGrid w:val="0"/>
                        <w:spacing w:line="360" w:lineRule="auto"/>
                        <w:rPr>
                          <w:sz w:val="18"/>
                          <w:szCs w:val="18"/>
                        </w:rPr>
                      </w:pPr>
                    </w:p>
                    <w:p w14:paraId="3B8CE308">
                      <w:pPr>
                        <w:snapToGrid w:val="0"/>
                        <w:spacing w:line="360" w:lineRule="auto"/>
                        <w:rPr>
                          <w:b/>
                          <w:sz w:val="18"/>
                          <w:szCs w:val="18"/>
                        </w:rPr>
                      </w:pPr>
                      <w:r>
                        <w:rPr>
                          <w:rFonts w:hint="eastAsia"/>
                          <w:b/>
                          <w:sz w:val="18"/>
                          <w:szCs w:val="18"/>
                        </w:rPr>
                        <w:t>专业</w:t>
                      </w:r>
                    </w:p>
                    <w:p w14:paraId="05A81D88">
                      <w:pPr>
                        <w:snapToGrid w:val="0"/>
                        <w:spacing w:line="360" w:lineRule="auto"/>
                        <w:rPr>
                          <w:b/>
                          <w:sz w:val="18"/>
                          <w:szCs w:val="18"/>
                        </w:rPr>
                      </w:pPr>
                      <w:r>
                        <w:rPr>
                          <w:rFonts w:hint="eastAsia"/>
                          <w:b/>
                          <w:sz w:val="18"/>
                          <w:szCs w:val="18"/>
                        </w:rPr>
                        <w:t>核心</w:t>
                      </w:r>
                    </w:p>
                    <w:p w14:paraId="3F78309F">
                      <w:pPr>
                        <w:snapToGrid w:val="0"/>
                        <w:spacing w:line="360" w:lineRule="auto"/>
                        <w:rPr>
                          <w:b/>
                          <w:sz w:val="18"/>
                          <w:szCs w:val="18"/>
                        </w:rPr>
                      </w:pPr>
                      <w:r>
                        <w:rPr>
                          <w:rFonts w:hint="eastAsia"/>
                          <w:b/>
                          <w:sz w:val="18"/>
                          <w:szCs w:val="18"/>
                        </w:rPr>
                        <w:t>课程</w:t>
                      </w:r>
                    </w:p>
                    <w:p w14:paraId="17759ACB">
                      <w:pPr>
                        <w:snapToGrid w:val="0"/>
                        <w:spacing w:line="360" w:lineRule="auto"/>
                        <w:rPr>
                          <w:sz w:val="18"/>
                          <w:szCs w:val="18"/>
                        </w:rPr>
                      </w:pPr>
                    </w:p>
                  </w:txbxContent>
                </v:textbox>
              </v:shape>
            </w:pict>
          </mc:Fallback>
        </mc:AlternateContent>
      </w:r>
    </w:p>
    <w:p w14:paraId="1DF0ED0C">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1008" behindDoc="0" locked="0" layoutInCell="1" allowOverlap="1">
                <wp:simplePos x="0" y="0"/>
                <wp:positionH relativeFrom="column">
                  <wp:posOffset>2139950</wp:posOffset>
                </wp:positionH>
                <wp:positionV relativeFrom="paragraph">
                  <wp:posOffset>385445</wp:posOffset>
                </wp:positionV>
                <wp:extent cx="302895" cy="635"/>
                <wp:effectExtent l="6350" t="8255" r="5080" b="10160"/>
                <wp:wrapNone/>
                <wp:docPr id="304" name="直接连接符 304"/>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5pt;margin-top:30.35pt;height:0.05pt;width:23.85pt;z-index:251691008;mso-width-relative:page;mso-height-relative:page;" filled="f" stroked="t" coordsize="21600,21600" o:gfxdata="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jm32r&#10;2AAAAAkBAAAPAAAAAAAAAAEAIAAAACIAAABkcnMvZG93bnJldi54bWxQSwECFAAUAAAACACHTuJA&#10;sOjOyugBAACvAwAADgAAAAAAAAABACAAAAAnAQAAZHJzL2Uyb0RvYy54bWxQSwUGAAAAAAYABgBZ&#10;AQAAg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1331595</wp:posOffset>
                </wp:positionH>
                <wp:positionV relativeFrom="paragraph">
                  <wp:posOffset>377190</wp:posOffset>
                </wp:positionV>
                <wp:extent cx="379095" cy="5715"/>
                <wp:effectExtent l="7620" t="9525" r="13335" b="13335"/>
                <wp:wrapNone/>
                <wp:docPr id="303" name="直接连接符 303"/>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4.85pt;margin-top:29.7pt;height:0.45pt;width:29.85pt;z-index:251670528;mso-width-relative:page;mso-height-relative:page;" filled="f" stroked="t" coordsize="21600,21600" o:gfxdata="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P7R1O1wAAAAkBAAAPAAAAAAAAAAEAIAAAACIAAABkcnMvZG93bnJldi54bWxQSwECFAAUAAAA&#10;CACHTuJAduC/ee8BAAC6AwAADgAAAAAAAAABACAAAAAmAQAAZHJzL2Uyb0RvYy54bWxQSwUGAAAA&#10;AAYABgBZAQAAhwUAAAAA&#10;">
                <v:fill on="f" focussize="0,0"/>
                <v:stroke color="#000000" joinstyle="round"/>
                <v:imagedata o:title=""/>
                <o:lock v:ext="edit" aspectratio="f"/>
              </v:line>
            </w:pict>
          </mc:Fallback>
        </mc:AlternateContent>
      </w:r>
    </w:p>
    <w:p w14:paraId="022A1759">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72576" behindDoc="0" locked="0" layoutInCell="1" allowOverlap="1">
                <wp:simplePos x="0" y="0"/>
                <wp:positionH relativeFrom="column">
                  <wp:posOffset>577215</wp:posOffset>
                </wp:positionH>
                <wp:positionV relativeFrom="paragraph">
                  <wp:posOffset>64135</wp:posOffset>
                </wp:positionV>
                <wp:extent cx="417195" cy="635"/>
                <wp:effectExtent l="5715" t="6985" r="5715" b="11430"/>
                <wp:wrapNone/>
                <wp:docPr id="302" name="直接连接符 30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5.05pt;height:0.05pt;width:32.85pt;z-index:251672576;mso-width-relative:page;mso-height-relative:page;" filled="f" stroked="t" coordsize="21600,21600" o:gfxdata="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0H+Z1QAA&#10;AAgBAAAPAAAAAAAAAAEAIAAAACIAAABkcnMvZG93bnJldi54bWxQSwECFAAUAAAACACHTuJABltD&#10;xegBAACvAwAADgAAAAAAAAABACAAAAAkAQAAZHJzL2Uyb0RvYy54bWxQSwUGAAAAAAYABgBZAQAA&#10;fgUAAAAA&#10;">
                <v:fill on="f" focussize="0,0"/>
                <v:stroke color="#000000" joinstyle="round"/>
                <v:imagedata o:title=""/>
                <o:lock v:ext="edit" aspectratio="f"/>
              </v:line>
            </w:pict>
          </mc:Fallback>
        </mc:AlternateContent>
      </w:r>
    </w:p>
    <w:p w14:paraId="68847890">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73600" behindDoc="0" locked="0" layoutInCell="1" allowOverlap="1">
                <wp:simplePos x="0" y="0"/>
                <wp:positionH relativeFrom="column">
                  <wp:posOffset>2449830</wp:posOffset>
                </wp:positionH>
                <wp:positionV relativeFrom="paragraph">
                  <wp:posOffset>278130</wp:posOffset>
                </wp:positionV>
                <wp:extent cx="2870835" cy="615950"/>
                <wp:effectExtent l="11430" t="7620" r="13335" b="5080"/>
                <wp:wrapNone/>
                <wp:docPr id="301" name="文本框 301"/>
                <wp:cNvGraphicFramePr/>
                <a:graphic xmlns:a="http://schemas.openxmlformats.org/drawingml/2006/main">
                  <a:graphicData uri="http://schemas.microsoft.com/office/word/2010/wordprocessingShape">
                    <wps:wsp>
                      <wps:cNvSpPr txBox="1">
                        <a:spLocks noChangeArrowheads="1"/>
                      </wps:cNvSpPr>
                      <wps:spPr bwMode="auto">
                        <a:xfrm>
                          <a:off x="0" y="0"/>
                          <a:ext cx="2870835" cy="615950"/>
                        </a:xfrm>
                        <a:prstGeom prst="rect">
                          <a:avLst/>
                        </a:prstGeom>
                        <a:solidFill>
                          <a:srgbClr val="FFFFFF"/>
                        </a:solidFill>
                        <a:ln w="9525">
                          <a:solidFill>
                            <a:srgbClr val="000000"/>
                          </a:solidFill>
                          <a:miter lim="800000"/>
                        </a:ln>
                      </wps:spPr>
                      <wps:txbx>
                        <w:txbxContent>
                          <w:p w14:paraId="4AFE9449">
                            <w:pPr>
                              <w:rPr>
                                <w:sz w:val="15"/>
                                <w:szCs w:val="15"/>
                              </w:rPr>
                            </w:pPr>
                            <w:r>
                              <w:rPr>
                                <w:rFonts w:hint="eastAsia"/>
                                <w:sz w:val="15"/>
                                <w:szCs w:val="15"/>
                              </w:rPr>
                              <w:t>1. 外贸英语函电    2</w:t>
                            </w:r>
                            <w:r>
                              <w:rPr>
                                <w:sz w:val="15"/>
                                <w:szCs w:val="15"/>
                              </w:rPr>
                              <w:t>.</w:t>
                            </w:r>
                            <w:r>
                              <w:rPr>
                                <w:rFonts w:hint="eastAsia"/>
                                <w:sz w:val="15"/>
                                <w:szCs w:val="15"/>
                              </w:rPr>
                              <w:t xml:space="preserve"> 新媒体营销    3. 电子商务物流</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1.9pt;height:48.5pt;width:226.05pt;z-index:251673600;mso-width-relative:page;mso-height-relative:page;" fillcolor="#FFFFFF" filled="t" stroked="t" coordsize="21600,21600" o:gfxdata="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WcRyK2QAAAAoBAAAPAAAAAAAAAAEA&#10;IAAAACIAAABkcnMvZG93bnJldi54bWxQSwECFAAUAAAACACHTuJANGq490cCAACLBAAADgAAAAAA&#10;AAABACAAAAAoAQAAZHJzL2Uyb0RvYy54bWxQSwUGAAAAAAYABgBZAQAA4QUAAAAA&#10;">
                <v:fill on="t" focussize="0,0"/>
                <v:stroke color="#000000" miterlimit="8" joinstyle="miter"/>
                <v:imagedata o:title=""/>
                <o:lock v:ext="edit" aspectratio="f"/>
                <v:textbox>
                  <w:txbxContent>
                    <w:p w14:paraId="4AFE9449">
                      <w:pPr>
                        <w:rPr>
                          <w:sz w:val="15"/>
                          <w:szCs w:val="15"/>
                        </w:rPr>
                      </w:pPr>
                      <w:r>
                        <w:rPr>
                          <w:rFonts w:hint="eastAsia"/>
                          <w:sz w:val="15"/>
                          <w:szCs w:val="15"/>
                        </w:rPr>
                        <w:t>1. 外贸英语函电    2</w:t>
                      </w:r>
                      <w:r>
                        <w:rPr>
                          <w:sz w:val="15"/>
                          <w:szCs w:val="15"/>
                        </w:rPr>
                        <w:t>.</w:t>
                      </w:r>
                      <w:r>
                        <w:rPr>
                          <w:rFonts w:hint="eastAsia"/>
                          <w:sz w:val="15"/>
                          <w:szCs w:val="15"/>
                        </w:rPr>
                        <w:t xml:space="preserve"> 新媒体营销    3. 电子商务物流</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1675765</wp:posOffset>
                </wp:positionH>
                <wp:positionV relativeFrom="paragraph">
                  <wp:posOffset>243205</wp:posOffset>
                </wp:positionV>
                <wp:extent cx="464185" cy="889000"/>
                <wp:effectExtent l="0" t="0" r="12065" b="25400"/>
                <wp:wrapNone/>
                <wp:docPr id="300" name="文本框 300"/>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47E02B3A">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95pt;margin-top:19.15pt;height:70pt;width:36.55pt;z-index:251674624;mso-width-relative:page;mso-height-relative:page;" fillcolor="#E2F0D9 [665]" filled="t" stroked="t" coordsize="21600,21600" o:gfxdata="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xwJ7ZNgAAAAKAQAADwAAAAAAAAABACAAAAAiAAAAZHJzL2Rvd25yZXYueG1sUEsBAhQAFAAAAAgA&#10;h07iQF+I2PheAgAAwwQAAA4AAAAAAAAAAQAgAAAAJwEAAGRycy9lMm9Eb2MueG1sUEsFBgAAAAAG&#10;AAYAWQEAAPcFAAAAAA==&#10;">
                <v:fill on="t" focussize="0,0"/>
                <v:stroke color="#000000" miterlimit="8" joinstyle="miter"/>
                <v:imagedata o:title=""/>
                <o:lock v:ext="edit" aspectratio="f"/>
                <v:textbox>
                  <w:txbxContent>
                    <w:p w14:paraId="47E02B3A">
                      <w:pPr>
                        <w:snapToGrid w:val="0"/>
                        <w:spacing w:line="360" w:lineRule="auto"/>
                        <w:jc w:val="center"/>
                        <w:rPr>
                          <w:b/>
                          <w:sz w:val="18"/>
                          <w:szCs w:val="18"/>
                        </w:rPr>
                      </w:pPr>
                      <w:r>
                        <w:rPr>
                          <w:b/>
                          <w:sz w:val="18"/>
                          <w:szCs w:val="18"/>
                        </w:rPr>
                        <w:t>专业拓展课程</w:t>
                      </w:r>
                    </w:p>
                  </w:txbxContent>
                </v:textbox>
              </v:shape>
            </w:pict>
          </mc:Fallback>
        </mc:AlternateContent>
      </w:r>
    </w:p>
    <w:p w14:paraId="32315240">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75648" behindDoc="0" locked="0" layoutInCell="1" allowOverlap="1">
                <wp:simplePos x="0" y="0"/>
                <wp:positionH relativeFrom="column">
                  <wp:posOffset>2126615</wp:posOffset>
                </wp:positionH>
                <wp:positionV relativeFrom="paragraph">
                  <wp:posOffset>213995</wp:posOffset>
                </wp:positionV>
                <wp:extent cx="310515" cy="635"/>
                <wp:effectExtent l="12065" t="6350" r="10795" b="12065"/>
                <wp:wrapNone/>
                <wp:docPr id="299" name="直接连接符 299"/>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7.45pt;margin-top:16.85pt;height:0.05pt;width:24.45pt;z-index:251675648;mso-width-relative:page;mso-height-relative:page;" filled="f" stroked="t" coordsize="21600,21600" o:gfxdata="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I4jjtYA&#10;AAAJAQAADwAAAAAAAAABACAAAAAiAAAAZHJzL2Rvd25yZXYueG1sUEsBAhQAFAAAAAgAh07iQE1U&#10;a1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1346835</wp:posOffset>
                </wp:positionH>
                <wp:positionV relativeFrom="paragraph">
                  <wp:posOffset>213360</wp:posOffset>
                </wp:positionV>
                <wp:extent cx="348615" cy="635"/>
                <wp:effectExtent l="13335" t="5715" r="9525" b="12700"/>
                <wp:wrapNone/>
                <wp:docPr id="298" name="直接连接符 298"/>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16.8pt;height:0.05pt;width:27.45pt;z-index:251676672;mso-width-relative:page;mso-height-relative:page;" filled="f" stroked="t" coordsize="21600,21600" o:gfxdata="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hwI/NYA&#10;AAAJAQAADwAAAAAAAAABACAAAAAiAAAAZHJzL2Rvd25yZXYueG1sUEsBAhQAFAAAAAgAh07iQEe7&#10;tHroAQAArwMAAA4AAAAAAAAAAQAgAAAAJQEAAGRycy9lMm9Eb2MueG1sUEsFBgAAAAAGAAYAWQEA&#10;AH8FAAAAAA==&#10;">
                <v:fill on="f" focussize="0,0"/>
                <v:stroke color="#000000" joinstyle="round"/>
                <v:imagedata o:title=""/>
                <o:lock v:ext="edit" aspectratio="f"/>
              </v:line>
            </w:pict>
          </mc:Fallback>
        </mc:AlternateContent>
      </w:r>
    </w:p>
    <w:p w14:paraId="500C0834">
      <w:pPr>
        <w:pStyle w:val="83"/>
        <w:spacing w:line="440" w:lineRule="atLeast"/>
        <w:ind w:left="0" w:firstLine="0"/>
        <w:jc w:val="center"/>
        <w:rPr>
          <w:rFonts w:ascii="楷体_GB2312" w:eastAsia="楷体_GB2312"/>
          <w:b/>
          <w:bCs/>
          <w:sz w:val="32"/>
          <w:szCs w:val="32"/>
        </w:rPr>
      </w:pPr>
    </w:p>
    <w:p w14:paraId="1C5D78A3">
      <w:pPr>
        <w:rPr>
          <w:rFonts w:ascii="楷体_GB2312" w:eastAsia="楷体_GB2312"/>
          <w:b/>
          <w:bCs/>
          <w:sz w:val="32"/>
          <w:szCs w:val="32"/>
        </w:rPr>
      </w:pPr>
      <w:r>
        <w:rPr>
          <w:rFonts w:ascii="Times New Roman"/>
          <w:szCs w:val="24"/>
        </w:rPr>
        <mc:AlternateContent>
          <mc:Choice Requires="wps">
            <w:drawing>
              <wp:anchor distT="0" distB="0" distL="114300" distR="114300" simplePos="0" relativeHeight="251679744" behindDoc="0" locked="0" layoutInCell="1" allowOverlap="1">
                <wp:simplePos x="0" y="0"/>
                <wp:positionH relativeFrom="column">
                  <wp:posOffset>1000760</wp:posOffset>
                </wp:positionH>
                <wp:positionV relativeFrom="paragraph">
                  <wp:posOffset>48895</wp:posOffset>
                </wp:positionV>
                <wp:extent cx="342900" cy="1590675"/>
                <wp:effectExtent l="0" t="0" r="19050" b="10160"/>
                <wp:wrapNone/>
                <wp:docPr id="296" name="文本框 296"/>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107E0422">
                            <w:pPr>
                              <w:rPr>
                                <w:szCs w:val="21"/>
                              </w:rPr>
                            </w:pPr>
                          </w:p>
                          <w:p w14:paraId="029F5113">
                            <w:pPr>
                              <w:rPr>
                                <w:b/>
                                <w:sz w:val="24"/>
                                <w:szCs w:val="24"/>
                              </w:rPr>
                            </w:pPr>
                            <w:r>
                              <w:rPr>
                                <w:rFonts w:hint="eastAsia"/>
                                <w:b/>
                                <w:sz w:val="24"/>
                                <w:szCs w:val="24"/>
                              </w:rPr>
                              <w:t>集中</w:t>
                            </w:r>
                          </w:p>
                          <w:p w14:paraId="1C613FD0">
                            <w:pPr>
                              <w:rPr>
                                <w:b/>
                                <w:sz w:val="24"/>
                                <w:szCs w:val="24"/>
                              </w:rPr>
                            </w:pPr>
                            <w:r>
                              <w:rPr>
                                <w:rFonts w:hint="eastAsia"/>
                                <w:b/>
                                <w:sz w:val="24"/>
                                <w:szCs w:val="24"/>
                              </w:rPr>
                              <w:t>实</w:t>
                            </w:r>
                          </w:p>
                          <w:p w14:paraId="2C43AB2A">
                            <w:pPr>
                              <w:rPr>
                                <w:b/>
                                <w:sz w:val="24"/>
                                <w:szCs w:val="24"/>
                              </w:rPr>
                            </w:pPr>
                            <w:r>
                              <w:rPr>
                                <w:rFonts w:hint="eastAsia"/>
                                <w:b/>
                                <w:sz w:val="24"/>
                                <w:szCs w:val="24"/>
                              </w:rPr>
                              <w:t>践</w:t>
                            </w:r>
                          </w:p>
                          <w:p w14:paraId="5F0EC283">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8pt;margin-top:3.85pt;height:125.25pt;width:27pt;z-index:251679744;mso-width-relative:page;mso-height-relative:page;" fillcolor="#F8CBAD [1301]" filled="t" stroked="t" coordsize="21600,21600" o:gfxdata="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2pc/NgAAAAJAQAADwAAAAAAAAABACAAAAAiAAAAZHJzL2Rvd25yZXYueG1sUEsBAhQAFAAA&#10;AAgAh07iQOC5ZjRhAgAAxAQAAA4AAAAAAAAAAQAgAAAAJwEAAGRycy9lMm9Eb2MueG1sUEsFBgAA&#10;AAAGAAYAWQEAAPoFAAAAAA==&#10;">
                <v:fill on="t" focussize="0,0"/>
                <v:stroke color="#000000" miterlimit="8" joinstyle="miter"/>
                <v:imagedata o:title=""/>
                <o:lock v:ext="edit" aspectratio="f"/>
                <v:textbox>
                  <w:txbxContent>
                    <w:p w14:paraId="107E0422">
                      <w:pPr>
                        <w:rPr>
                          <w:szCs w:val="21"/>
                        </w:rPr>
                      </w:pPr>
                    </w:p>
                    <w:p w14:paraId="029F5113">
                      <w:pPr>
                        <w:rPr>
                          <w:b/>
                          <w:sz w:val="24"/>
                          <w:szCs w:val="24"/>
                        </w:rPr>
                      </w:pPr>
                      <w:r>
                        <w:rPr>
                          <w:rFonts w:hint="eastAsia"/>
                          <w:b/>
                          <w:sz w:val="24"/>
                          <w:szCs w:val="24"/>
                        </w:rPr>
                        <w:t>集中</w:t>
                      </w:r>
                    </w:p>
                    <w:p w14:paraId="1C613FD0">
                      <w:pPr>
                        <w:rPr>
                          <w:b/>
                          <w:sz w:val="24"/>
                          <w:szCs w:val="24"/>
                        </w:rPr>
                      </w:pPr>
                      <w:r>
                        <w:rPr>
                          <w:rFonts w:hint="eastAsia"/>
                          <w:b/>
                          <w:sz w:val="24"/>
                          <w:szCs w:val="24"/>
                        </w:rPr>
                        <w:t>实</w:t>
                      </w:r>
                    </w:p>
                    <w:p w14:paraId="2C43AB2A">
                      <w:pPr>
                        <w:rPr>
                          <w:b/>
                          <w:sz w:val="24"/>
                          <w:szCs w:val="24"/>
                        </w:rPr>
                      </w:pPr>
                      <w:r>
                        <w:rPr>
                          <w:rFonts w:hint="eastAsia"/>
                          <w:b/>
                          <w:sz w:val="24"/>
                          <w:szCs w:val="24"/>
                        </w:rPr>
                        <w:t>践</w:t>
                      </w:r>
                    </w:p>
                    <w:p w14:paraId="5F0EC283">
                      <w:pPr>
                        <w:rPr>
                          <w:b/>
                          <w:color w:val="FF0000"/>
                          <w:szCs w:val="21"/>
                        </w:rPr>
                      </w:pPr>
                      <w:r>
                        <w:rPr>
                          <w:rFonts w:hint="eastAsia"/>
                          <w:b/>
                          <w:sz w:val="24"/>
                          <w:szCs w:val="24"/>
                        </w:rPr>
                        <w:t>模块</w:t>
                      </w:r>
                    </w:p>
                  </w:txbxContent>
                </v:textbox>
              </v:shape>
            </w:pict>
          </mc:Fallback>
        </mc:AlternateContent>
      </w:r>
      <w:r>
        <w:rPr>
          <w:rFonts w:ascii="Times New Roman"/>
          <w:szCs w:val="24"/>
        </w:rPr>
        <mc:AlternateContent>
          <mc:Choice Requires="wps">
            <w:drawing>
              <wp:anchor distT="0" distB="0" distL="114300" distR="114300" simplePos="0" relativeHeight="251678720" behindDoc="0" locked="0" layoutInCell="1" allowOverlap="1">
                <wp:simplePos x="0" y="0"/>
                <wp:positionH relativeFrom="column">
                  <wp:posOffset>2428875</wp:posOffset>
                </wp:positionH>
                <wp:positionV relativeFrom="paragraph">
                  <wp:posOffset>99695</wp:posOffset>
                </wp:positionV>
                <wp:extent cx="2891790" cy="694690"/>
                <wp:effectExtent l="9525" t="8255" r="13335" b="11430"/>
                <wp:wrapNone/>
                <wp:docPr id="297"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65B1182C">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45C9CFA8">
                            <w:pPr>
                              <w:adjustRightInd w:val="0"/>
                              <w:snapToGrid w:val="0"/>
                              <w:spacing w:line="288" w:lineRule="auto"/>
                              <w:rPr>
                                <w:sz w:val="15"/>
                                <w:szCs w:val="15"/>
                              </w:rPr>
                            </w:pPr>
                            <w:r>
                              <w:rPr>
                                <w:rFonts w:hint="eastAsia"/>
                                <w:sz w:val="15"/>
                                <w:szCs w:val="15"/>
                              </w:rPr>
                              <w:t>4. 大学生就业指导与创新创业教育  5.心理健康教育</w:t>
                            </w:r>
                          </w:p>
                          <w:p w14:paraId="308E6072">
                            <w:pPr>
                              <w:adjustRightInd w:val="0"/>
                              <w:snapToGrid w:val="0"/>
                              <w:spacing w:line="288" w:lineRule="auto"/>
                              <w:rPr>
                                <w:sz w:val="15"/>
                                <w:szCs w:val="15"/>
                              </w:rPr>
                            </w:pPr>
                            <w:r>
                              <w:rPr>
                                <w:rFonts w:hint="eastAsia"/>
                                <w:sz w:val="15"/>
                                <w:szCs w:val="15"/>
                              </w:rPr>
                              <w:t>6..信息技术</w:t>
                            </w:r>
                          </w:p>
                          <w:p w14:paraId="58C03FDA">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25pt;margin-top:7.85pt;height:54.7pt;width:227.7pt;z-index:251678720;mso-width-relative:page;mso-height-relative:page;" fillcolor="#FFFFFF" filled="t" stroked="t" coordsize="21600,21600" o:gfxdata="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RyMat2QAAAAoBAAAPAAAAAAAAAAEAIAAAACIA&#10;AABkcnMvZG93bnJldi54bWxQSwECFAAUAAAACACHTuJARt9xK0ECAACLBAAADgAAAAAAAAABACAA&#10;AAAoAQAAZHJzL2Uyb0RvYy54bWxQSwUGAAAAAAYABgBZAQAA2wUAAAAA&#10;">
                <v:fill on="t" focussize="0,0"/>
                <v:stroke color="#000000" miterlimit="8" joinstyle="miter"/>
                <v:imagedata o:title=""/>
                <o:lock v:ext="edit" aspectratio="f"/>
                <v:textbox>
                  <w:txbxContent>
                    <w:p w14:paraId="65B1182C">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45C9CFA8">
                      <w:pPr>
                        <w:adjustRightInd w:val="0"/>
                        <w:snapToGrid w:val="0"/>
                        <w:spacing w:line="288" w:lineRule="auto"/>
                        <w:rPr>
                          <w:sz w:val="15"/>
                          <w:szCs w:val="15"/>
                        </w:rPr>
                      </w:pPr>
                      <w:r>
                        <w:rPr>
                          <w:rFonts w:hint="eastAsia"/>
                          <w:sz w:val="15"/>
                          <w:szCs w:val="15"/>
                        </w:rPr>
                        <w:t>4. 大学生就业指导与创新创业教育  5.心理健康教育</w:t>
                      </w:r>
                    </w:p>
                    <w:p w14:paraId="308E6072">
                      <w:pPr>
                        <w:adjustRightInd w:val="0"/>
                        <w:snapToGrid w:val="0"/>
                        <w:spacing w:line="288" w:lineRule="auto"/>
                        <w:rPr>
                          <w:sz w:val="15"/>
                          <w:szCs w:val="15"/>
                        </w:rPr>
                      </w:pPr>
                      <w:r>
                        <w:rPr>
                          <w:rFonts w:hint="eastAsia"/>
                          <w:sz w:val="15"/>
                          <w:szCs w:val="15"/>
                        </w:rPr>
                        <w:t>6..信息技术</w:t>
                      </w:r>
                    </w:p>
                    <w:p w14:paraId="58C03FDA">
                      <w:pPr>
                        <w:rPr>
                          <w:sz w:val="15"/>
                          <w:szCs w:val="15"/>
                        </w:rPr>
                      </w:pPr>
                    </w:p>
                  </w:txbxContent>
                </v:textbox>
              </v:shape>
            </w:pict>
          </mc:Fallback>
        </mc:AlternateContent>
      </w:r>
      <w:r>
        <w:rPr>
          <w:rFonts w:ascii="Times New Roman"/>
          <w:szCs w:val="24"/>
        </w:rPr>
        <mc:AlternateContent>
          <mc:Choice Requires="wps">
            <w:drawing>
              <wp:anchor distT="0" distB="0" distL="114300" distR="114300" simplePos="0" relativeHeight="251677696" behindDoc="0" locked="0" layoutInCell="1" allowOverlap="1">
                <wp:simplePos x="0" y="0"/>
                <wp:positionH relativeFrom="column">
                  <wp:posOffset>1543050</wp:posOffset>
                </wp:positionH>
                <wp:positionV relativeFrom="paragraph">
                  <wp:posOffset>185420</wp:posOffset>
                </wp:positionV>
                <wp:extent cx="692785" cy="457200"/>
                <wp:effectExtent l="0" t="0" r="12065" b="19050"/>
                <wp:wrapNone/>
                <wp:docPr id="295" name="文本框 295"/>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1D444EA5">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5pt;margin-top:14.6pt;height:36pt;width:54.55pt;z-index:251677696;mso-width-relative:page;mso-height-relative:page;" fillcolor="#E2F0D9 [665]" filled="t" stroked="t" coordsize="21600,21600" o:gfxdata="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e&#10;ay+w2AAAAAoBAAAPAAAAAAAAAAEAIAAAACIAAABkcnMvZG93bnJldi54bWxQSwECFAAUAAAACACH&#10;TuJAYJiBV10CAADDBAAADgAAAAAAAAABACAAAAAnAQAAZHJzL2Uyb0RvYy54bWxQSwUGAAAAAAYA&#10;BgBZAQAA9gUAAAAA&#10;">
                <v:fill on="t" focussize="0,0"/>
                <v:stroke color="#000000" miterlimit="8" joinstyle="miter"/>
                <v:imagedata o:title=""/>
                <o:lock v:ext="edit" aspectratio="f"/>
                <v:textbox>
                  <w:txbxContent>
                    <w:p w14:paraId="1D444EA5">
                      <w:pPr>
                        <w:ind w:left="270" w:hanging="270"/>
                        <w:rPr>
                          <w:b/>
                          <w:szCs w:val="21"/>
                        </w:rPr>
                      </w:pPr>
                      <w:r>
                        <w:rPr>
                          <w:rFonts w:hint="eastAsia"/>
                          <w:b/>
                          <w:sz w:val="18"/>
                          <w:szCs w:val="18"/>
                        </w:rPr>
                        <w:t>综合实践</w:t>
                      </w:r>
                    </w:p>
                  </w:txbxContent>
                </v:textbox>
              </v:shape>
            </w:pict>
          </mc:Fallback>
        </mc:AlternateContent>
      </w:r>
    </w:p>
    <w:p w14:paraId="1B3A48D3">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81792" behindDoc="0" locked="0" layoutInCell="1" allowOverlap="1">
                <wp:simplePos x="0" y="0"/>
                <wp:positionH relativeFrom="column">
                  <wp:posOffset>1343025</wp:posOffset>
                </wp:positionH>
                <wp:positionV relativeFrom="paragraph">
                  <wp:posOffset>54610</wp:posOffset>
                </wp:positionV>
                <wp:extent cx="200025" cy="635"/>
                <wp:effectExtent l="9525" t="6985" r="9525" b="11430"/>
                <wp:wrapNone/>
                <wp:docPr id="294" name="直接连接符 294"/>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75pt;margin-top:4.3pt;height:0.05pt;width:15.75pt;z-index:251681792;mso-width-relative:page;mso-height-relative:page;" filled="f" stroked="t" coordsize="21600,21600" o:gfxdata="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ztTK/VAAAA&#10;BwEAAA8AAAAAAAAAAQAgAAAAIgAAAGRycy9kb3ducmV2LnhtbFBLAQIUABQAAAAIAIdO4kAt+ZV/&#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2222500</wp:posOffset>
                </wp:positionH>
                <wp:positionV relativeFrom="paragraph">
                  <wp:posOffset>55880</wp:posOffset>
                </wp:positionV>
                <wp:extent cx="212090" cy="635"/>
                <wp:effectExtent l="12700" t="8255" r="13335" b="10160"/>
                <wp:wrapNone/>
                <wp:docPr id="293" name="直接连接符 293"/>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pt;margin-top:4.4pt;height:0.05pt;width:16.7pt;z-index:251682816;mso-width-relative:page;mso-height-relative:page;" filled="f" stroked="t" coordsize="21600,21600" o:gfxdata="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DRIXvVAAAA&#10;BwEAAA8AAAAAAAAAAQAgAAAAIgAAAGRycy9kb3ducmV2LnhtbFBLAQIUABQAAAAIAIdO4kA1EOyG&#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582930</wp:posOffset>
                </wp:positionH>
                <wp:positionV relativeFrom="paragraph">
                  <wp:posOffset>346075</wp:posOffset>
                </wp:positionV>
                <wp:extent cx="417195" cy="635"/>
                <wp:effectExtent l="11430" t="12700" r="9525" b="5715"/>
                <wp:wrapNone/>
                <wp:docPr id="292" name="直接连接符 29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9pt;margin-top:27.25pt;height:0.05pt;width:32.85pt;z-index:251684864;mso-width-relative:page;mso-height-relative:page;" filled="f" stroked="t" coordsize="21600,21600" o:gfxdata="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QEvGtYA&#10;AAAIAQAADwAAAAAAAAABACAAAAAiAAAAZHJzL2Rvd25yZXYueG1sUEsBAhQAFAAAAAgAh07iQNJA&#10;y0PoAQAArwMAAA4AAAAAAAAAAQAgAAAAJQEAAGRycy9lMm9Eb2MueG1sUEsFBgAAAAAGAAYAWQEA&#10;AH8FAAAAAA==&#10;">
                <v:fill on="f" focussize="0,0"/>
                <v:stroke color="#000000" joinstyle="round"/>
                <v:imagedata o:title=""/>
                <o:lock v:ext="edit" aspectratio="f"/>
              </v:line>
            </w:pict>
          </mc:Fallback>
        </mc:AlternateContent>
      </w:r>
    </w:p>
    <w:p w14:paraId="6861219C">
      <w:r>
        <w:rPr>
          <w:rFonts w:ascii="Times New Roman"/>
          <w:sz w:val="24"/>
          <w:szCs w:val="24"/>
        </w:rPr>
        <mc:AlternateContent>
          <mc:Choice Requires="wps">
            <w:drawing>
              <wp:anchor distT="0" distB="0" distL="114300" distR="114300" simplePos="0" relativeHeight="251680768" behindDoc="0" locked="0" layoutInCell="1" allowOverlap="1">
                <wp:simplePos x="0" y="0"/>
                <wp:positionH relativeFrom="column">
                  <wp:posOffset>2449830</wp:posOffset>
                </wp:positionH>
                <wp:positionV relativeFrom="paragraph">
                  <wp:posOffset>185420</wp:posOffset>
                </wp:positionV>
                <wp:extent cx="2857500" cy="664845"/>
                <wp:effectExtent l="0" t="0" r="19050" b="20955"/>
                <wp:wrapNone/>
                <wp:docPr id="291" name="文本框 291"/>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514677C7">
                            <w:pPr>
                              <w:rPr>
                                <w:rFonts w:ascii="宋体"/>
                                <w:sz w:val="18"/>
                                <w:szCs w:val="18"/>
                                <w:highlight w:val="yellow"/>
                              </w:rPr>
                            </w:pPr>
                            <w:r>
                              <w:rPr>
                                <w:rFonts w:hint="eastAsia"/>
                                <w:sz w:val="15"/>
                                <w:szCs w:val="15"/>
                              </w:rPr>
                              <w:t>1. 毕业设计    2</w:t>
                            </w:r>
                            <w:r>
                              <w:rPr>
                                <w:sz w:val="15"/>
                                <w:szCs w:val="15"/>
                              </w:rPr>
                              <w:t>.</w:t>
                            </w:r>
                            <w:r>
                              <w:rPr>
                                <w:rFonts w:hint="eastAsia"/>
                                <w:sz w:val="15"/>
                                <w:szCs w:val="15"/>
                              </w:rPr>
                              <w:t xml:space="preserve">岗位实习   </w:t>
                            </w:r>
                          </w:p>
                          <w:p w14:paraId="47497ABD">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14.6pt;height:52.35pt;width:225pt;z-index:251680768;mso-width-relative:page;mso-height-relative:page;" fillcolor="#FFFFFF" filled="t" stroked="t" coordsize="21600,21600" o:gfxdata="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zIe1HZAAAACgEAAA8AAAAAAAAAAQAgAAAA&#10;IgAAAGRycy9kb3ducmV2LnhtbFBLAQIUABQAAAAIAIdO4kBlAYK1QwIAAIsEAAAOAAAAAAAAAAEA&#10;IAAAACgBAABkcnMvZTJvRG9jLnhtbFBLBQYAAAAABgAGAFkBAADdBQAAAAA=&#10;">
                <v:fill on="t" focussize="0,0"/>
                <v:stroke color="#000000" miterlimit="8" joinstyle="miter"/>
                <v:imagedata o:title=""/>
                <o:lock v:ext="edit" aspectratio="f"/>
                <v:textbox>
                  <w:txbxContent>
                    <w:p w14:paraId="514677C7">
                      <w:pPr>
                        <w:rPr>
                          <w:rFonts w:ascii="宋体"/>
                          <w:sz w:val="18"/>
                          <w:szCs w:val="18"/>
                          <w:highlight w:val="yellow"/>
                        </w:rPr>
                      </w:pPr>
                      <w:r>
                        <w:rPr>
                          <w:rFonts w:hint="eastAsia"/>
                          <w:sz w:val="15"/>
                          <w:szCs w:val="15"/>
                        </w:rPr>
                        <w:t>1. 毕业设计    2</w:t>
                      </w:r>
                      <w:r>
                        <w:rPr>
                          <w:sz w:val="15"/>
                          <w:szCs w:val="15"/>
                        </w:rPr>
                        <w:t>.</w:t>
                      </w:r>
                      <w:r>
                        <w:rPr>
                          <w:rFonts w:hint="eastAsia"/>
                          <w:sz w:val="15"/>
                          <w:szCs w:val="15"/>
                        </w:rPr>
                        <w:t xml:space="preserve">岗位实习   </w:t>
                      </w:r>
                    </w:p>
                    <w:p w14:paraId="47497ABD">
                      <w:pPr>
                        <w:adjustRightInd w:val="0"/>
                        <w:snapToGrid w:val="0"/>
                        <w:spacing w:line="288" w:lineRule="auto"/>
                        <w:rPr>
                          <w:rFonts w:ascii="宋体"/>
                          <w:sz w:val="18"/>
                          <w:szCs w:val="18"/>
                        </w:rPr>
                      </w:pPr>
                    </w:p>
                  </w:txbxContent>
                </v:textbox>
              </v:shape>
            </w:pict>
          </mc:Fallback>
        </mc:AlternateContent>
      </w:r>
    </w:p>
    <w:p w14:paraId="0653883E">
      <w:r>
        <w:rPr>
          <w:rFonts w:ascii="Times New Roman"/>
          <w:sz w:val="24"/>
          <w:szCs w:val="24"/>
        </w:rPr>
        <mc:AlternateContent>
          <mc:Choice Requires="wps">
            <w:drawing>
              <wp:anchor distT="0" distB="0" distL="114300" distR="114300" simplePos="0" relativeHeight="251683840" behindDoc="0" locked="0" layoutInCell="1" allowOverlap="1">
                <wp:simplePos x="0" y="0"/>
                <wp:positionH relativeFrom="column">
                  <wp:posOffset>1550035</wp:posOffset>
                </wp:positionH>
                <wp:positionV relativeFrom="paragraph">
                  <wp:posOffset>52070</wp:posOffset>
                </wp:positionV>
                <wp:extent cx="667385" cy="434975"/>
                <wp:effectExtent l="0" t="0" r="18415" b="22225"/>
                <wp:wrapNone/>
                <wp:docPr id="290" name="文本框 290"/>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524342B8">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2.05pt;margin-top:4.1pt;height:34.25pt;width:52.55pt;z-index:251683840;mso-width-relative:page;mso-height-relative:page;" fillcolor="#E2F0D9 [665]" filled="t" stroked="t" coordsize="21600,21600" o:gfxdata="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w5eK12AAAAAgBAAAPAAAAAAAAAAEAIAAAACIAAABkcnMvZG93bnJldi54bWxQSwECFAAU&#10;AAAACACHTuJAUrB3EGMCAADDBAAADgAAAAAAAAABACAAAAAnAQAAZHJzL2Uyb0RvYy54bWxQSwUG&#10;AAAAAAYABgBZAQAA/AUAAAAA&#10;">
                <v:fill on="t" focussize="0,0"/>
                <v:stroke color="#000000" miterlimit="8" joinstyle="miter"/>
                <v:imagedata o:title=""/>
                <o:lock v:ext="edit" aspectratio="f"/>
                <v:textbox>
                  <w:txbxContent>
                    <w:p w14:paraId="524342B8">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396E7267">
      <w:r>
        <mc:AlternateContent>
          <mc:Choice Requires="wps">
            <w:drawing>
              <wp:anchor distT="0" distB="0" distL="114300" distR="114300" simplePos="0" relativeHeight="251685888" behindDoc="0" locked="0" layoutInCell="1" allowOverlap="1">
                <wp:simplePos x="0" y="0"/>
                <wp:positionH relativeFrom="column">
                  <wp:posOffset>2209800</wp:posOffset>
                </wp:positionH>
                <wp:positionV relativeFrom="paragraph">
                  <wp:posOffset>60325</wp:posOffset>
                </wp:positionV>
                <wp:extent cx="231140" cy="635"/>
                <wp:effectExtent l="9525" t="5080" r="6985" b="13335"/>
                <wp:wrapNone/>
                <wp:docPr id="289" name="直接连接符 289"/>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4pt;margin-top:4.75pt;height:0.05pt;width:18.2pt;z-index:251685888;mso-width-relative:page;mso-height-relative:page;" filled="f" stroked="t" coordsize="21600,21600" o:gfxdata="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Y4Z6NYA&#10;AAAHAQAADwAAAAAAAAABACAAAAAiAAAAZHJzL2Rvd25yZXYueG1sUEsBAhQAFAAAAAgAh07iQEN0&#10;Oo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1337310</wp:posOffset>
                </wp:positionH>
                <wp:positionV relativeFrom="paragraph">
                  <wp:posOffset>90170</wp:posOffset>
                </wp:positionV>
                <wp:extent cx="211455" cy="635"/>
                <wp:effectExtent l="13335" t="6350" r="13335" b="12065"/>
                <wp:wrapNone/>
                <wp:docPr id="25" name="直接连接符 25"/>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3pt;margin-top:7.1pt;height:0.05pt;width:16.65pt;z-index:251686912;mso-width-relative:page;mso-height-relative:page;" filled="f" stroked="t" coordsize="21600,21600" o:gfxdata="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Ew6x+tYAAAAJ&#10;AQAADwAAAAAAAAABACAAAAAiAAAAZHJzL2Rvd25yZXYueG1sUEsBAhQAFAAAAAgAh07iQNzhYAzl&#10;AQAArQMAAA4AAAAAAAAAAQAgAAAAJQEAAGRycy9lMm9Eb2MueG1sUEsFBgAAAAAGAAYAWQEAAHwF&#10;AAAAAA==&#10;">
                <v:fill on="f" focussize="0,0"/>
                <v:stroke color="#000000" joinstyle="round"/>
                <v:imagedata o:title=""/>
                <o:lock v:ext="edit" aspectratio="f"/>
              </v:line>
            </w:pict>
          </mc:Fallback>
        </mc:AlternateContent>
      </w:r>
    </w:p>
    <w:p w14:paraId="378717F1">
      <w:pPr>
        <w:spacing w:line="500" w:lineRule="exact"/>
        <w:ind w:firstLine="482" w:firstLineChars="200"/>
        <w:rPr>
          <w:rFonts w:hint="eastAsia" w:ascii="黑体" w:hAnsi="黑体" w:eastAsia="黑体" w:cs="宋体"/>
          <w:b/>
          <w:sz w:val="24"/>
          <w:szCs w:val="24"/>
        </w:rPr>
      </w:pPr>
      <w:r>
        <w:rPr>
          <w:rFonts w:hint="eastAsia" w:ascii="黑体" w:hAnsi="黑体" w:eastAsia="黑体" w:cs="宋体"/>
          <w:b/>
          <w:sz w:val="24"/>
          <w:szCs w:val="24"/>
        </w:rPr>
        <w:t>2.课程设置及描述</w:t>
      </w:r>
    </w:p>
    <w:p w14:paraId="5E9CAB06">
      <w:pPr>
        <w:pStyle w:val="78"/>
        <w:ind w:firstLine="480"/>
        <w:jc w:val="center"/>
        <w:rPr>
          <w:rFonts w:hint="eastAsia" w:ascii="宋体" w:hAnsi="宋体"/>
          <w:szCs w:val="24"/>
        </w:rPr>
      </w:pPr>
      <w:r>
        <w:rPr>
          <w:rFonts w:hint="eastAsia" w:ascii="宋体" w:hAnsi="宋体" w:cs="宋体"/>
          <w:szCs w:val="24"/>
        </w:rPr>
        <w:t>表</w:t>
      </w:r>
      <w:r>
        <w:rPr>
          <w:rFonts w:hint="eastAsia" w:ascii="宋体" w:hAnsi="宋体"/>
          <w:szCs w:val="24"/>
        </w:rPr>
        <w:t xml:space="preserve">4 </w:t>
      </w:r>
      <w:r>
        <w:rPr>
          <w:rFonts w:hint="eastAsia" w:ascii="宋体" w:hAnsi="宋体" w:cs="宋体"/>
          <w:szCs w:val="24"/>
        </w:rPr>
        <w:t>公共必修课程体系</w:t>
      </w:r>
    </w:p>
    <w:tbl>
      <w:tblPr>
        <w:tblStyle w:val="24"/>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4"/>
        <w:gridCol w:w="2410"/>
        <w:gridCol w:w="2268"/>
        <w:gridCol w:w="1421"/>
      </w:tblGrid>
      <w:tr w14:paraId="35FFB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74463DF">
            <w:pPr>
              <w:rPr>
                <w:rFonts w:hint="eastAsia"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7A229283">
            <w:pPr>
              <w:rPr>
                <w:rFonts w:hint="eastAsia" w:ascii="宋体" w:hAnsi="宋体" w:cs="宋体"/>
                <w:sz w:val="18"/>
                <w:szCs w:val="18"/>
              </w:rPr>
            </w:pPr>
            <w:r>
              <w:rPr>
                <w:rFonts w:hint="eastAsia" w:ascii="宋体" w:hAnsi="宋体" w:cs="宋体"/>
                <w:sz w:val="18"/>
                <w:szCs w:val="18"/>
              </w:rPr>
              <w:t>课程性质</w:t>
            </w:r>
          </w:p>
        </w:tc>
        <w:tc>
          <w:tcPr>
            <w:tcW w:w="1134"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6E432AF">
            <w:pPr>
              <w:rPr>
                <w:rFonts w:hint="eastAsia"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428AE454">
            <w:pPr>
              <w:ind w:firstLine="540" w:firstLineChars="300"/>
              <w:rPr>
                <w:rFonts w:hint="eastAsia" w:ascii="宋体" w:hAnsi="宋体" w:cs="宋体"/>
                <w:sz w:val="18"/>
                <w:szCs w:val="18"/>
              </w:rPr>
            </w:pPr>
            <w:r>
              <w:rPr>
                <w:rFonts w:hint="eastAsia" w:ascii="宋体" w:hAnsi="宋体" w:cs="宋体"/>
                <w:sz w:val="18"/>
                <w:szCs w:val="18"/>
              </w:rPr>
              <w:t>课程目标</w:t>
            </w:r>
          </w:p>
        </w:tc>
        <w:tc>
          <w:tcPr>
            <w:tcW w:w="2268"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1DB2B9A">
            <w:pPr>
              <w:ind w:firstLine="360" w:firstLineChars="200"/>
              <w:rPr>
                <w:rFonts w:hint="eastAsia" w:ascii="宋体" w:hAnsi="宋体" w:cs="宋体"/>
                <w:sz w:val="18"/>
                <w:szCs w:val="18"/>
              </w:rPr>
            </w:pPr>
            <w:r>
              <w:rPr>
                <w:rFonts w:hint="eastAsia" w:ascii="宋体" w:hAnsi="宋体" w:cs="宋体"/>
                <w:sz w:val="18"/>
                <w:szCs w:val="18"/>
              </w:rPr>
              <w:t>主要教学内容</w:t>
            </w:r>
          </w:p>
        </w:tc>
        <w:tc>
          <w:tcPr>
            <w:tcW w:w="1421"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7A8C8E5E">
            <w:pPr>
              <w:rPr>
                <w:rFonts w:hint="eastAsia" w:ascii="宋体" w:hAnsi="宋体" w:cs="宋体"/>
                <w:sz w:val="18"/>
                <w:szCs w:val="18"/>
              </w:rPr>
            </w:pPr>
            <w:r>
              <w:rPr>
                <w:rFonts w:hint="eastAsia" w:ascii="宋体" w:hAnsi="宋体" w:cs="宋体"/>
                <w:sz w:val="18"/>
                <w:szCs w:val="18"/>
              </w:rPr>
              <w:t>教学要求</w:t>
            </w:r>
          </w:p>
        </w:tc>
      </w:tr>
      <w:tr w14:paraId="1F1E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E9613CA">
            <w:pPr>
              <w:rPr>
                <w:rFonts w:hint="eastAsia"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14:paraId="30980A9F">
            <w:pPr>
              <w:rPr>
                <w:rFonts w:hint="eastAsia" w:ascii="宋体" w:hAnsi="宋体" w:cs="宋体"/>
                <w:sz w:val="18"/>
                <w:szCs w:val="18"/>
              </w:rPr>
            </w:pPr>
            <w:r>
              <w:rPr>
                <w:rFonts w:hint="eastAsia" w:ascii="宋体" w:hAnsi="宋体" w:cs="宋体"/>
                <w:sz w:val="18"/>
                <w:szCs w:val="18"/>
              </w:rPr>
              <w:t>公共必修课程</w:t>
            </w:r>
          </w:p>
        </w:tc>
        <w:tc>
          <w:tcPr>
            <w:tcW w:w="1134" w:type="dxa"/>
            <w:tcBorders>
              <w:top w:val="single" w:color="auto" w:sz="4" w:space="0"/>
              <w:left w:val="single" w:color="auto" w:sz="4" w:space="0"/>
              <w:bottom w:val="single" w:color="auto" w:sz="4" w:space="0"/>
              <w:right w:val="single" w:color="auto" w:sz="4" w:space="0"/>
            </w:tcBorders>
            <w:vAlign w:val="center"/>
          </w:tcPr>
          <w:p w14:paraId="281C1263">
            <w:pPr>
              <w:rPr>
                <w:rFonts w:hint="eastAsia" w:ascii="宋体" w:hAnsi="宋体" w:cs="宋体"/>
                <w:sz w:val="18"/>
                <w:szCs w:val="18"/>
              </w:rPr>
            </w:pPr>
            <w:r>
              <w:rPr>
                <w:rFonts w:hint="eastAsia" w:ascii="Times New Roman" w:hAnsi="Times New Roman"/>
                <w:color w:val="000000"/>
                <w:spacing w:val="-20"/>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14:paraId="1E9F4119">
            <w:pPr>
              <w:rPr>
                <w:rFonts w:hint="eastAsia"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268" w:type="dxa"/>
            <w:tcBorders>
              <w:top w:val="single" w:color="auto" w:sz="4" w:space="0"/>
              <w:left w:val="single" w:color="auto" w:sz="4" w:space="0"/>
              <w:bottom w:val="single" w:color="auto" w:sz="4" w:space="0"/>
              <w:right w:val="single" w:color="auto" w:sz="4" w:space="0"/>
            </w:tcBorders>
            <w:vAlign w:val="center"/>
          </w:tcPr>
          <w:p w14:paraId="6B97C62A">
            <w:pPr>
              <w:rPr>
                <w:rFonts w:hint="eastAsia"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421" w:type="dxa"/>
            <w:tcBorders>
              <w:top w:val="single" w:color="auto" w:sz="4" w:space="0"/>
              <w:left w:val="single" w:color="auto" w:sz="4" w:space="0"/>
              <w:bottom w:val="single" w:color="auto" w:sz="4" w:space="0"/>
              <w:right w:val="single" w:color="auto" w:sz="4" w:space="0"/>
            </w:tcBorders>
            <w:vAlign w:val="center"/>
          </w:tcPr>
          <w:p w14:paraId="34E3FB30">
            <w:pPr>
              <w:rPr>
                <w:rFonts w:hint="eastAsia"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14:paraId="53E76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8F02E40">
            <w:pPr>
              <w:rPr>
                <w:rFonts w:hint="eastAsia"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14:paraId="61269E22">
            <w:pPr>
              <w:rPr>
                <w:rFonts w:hint="eastAsia"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47C7308">
            <w:pPr>
              <w:rPr>
                <w:rFonts w:hint="eastAsia"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14:paraId="70E983E3">
            <w:pPr>
              <w:rPr>
                <w:rFonts w:hint="eastAsia"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268" w:type="dxa"/>
            <w:tcBorders>
              <w:top w:val="single" w:color="auto" w:sz="4" w:space="0"/>
              <w:left w:val="single" w:color="auto" w:sz="4" w:space="0"/>
              <w:bottom w:val="single" w:color="auto" w:sz="4" w:space="0"/>
              <w:right w:val="single" w:color="auto" w:sz="4" w:space="0"/>
            </w:tcBorders>
            <w:vAlign w:val="center"/>
          </w:tcPr>
          <w:p w14:paraId="7138FE81">
            <w:pPr>
              <w:rPr>
                <w:rFonts w:hint="eastAsia" w:ascii="宋体" w:hAnsi="宋体" w:cs="宋体"/>
                <w:sz w:val="18"/>
                <w:szCs w:val="18"/>
              </w:rPr>
            </w:pPr>
            <w:r>
              <w:rPr>
                <w:rFonts w:hint="eastAsia" w:ascii="宋体" w:hAnsi="宋体" w:cs="宋体"/>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421" w:type="dxa"/>
            <w:tcBorders>
              <w:top w:val="single" w:color="auto" w:sz="4" w:space="0"/>
              <w:left w:val="single" w:color="auto" w:sz="4" w:space="0"/>
              <w:bottom w:val="single" w:color="auto" w:sz="4" w:space="0"/>
              <w:right w:val="single" w:color="auto" w:sz="4" w:space="0"/>
            </w:tcBorders>
            <w:vAlign w:val="center"/>
          </w:tcPr>
          <w:p w14:paraId="1AA8DDC1">
            <w:pPr>
              <w:rPr>
                <w:rFonts w:hint="eastAsia"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14:paraId="048F2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6A3843B3">
            <w:pPr>
              <w:rPr>
                <w:rFonts w:hint="eastAsia"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14:paraId="6F5820E4">
            <w:pPr>
              <w:rPr>
                <w:rFonts w:hint="eastAsia"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5BB59D0C">
            <w:pPr>
              <w:rPr>
                <w:rFonts w:hint="eastAsia"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14:paraId="4D4003CB">
            <w:pPr>
              <w:rPr>
                <w:rFonts w:hint="eastAsia"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268" w:type="dxa"/>
            <w:tcBorders>
              <w:top w:val="single" w:color="auto" w:sz="4" w:space="0"/>
              <w:left w:val="single" w:color="auto" w:sz="4" w:space="0"/>
              <w:bottom w:val="single" w:color="auto" w:sz="4" w:space="0"/>
              <w:right w:val="single" w:color="auto" w:sz="4" w:space="0"/>
            </w:tcBorders>
            <w:vAlign w:val="center"/>
          </w:tcPr>
          <w:p w14:paraId="52253CD4">
            <w:pPr>
              <w:rPr>
                <w:rFonts w:hint="eastAsia" w:ascii="宋体" w:hAnsi="宋体" w:cs="宋体"/>
                <w:sz w:val="18"/>
                <w:szCs w:val="18"/>
              </w:rPr>
            </w:pPr>
            <w:r>
              <w:rPr>
                <w:rFonts w:hint="eastAsia" w:ascii="宋体" w:hAnsi="宋体" w:cs="宋体"/>
                <w:sz w:val="18"/>
                <w:szCs w:val="18"/>
              </w:rPr>
              <w:t>主题一：习近平新时代中国特色社会主义思想及其历史地位</w:t>
            </w:r>
          </w:p>
          <w:p w14:paraId="3DB960DF">
            <w:pPr>
              <w:rPr>
                <w:rFonts w:hint="eastAsia" w:ascii="宋体" w:hAnsi="宋体" w:cs="宋体"/>
                <w:sz w:val="18"/>
                <w:szCs w:val="18"/>
              </w:rPr>
            </w:pPr>
            <w:r>
              <w:rPr>
                <w:rFonts w:hint="eastAsia" w:ascii="宋体" w:hAnsi="宋体" w:cs="宋体"/>
                <w:sz w:val="18"/>
                <w:szCs w:val="18"/>
              </w:rPr>
              <w:t>主题二：坚持和发展中国特色社会主义的总任务</w:t>
            </w:r>
          </w:p>
          <w:p w14:paraId="43EEB99E">
            <w:pPr>
              <w:rPr>
                <w:rFonts w:hint="eastAsia" w:ascii="宋体" w:hAnsi="宋体" w:cs="宋体"/>
                <w:sz w:val="18"/>
                <w:szCs w:val="18"/>
              </w:rPr>
            </w:pPr>
            <w:r>
              <w:rPr>
                <w:rFonts w:hint="eastAsia" w:ascii="宋体" w:hAnsi="宋体" w:cs="宋体"/>
                <w:sz w:val="18"/>
                <w:szCs w:val="18"/>
              </w:rPr>
              <w:t>主题三:“五位一体”总体布局</w:t>
            </w:r>
          </w:p>
          <w:p w14:paraId="556CEA28">
            <w:pPr>
              <w:rPr>
                <w:rFonts w:hint="eastAsia" w:ascii="宋体" w:hAnsi="宋体" w:cs="宋体"/>
                <w:sz w:val="18"/>
                <w:szCs w:val="18"/>
              </w:rPr>
            </w:pPr>
            <w:r>
              <w:rPr>
                <w:rFonts w:hint="eastAsia" w:ascii="宋体" w:hAnsi="宋体" w:cs="宋体"/>
                <w:sz w:val="18"/>
                <w:szCs w:val="18"/>
              </w:rPr>
              <w:t>主题四:“四个全面”战略布局</w:t>
            </w:r>
          </w:p>
          <w:p w14:paraId="7F949A1D">
            <w:pPr>
              <w:rPr>
                <w:rFonts w:hint="eastAsia" w:ascii="宋体" w:hAnsi="宋体" w:cs="宋体"/>
                <w:sz w:val="18"/>
                <w:szCs w:val="18"/>
              </w:rPr>
            </w:pPr>
            <w:r>
              <w:rPr>
                <w:rFonts w:hint="eastAsia" w:ascii="宋体" w:hAnsi="宋体" w:cs="宋体"/>
                <w:sz w:val="18"/>
                <w:szCs w:val="18"/>
              </w:rPr>
              <w:t>主题五：实现中华民族伟大复兴的重要保障</w:t>
            </w:r>
          </w:p>
          <w:p w14:paraId="31BB5384">
            <w:pPr>
              <w:rPr>
                <w:rFonts w:hint="eastAsia" w:ascii="宋体" w:hAnsi="宋体" w:cs="宋体"/>
                <w:sz w:val="18"/>
                <w:szCs w:val="18"/>
              </w:rPr>
            </w:pPr>
            <w:r>
              <w:rPr>
                <w:rFonts w:hint="eastAsia" w:ascii="宋体" w:hAnsi="宋体" w:cs="宋体"/>
                <w:sz w:val="18"/>
                <w:szCs w:val="18"/>
              </w:rPr>
              <w:t>主题六：中国特色大国外交</w:t>
            </w:r>
          </w:p>
          <w:p w14:paraId="7CFDFE23">
            <w:pPr>
              <w:rPr>
                <w:rFonts w:hint="eastAsia" w:ascii="宋体" w:hAnsi="宋体" w:cs="宋体"/>
                <w:sz w:val="18"/>
                <w:szCs w:val="18"/>
              </w:rPr>
            </w:pPr>
            <w:r>
              <w:rPr>
                <w:rFonts w:hint="eastAsia" w:ascii="宋体" w:hAnsi="宋体" w:cs="宋体"/>
                <w:sz w:val="18"/>
                <w:szCs w:val="18"/>
              </w:rPr>
              <w:t>主题七:坚持和加强党的领导</w:t>
            </w:r>
          </w:p>
        </w:tc>
        <w:tc>
          <w:tcPr>
            <w:tcW w:w="1421" w:type="dxa"/>
            <w:tcBorders>
              <w:top w:val="single" w:color="auto" w:sz="4" w:space="0"/>
              <w:left w:val="single" w:color="auto" w:sz="4" w:space="0"/>
              <w:bottom w:val="single" w:color="auto" w:sz="4" w:space="0"/>
              <w:right w:val="single" w:color="auto" w:sz="4" w:space="0"/>
            </w:tcBorders>
            <w:vAlign w:val="center"/>
          </w:tcPr>
          <w:p w14:paraId="6298F25A">
            <w:pPr>
              <w:rPr>
                <w:rFonts w:hint="eastAsia"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14:paraId="0D3C4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7" w:hRule="atLeast"/>
          <w:jc w:val="center"/>
        </w:trPr>
        <w:tc>
          <w:tcPr>
            <w:tcW w:w="432" w:type="dxa"/>
            <w:tcBorders>
              <w:top w:val="single" w:color="auto" w:sz="4" w:space="0"/>
              <w:left w:val="single" w:color="auto" w:sz="4" w:space="0"/>
              <w:bottom w:val="single" w:color="auto" w:sz="4" w:space="0"/>
              <w:right w:val="single" w:color="auto" w:sz="4" w:space="0"/>
            </w:tcBorders>
            <w:vAlign w:val="center"/>
          </w:tcPr>
          <w:p w14:paraId="0897A920">
            <w:pPr>
              <w:rPr>
                <w:rFonts w:hint="eastAsia" w:ascii="宋体" w:hAnsi="宋体" w:eastAsia="宋体" w:cs="宋体"/>
                <w:sz w:val="18"/>
                <w:szCs w:val="18"/>
                <w:lang w:val="en-US" w:eastAsia="zh-CN"/>
              </w:rPr>
            </w:pPr>
            <w:r>
              <w:rPr>
                <w:rFonts w:hint="eastAsia" w:ascii="宋体" w:hAnsi="宋体" w:cs="宋体"/>
                <w:sz w:val="18"/>
                <w:szCs w:val="18"/>
                <w:lang w:val="en-US" w:eastAsia="zh-CN"/>
              </w:rPr>
              <w:t>4</w:t>
            </w:r>
          </w:p>
        </w:tc>
        <w:tc>
          <w:tcPr>
            <w:tcW w:w="709" w:type="dxa"/>
            <w:vMerge w:val="continue"/>
            <w:tcBorders>
              <w:left w:val="single" w:color="auto" w:sz="4" w:space="0"/>
              <w:right w:val="single" w:color="auto" w:sz="4" w:space="0"/>
            </w:tcBorders>
            <w:vAlign w:val="center"/>
          </w:tcPr>
          <w:p w14:paraId="38A86ABD">
            <w:pPr>
              <w:rPr>
                <w:rFonts w:hint="eastAsia"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129E6CB4">
            <w:pPr>
              <w:rPr>
                <w:rFonts w:hint="eastAsia" w:ascii="宋体" w:hAnsi="宋体" w:eastAsia="宋体" w:cs="宋体"/>
                <w:kern w:val="2"/>
                <w:sz w:val="18"/>
                <w:szCs w:val="18"/>
                <w:lang w:val="en-US" w:eastAsia="zh-CN" w:bidi="ar-SA"/>
              </w:rPr>
            </w:pPr>
            <w:r>
              <w:rPr>
                <w:rFonts w:hint="eastAsia" w:ascii="宋体" w:hAnsi="宋体" w:cs="宋体"/>
                <w:sz w:val="18"/>
                <w:szCs w:val="18"/>
              </w:rPr>
              <w:t>中华民族共同体概论</w:t>
            </w:r>
          </w:p>
        </w:tc>
        <w:tc>
          <w:tcPr>
            <w:tcW w:w="2410" w:type="dxa"/>
            <w:tcBorders>
              <w:top w:val="single" w:color="auto" w:sz="4" w:space="0"/>
              <w:left w:val="single" w:color="auto" w:sz="4" w:space="0"/>
              <w:bottom w:val="single" w:color="auto" w:sz="4" w:space="0"/>
              <w:right w:val="single" w:color="auto" w:sz="4" w:space="0"/>
            </w:tcBorders>
            <w:vAlign w:val="center"/>
          </w:tcPr>
          <w:p w14:paraId="54B982AD">
            <w:pPr>
              <w:rPr>
                <w:rFonts w:hint="eastAsia" w:ascii="宋体" w:hAnsi="宋体" w:eastAsia="宋体" w:cs="宋体"/>
                <w:kern w:val="2"/>
                <w:sz w:val="18"/>
                <w:szCs w:val="18"/>
                <w:lang w:val="en-US" w:eastAsia="zh-CN" w:bidi="ar-SA"/>
              </w:rPr>
            </w:pPr>
            <w:r>
              <w:rPr>
                <w:rFonts w:hint="eastAsia" w:ascii="宋体" w:hAnsi="宋体" w:cs="宋体"/>
                <w:sz w:val="18"/>
                <w:szCs w:val="18"/>
              </w:rPr>
              <w:t>旨在让学生了解和探讨中华民族共同体概念、特点、形成与发展的课程。通过本课程的学习，学生将了解中华民族的历史、文化、价值观和中国特色社会主义道路的形成，并深刻理解中华民族共同体的意义和建设目标。</w:t>
            </w:r>
          </w:p>
        </w:tc>
        <w:tc>
          <w:tcPr>
            <w:tcW w:w="2268" w:type="dxa"/>
            <w:tcBorders>
              <w:top w:val="single" w:color="auto" w:sz="4" w:space="0"/>
              <w:left w:val="single" w:color="auto" w:sz="4" w:space="0"/>
              <w:bottom w:val="single" w:color="auto" w:sz="4" w:space="0"/>
              <w:right w:val="single" w:color="auto" w:sz="4" w:space="0"/>
            </w:tcBorders>
            <w:vAlign w:val="center"/>
          </w:tcPr>
          <w:p w14:paraId="1C3C7D77">
            <w:pPr>
              <w:rPr>
                <w:rFonts w:hint="eastAsia" w:ascii="宋体" w:hAnsi="宋体" w:eastAsia="宋体" w:cs="宋体"/>
                <w:kern w:val="2"/>
                <w:sz w:val="18"/>
                <w:szCs w:val="18"/>
                <w:lang w:val="en-US" w:eastAsia="zh-CN" w:bidi="ar-SA"/>
              </w:rPr>
            </w:pPr>
            <w:r>
              <w:rPr>
                <w:rFonts w:hint="eastAsia" w:ascii="宋体" w:hAnsi="宋体" w:cs="宋体"/>
                <w:sz w:val="18"/>
                <w:szCs w:val="18"/>
              </w:rPr>
              <w:t>中华民族共同体的概念和内涵、中华民族的历史、中国特色社会主义与中华民族共同体、中华民族共同体建设的路径与原则、中华民族共同体的展望与发展目标</w:t>
            </w:r>
          </w:p>
        </w:tc>
        <w:tc>
          <w:tcPr>
            <w:tcW w:w="1421" w:type="dxa"/>
            <w:tcBorders>
              <w:top w:val="single" w:color="auto" w:sz="4" w:space="0"/>
              <w:left w:val="single" w:color="auto" w:sz="4" w:space="0"/>
              <w:bottom w:val="single" w:color="auto" w:sz="4" w:space="0"/>
              <w:right w:val="single" w:color="auto" w:sz="4" w:space="0"/>
            </w:tcBorders>
            <w:vAlign w:val="center"/>
          </w:tcPr>
          <w:p w14:paraId="4D5DD3C9">
            <w:pPr>
              <w:rPr>
                <w:rFonts w:hint="eastAsia" w:ascii="宋体" w:hAnsi="宋体" w:eastAsia="宋体" w:cs="宋体"/>
                <w:kern w:val="2"/>
                <w:sz w:val="18"/>
                <w:szCs w:val="18"/>
                <w:lang w:val="en-US" w:eastAsia="zh-CN" w:bidi="ar-SA"/>
              </w:rPr>
            </w:pPr>
            <w:r>
              <w:rPr>
                <w:rFonts w:hint="eastAsia" w:ascii="宋体" w:hAnsi="宋体" w:cs="宋体"/>
                <w:sz w:val="18"/>
                <w:szCs w:val="18"/>
              </w:rPr>
              <w:t>引导广大青年学生树立休戚与共、荣辱与共、生死与共、命运与共的共同体理念，不断增强学生对中华民族共同体的积极情感、认同态度，以及维护国家统一、民族团结的行为自觉。</w:t>
            </w:r>
          </w:p>
        </w:tc>
      </w:tr>
      <w:tr w14:paraId="39E7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766355E2">
            <w:pPr>
              <w:rPr>
                <w:rFonts w:hint="eastAsia" w:ascii="宋体" w:hAnsi="宋体" w:eastAsia="宋体" w:cs="宋体"/>
                <w:sz w:val="18"/>
                <w:szCs w:val="18"/>
                <w:lang w:eastAsia="zh-CN"/>
              </w:rPr>
            </w:pPr>
            <w:r>
              <w:rPr>
                <w:rFonts w:hint="eastAsia" w:ascii="宋体" w:hAnsi="宋体" w:cs="宋体"/>
                <w:sz w:val="18"/>
                <w:szCs w:val="18"/>
                <w:lang w:val="en-US" w:eastAsia="zh-CN"/>
              </w:rPr>
              <w:t>5</w:t>
            </w:r>
          </w:p>
        </w:tc>
        <w:tc>
          <w:tcPr>
            <w:tcW w:w="709" w:type="dxa"/>
            <w:vMerge w:val="continue"/>
            <w:tcBorders>
              <w:left w:val="single" w:color="auto" w:sz="4" w:space="0"/>
              <w:right w:val="single" w:color="auto" w:sz="4" w:space="0"/>
            </w:tcBorders>
            <w:vAlign w:val="center"/>
          </w:tcPr>
          <w:p w14:paraId="5C745647">
            <w:pPr>
              <w:rPr>
                <w:rFonts w:hint="eastAsia"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78216A0E">
            <w:pPr>
              <w:rPr>
                <w:rFonts w:hint="eastAsia" w:ascii="宋体" w:hAnsi="宋体" w:cs="宋体"/>
                <w:sz w:val="18"/>
                <w:szCs w:val="18"/>
              </w:rPr>
            </w:pPr>
            <w:r>
              <w:rPr>
                <w:rFonts w:hint="eastAsia" w:ascii="宋体" w:hAnsi="宋体" w:cs="宋体"/>
                <w:sz w:val="18"/>
                <w:szCs w:val="18"/>
              </w:rPr>
              <w:t>军事理论</w:t>
            </w:r>
          </w:p>
        </w:tc>
        <w:tc>
          <w:tcPr>
            <w:tcW w:w="2410" w:type="dxa"/>
            <w:tcBorders>
              <w:top w:val="single" w:color="auto" w:sz="4" w:space="0"/>
              <w:left w:val="single" w:color="auto" w:sz="4" w:space="0"/>
              <w:right w:val="single" w:color="auto" w:sz="4" w:space="0"/>
            </w:tcBorders>
            <w:vAlign w:val="center"/>
          </w:tcPr>
          <w:p w14:paraId="620DC907">
            <w:pPr>
              <w:rPr>
                <w:rFonts w:hint="eastAsia" w:ascii="宋体" w:hAnsi="宋体" w:cs="宋体"/>
                <w:sz w:val="18"/>
                <w:szCs w:val="18"/>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268" w:type="dxa"/>
            <w:tcBorders>
              <w:top w:val="single" w:color="auto" w:sz="4" w:space="0"/>
              <w:left w:val="single" w:color="auto" w:sz="4" w:space="0"/>
              <w:right w:val="single" w:color="auto" w:sz="4" w:space="0"/>
            </w:tcBorders>
            <w:vAlign w:val="center"/>
          </w:tcPr>
          <w:p w14:paraId="3AF275A8">
            <w:pPr>
              <w:rPr>
                <w:rFonts w:hint="eastAsia" w:ascii="宋体" w:hAnsi="宋体" w:cs="宋体"/>
                <w:sz w:val="18"/>
                <w:szCs w:val="18"/>
              </w:rPr>
            </w:pPr>
            <w:r>
              <w:rPr>
                <w:rFonts w:hint="eastAsia" w:ascii="宋体" w:hAnsi="宋体" w:cs="宋体"/>
                <w:sz w:val="18"/>
                <w:szCs w:val="18"/>
              </w:rPr>
              <w:t>（1）中国国防</w:t>
            </w:r>
          </w:p>
          <w:p w14:paraId="63BF3EF0">
            <w:pPr>
              <w:rPr>
                <w:rFonts w:hint="eastAsia" w:ascii="宋体" w:hAnsi="宋体" w:cs="宋体"/>
                <w:sz w:val="18"/>
                <w:szCs w:val="18"/>
              </w:rPr>
            </w:pPr>
            <w:r>
              <w:rPr>
                <w:rFonts w:hint="eastAsia" w:ascii="宋体" w:hAnsi="宋体" w:cs="宋体"/>
                <w:sz w:val="18"/>
                <w:szCs w:val="18"/>
              </w:rPr>
              <w:t>（2）国家安全</w:t>
            </w:r>
          </w:p>
          <w:p w14:paraId="73B636E1">
            <w:pPr>
              <w:rPr>
                <w:rFonts w:hint="eastAsia" w:ascii="宋体" w:hAnsi="宋体" w:cs="宋体"/>
                <w:sz w:val="18"/>
                <w:szCs w:val="18"/>
              </w:rPr>
            </w:pPr>
            <w:r>
              <w:rPr>
                <w:rFonts w:hint="eastAsia" w:ascii="宋体" w:hAnsi="宋体" w:cs="宋体"/>
                <w:sz w:val="18"/>
                <w:szCs w:val="18"/>
              </w:rPr>
              <w:t>（3）军事思想</w:t>
            </w:r>
          </w:p>
          <w:p w14:paraId="1C20AA2C">
            <w:pPr>
              <w:rPr>
                <w:rFonts w:hint="eastAsia" w:ascii="宋体" w:hAnsi="宋体" w:cs="宋体"/>
                <w:sz w:val="18"/>
                <w:szCs w:val="18"/>
              </w:rPr>
            </w:pPr>
            <w:r>
              <w:rPr>
                <w:rFonts w:hint="eastAsia" w:ascii="宋体" w:hAnsi="宋体" w:cs="宋体"/>
                <w:sz w:val="18"/>
                <w:szCs w:val="18"/>
              </w:rPr>
              <w:t>（4）现代战争</w:t>
            </w:r>
          </w:p>
          <w:p w14:paraId="3D825617">
            <w:pPr>
              <w:rPr>
                <w:rFonts w:hint="eastAsia" w:ascii="宋体" w:hAnsi="宋体" w:cs="宋体"/>
                <w:sz w:val="18"/>
                <w:szCs w:val="18"/>
              </w:rPr>
            </w:pPr>
            <w:r>
              <w:rPr>
                <w:rFonts w:hint="eastAsia" w:ascii="宋体" w:hAnsi="宋体" w:cs="宋体"/>
                <w:sz w:val="18"/>
                <w:szCs w:val="18"/>
              </w:rPr>
              <w:t>（5）信息化装备</w:t>
            </w:r>
          </w:p>
          <w:p w14:paraId="677D4642">
            <w:pPr>
              <w:rPr>
                <w:rFonts w:hint="eastAsia" w:ascii="宋体" w:hAnsi="宋体" w:cs="宋体"/>
                <w:sz w:val="18"/>
                <w:szCs w:val="18"/>
              </w:rPr>
            </w:pPr>
            <w:r>
              <w:rPr>
                <w:rFonts w:hint="eastAsia" w:ascii="宋体" w:hAnsi="宋体" w:cs="宋体"/>
                <w:sz w:val="18"/>
                <w:szCs w:val="18"/>
              </w:rPr>
              <w:t>（6）军事技能</w:t>
            </w:r>
          </w:p>
        </w:tc>
        <w:tc>
          <w:tcPr>
            <w:tcW w:w="1421" w:type="dxa"/>
            <w:tcBorders>
              <w:top w:val="single" w:color="auto" w:sz="4" w:space="0"/>
              <w:left w:val="single" w:color="auto" w:sz="4" w:space="0"/>
              <w:right w:val="single" w:color="auto" w:sz="4" w:space="0"/>
            </w:tcBorders>
            <w:vAlign w:val="center"/>
          </w:tcPr>
          <w:p w14:paraId="1152F00F">
            <w:pPr>
              <w:rPr>
                <w:rFonts w:hint="eastAsia" w:ascii="宋体" w:hAnsi="宋体" w:cs="宋体"/>
                <w:sz w:val="18"/>
                <w:szCs w:val="18"/>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14:paraId="13111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49D7B62">
            <w:pPr>
              <w:rPr>
                <w:rFonts w:hint="eastAsia" w:ascii="宋体" w:hAnsi="宋体" w:eastAsia="宋体" w:cs="宋体"/>
                <w:sz w:val="18"/>
                <w:szCs w:val="18"/>
                <w:lang w:eastAsia="zh-CN"/>
              </w:rPr>
            </w:pPr>
            <w:r>
              <w:rPr>
                <w:rFonts w:hint="eastAsia" w:ascii="宋体" w:hAnsi="宋体" w:cs="宋体"/>
                <w:sz w:val="18"/>
                <w:szCs w:val="18"/>
                <w:lang w:val="en-US" w:eastAsia="zh-CN"/>
              </w:rPr>
              <w:t>6</w:t>
            </w:r>
          </w:p>
        </w:tc>
        <w:tc>
          <w:tcPr>
            <w:tcW w:w="709" w:type="dxa"/>
            <w:vMerge w:val="continue"/>
            <w:tcBorders>
              <w:left w:val="single" w:color="auto" w:sz="4" w:space="0"/>
              <w:right w:val="single" w:color="auto" w:sz="4" w:space="0"/>
            </w:tcBorders>
            <w:vAlign w:val="center"/>
          </w:tcPr>
          <w:p w14:paraId="6C531CB6">
            <w:pPr>
              <w:rPr>
                <w:rFonts w:hint="eastAsia"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4FF086D">
            <w:pPr>
              <w:rPr>
                <w:rFonts w:hint="eastAsia" w:ascii="宋体" w:hAnsi="宋体" w:cs="宋体"/>
                <w:sz w:val="18"/>
                <w:szCs w:val="18"/>
              </w:rPr>
            </w:pPr>
            <w:r>
              <w:rPr>
                <w:rFonts w:hint="eastAsia" w:ascii="宋体" w:hAnsi="宋体" w:cs="宋体"/>
                <w:sz w:val="18"/>
                <w:szCs w:val="18"/>
              </w:rPr>
              <w:t>形势与政策</w:t>
            </w:r>
          </w:p>
        </w:tc>
        <w:tc>
          <w:tcPr>
            <w:tcW w:w="2410" w:type="dxa"/>
            <w:tcBorders>
              <w:top w:val="single" w:color="auto" w:sz="4" w:space="0"/>
              <w:left w:val="single" w:color="auto" w:sz="4" w:space="0"/>
              <w:bottom w:val="single" w:color="auto" w:sz="4" w:space="0"/>
              <w:right w:val="single" w:color="auto" w:sz="4" w:space="0"/>
            </w:tcBorders>
            <w:vAlign w:val="center"/>
          </w:tcPr>
          <w:p w14:paraId="5F52F887">
            <w:pPr>
              <w:rPr>
                <w:rFonts w:hint="eastAsia" w:ascii="宋体" w:hAnsi="宋体" w:cs="宋体"/>
                <w:sz w:val="18"/>
                <w:szCs w:val="18"/>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268" w:type="dxa"/>
            <w:tcBorders>
              <w:top w:val="single" w:color="auto" w:sz="4" w:space="0"/>
              <w:left w:val="single" w:color="auto" w:sz="4" w:space="0"/>
              <w:bottom w:val="single" w:color="auto" w:sz="4" w:space="0"/>
              <w:right w:val="single" w:color="auto" w:sz="4" w:space="0"/>
            </w:tcBorders>
            <w:vAlign w:val="center"/>
          </w:tcPr>
          <w:p w14:paraId="4E65950D">
            <w:pPr>
              <w:rPr>
                <w:rFonts w:hint="eastAsia" w:ascii="宋体" w:hAnsi="宋体" w:cs="宋体"/>
                <w:sz w:val="18"/>
                <w:szCs w:val="18"/>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421" w:type="dxa"/>
            <w:tcBorders>
              <w:top w:val="single" w:color="auto" w:sz="4" w:space="0"/>
              <w:left w:val="single" w:color="auto" w:sz="4" w:space="0"/>
              <w:bottom w:val="single" w:color="auto" w:sz="4" w:space="0"/>
              <w:right w:val="single" w:color="auto" w:sz="4" w:space="0"/>
            </w:tcBorders>
            <w:vAlign w:val="center"/>
          </w:tcPr>
          <w:p w14:paraId="57966435">
            <w:pPr>
              <w:rPr>
                <w:rFonts w:hint="eastAsia" w:ascii="宋体" w:hAnsi="宋体" w:cs="宋体"/>
                <w:sz w:val="18"/>
                <w:szCs w:val="18"/>
              </w:rPr>
            </w:pPr>
            <w:r>
              <w:rPr>
                <w:rFonts w:hint="eastAsia" w:ascii="宋体" w:hAnsi="宋体" w:cs="宋体"/>
                <w:sz w:val="18"/>
                <w:szCs w:val="18"/>
              </w:rPr>
              <w:t>通过教学，引导学生正确认识世界和中国发展大势，正确认识中国特色和国际比较，正确认识时代责任和历史使命，引导学生树立远大抱负，脚踏实地在实践中进行创新。</w:t>
            </w:r>
          </w:p>
        </w:tc>
      </w:tr>
      <w:tr w14:paraId="06172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1B2529B">
            <w:pPr>
              <w:rPr>
                <w:rFonts w:hint="default" w:ascii="宋体" w:hAnsi="宋体" w:eastAsia="宋体" w:cs="宋体"/>
                <w:sz w:val="18"/>
                <w:szCs w:val="18"/>
                <w:lang w:val="en-US" w:eastAsia="zh-CN"/>
              </w:rPr>
            </w:pPr>
            <w:r>
              <w:rPr>
                <w:rFonts w:hint="eastAsia" w:ascii="宋体" w:hAnsi="宋体" w:cs="宋体"/>
                <w:sz w:val="18"/>
                <w:szCs w:val="18"/>
                <w:lang w:val="en-US" w:eastAsia="zh-CN"/>
              </w:rPr>
              <w:t>7</w:t>
            </w:r>
          </w:p>
        </w:tc>
        <w:tc>
          <w:tcPr>
            <w:tcW w:w="709" w:type="dxa"/>
            <w:vMerge w:val="continue"/>
            <w:tcBorders>
              <w:left w:val="single" w:color="auto" w:sz="4" w:space="0"/>
              <w:right w:val="single" w:color="auto" w:sz="4" w:space="0"/>
            </w:tcBorders>
            <w:vAlign w:val="center"/>
          </w:tcPr>
          <w:p w14:paraId="5CF78928">
            <w:pPr>
              <w:rPr>
                <w:rFonts w:hint="eastAsia"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DABE691">
            <w:pPr>
              <w:rPr>
                <w:rFonts w:hint="eastAsia" w:ascii="宋体" w:hAnsi="宋体" w:cs="宋体"/>
                <w:sz w:val="18"/>
                <w:szCs w:val="18"/>
              </w:rPr>
            </w:pPr>
            <w:r>
              <w:rPr>
                <w:rFonts w:hint="eastAsia" w:ascii="宋体" w:hAnsi="宋体" w:cs="宋体"/>
                <w:sz w:val="18"/>
                <w:szCs w:val="18"/>
              </w:rPr>
              <w:t>信息技术</w:t>
            </w:r>
          </w:p>
        </w:tc>
        <w:tc>
          <w:tcPr>
            <w:tcW w:w="2410" w:type="dxa"/>
            <w:tcBorders>
              <w:top w:val="single" w:color="auto" w:sz="4" w:space="0"/>
              <w:left w:val="single" w:color="auto" w:sz="4" w:space="0"/>
              <w:bottom w:val="single" w:color="auto" w:sz="4" w:space="0"/>
              <w:right w:val="single" w:color="auto" w:sz="4" w:space="0"/>
            </w:tcBorders>
            <w:vAlign w:val="center"/>
          </w:tcPr>
          <w:p w14:paraId="5C002164">
            <w:pPr>
              <w:rPr>
                <w:rFonts w:hint="eastAsia" w:ascii="宋体" w:hAnsi="宋体" w:cs="宋体"/>
                <w:sz w:val="18"/>
                <w:szCs w:val="18"/>
              </w:rPr>
            </w:pPr>
            <w:r>
              <w:rPr>
                <w:rFonts w:hint="eastAsia" w:ascii="宋体" w:hAnsi="宋体" w:cs="宋体"/>
                <w:sz w:val="18"/>
                <w:szCs w:val="18"/>
              </w:rPr>
              <w:t>（1）掌握计算机的基础知识和基本概念；了解微机硬件系统的基本组成；了解操作系统的功能，掌握Windows7的基本操作方法</w:t>
            </w:r>
          </w:p>
          <w:p w14:paraId="11F7CFEF">
            <w:pPr>
              <w:rPr>
                <w:rFonts w:hint="eastAsia" w:ascii="宋体" w:hAnsi="宋体" w:cs="宋体"/>
                <w:sz w:val="18"/>
                <w:szCs w:val="18"/>
              </w:rPr>
            </w:pPr>
            <w:r>
              <w:rPr>
                <w:rFonts w:hint="eastAsia" w:ascii="宋体" w:hAnsi="宋体" w:cs="宋体"/>
                <w:sz w:val="18"/>
                <w:szCs w:val="18"/>
              </w:rPr>
              <w:t>（2）熟练使用微软Office2010软件如：Word2010、Excel2010、Power point2010等</w:t>
            </w:r>
          </w:p>
          <w:p w14:paraId="45333B67">
            <w:pPr>
              <w:rPr>
                <w:rFonts w:hint="eastAsia" w:ascii="宋体" w:hAnsi="宋体" w:cs="宋体"/>
                <w:sz w:val="18"/>
                <w:szCs w:val="18"/>
              </w:rPr>
            </w:pPr>
            <w:r>
              <w:rPr>
                <w:rFonts w:hint="eastAsia" w:ascii="宋体" w:hAnsi="宋体" w:cs="宋体"/>
                <w:sz w:val="18"/>
                <w:szCs w:val="18"/>
              </w:rPr>
              <w:t>（3）掌握计算机信息技术安全知识和病毒的防治知识</w:t>
            </w:r>
          </w:p>
          <w:p w14:paraId="300C4DE0">
            <w:pPr>
              <w:rPr>
                <w:rFonts w:hint="eastAsia" w:ascii="宋体" w:hAnsi="宋体" w:cs="宋体"/>
                <w:sz w:val="18"/>
                <w:szCs w:val="18"/>
              </w:rPr>
            </w:pPr>
            <w:r>
              <w:rPr>
                <w:rFonts w:hint="eastAsia" w:ascii="宋体" w:hAnsi="宋体" w:cs="宋体"/>
                <w:sz w:val="18"/>
                <w:szCs w:val="18"/>
              </w:rPr>
              <w:t>（4）计算机网络的基础知识及Internet网的基本操作</w:t>
            </w:r>
          </w:p>
        </w:tc>
        <w:tc>
          <w:tcPr>
            <w:tcW w:w="2268" w:type="dxa"/>
            <w:tcBorders>
              <w:top w:val="single" w:color="auto" w:sz="4" w:space="0"/>
              <w:left w:val="single" w:color="auto" w:sz="4" w:space="0"/>
              <w:bottom w:val="single" w:color="auto" w:sz="4" w:space="0"/>
              <w:right w:val="single" w:color="auto" w:sz="4" w:space="0"/>
            </w:tcBorders>
            <w:vAlign w:val="center"/>
          </w:tcPr>
          <w:p w14:paraId="63027D3A">
            <w:pPr>
              <w:rPr>
                <w:rFonts w:hint="eastAsia" w:ascii="宋体" w:hAnsi="宋体" w:cs="宋体"/>
                <w:sz w:val="18"/>
                <w:szCs w:val="18"/>
              </w:rPr>
            </w:pPr>
            <w:r>
              <w:rPr>
                <w:rFonts w:hint="eastAsia" w:ascii="宋体" w:hAnsi="宋体" w:cs="宋体"/>
                <w:sz w:val="18"/>
                <w:szCs w:val="18"/>
              </w:rPr>
              <w:t>（1）计算机的基础知识</w:t>
            </w:r>
          </w:p>
          <w:p w14:paraId="13DB1E28">
            <w:pPr>
              <w:rPr>
                <w:rFonts w:hint="eastAsia" w:ascii="宋体" w:hAnsi="宋体" w:cs="宋体"/>
                <w:sz w:val="18"/>
                <w:szCs w:val="18"/>
              </w:rPr>
            </w:pPr>
            <w:r>
              <w:rPr>
                <w:rFonts w:hint="eastAsia" w:ascii="宋体" w:hAnsi="宋体" w:cs="宋体"/>
                <w:sz w:val="18"/>
                <w:szCs w:val="18"/>
              </w:rPr>
              <w:t>（2）Windows基本操作</w:t>
            </w:r>
          </w:p>
          <w:p w14:paraId="6D3C8BCF">
            <w:pPr>
              <w:rPr>
                <w:rFonts w:hint="eastAsia" w:ascii="宋体" w:hAnsi="宋体" w:cs="宋体"/>
                <w:sz w:val="18"/>
                <w:szCs w:val="18"/>
              </w:rPr>
            </w:pPr>
            <w:r>
              <w:rPr>
                <w:rFonts w:hint="eastAsia" w:ascii="宋体" w:hAnsi="宋体" w:cs="宋体"/>
                <w:sz w:val="18"/>
                <w:szCs w:val="18"/>
              </w:rPr>
              <w:t>（3）文字处理软件Word2010使用</w:t>
            </w:r>
          </w:p>
          <w:p w14:paraId="4F021B87">
            <w:pPr>
              <w:rPr>
                <w:rFonts w:hint="eastAsia" w:ascii="宋体" w:hAnsi="宋体" w:cs="宋体"/>
                <w:sz w:val="18"/>
                <w:szCs w:val="18"/>
              </w:rPr>
            </w:pPr>
            <w:r>
              <w:rPr>
                <w:rFonts w:hint="eastAsia" w:ascii="宋体" w:hAnsi="宋体" w:cs="宋体"/>
                <w:sz w:val="18"/>
                <w:szCs w:val="18"/>
              </w:rPr>
              <w:t>（4）电子表格软件Excel2010的使用</w:t>
            </w:r>
          </w:p>
          <w:p w14:paraId="76F0AF81">
            <w:pPr>
              <w:rPr>
                <w:rFonts w:hint="eastAsia" w:ascii="宋体" w:hAnsi="宋体" w:cs="宋体"/>
                <w:sz w:val="18"/>
                <w:szCs w:val="18"/>
              </w:rPr>
            </w:pPr>
            <w:r>
              <w:rPr>
                <w:rFonts w:hint="eastAsia" w:ascii="宋体" w:hAnsi="宋体" w:cs="宋体"/>
                <w:sz w:val="18"/>
                <w:szCs w:val="18"/>
              </w:rPr>
              <w:t>（5）幻灯片制作软件Power point2010的操作</w:t>
            </w:r>
          </w:p>
          <w:p w14:paraId="2E236BCF">
            <w:pPr>
              <w:rPr>
                <w:rFonts w:hint="eastAsia" w:ascii="宋体" w:hAnsi="宋体" w:cs="宋体"/>
                <w:sz w:val="18"/>
                <w:szCs w:val="18"/>
              </w:rPr>
            </w:pPr>
            <w:r>
              <w:rPr>
                <w:rFonts w:hint="eastAsia" w:ascii="宋体" w:hAnsi="宋体" w:cs="宋体"/>
                <w:sz w:val="18"/>
                <w:szCs w:val="18"/>
              </w:rPr>
              <w:t>（6）计算机的网络及安全处理</w:t>
            </w:r>
          </w:p>
        </w:tc>
        <w:tc>
          <w:tcPr>
            <w:tcW w:w="1421" w:type="dxa"/>
            <w:tcBorders>
              <w:top w:val="single" w:color="auto" w:sz="4" w:space="0"/>
              <w:left w:val="single" w:color="auto" w:sz="4" w:space="0"/>
              <w:bottom w:val="single" w:color="auto" w:sz="4" w:space="0"/>
              <w:right w:val="single" w:color="auto" w:sz="4" w:space="0"/>
            </w:tcBorders>
            <w:vAlign w:val="center"/>
          </w:tcPr>
          <w:p w14:paraId="7D9E9668">
            <w:pPr>
              <w:rPr>
                <w:rFonts w:hint="eastAsia"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62C0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168601C">
            <w:pPr>
              <w:rPr>
                <w:rFonts w:hint="eastAsia" w:ascii="宋体" w:hAnsi="宋体" w:eastAsia="宋体" w:cs="宋体"/>
                <w:sz w:val="18"/>
                <w:szCs w:val="18"/>
                <w:lang w:eastAsia="zh-CN"/>
              </w:rPr>
            </w:pPr>
            <w:r>
              <w:rPr>
                <w:rFonts w:hint="eastAsia" w:ascii="宋体" w:hAnsi="宋体" w:cs="宋体"/>
                <w:sz w:val="18"/>
                <w:szCs w:val="18"/>
                <w:lang w:val="en-US" w:eastAsia="zh-CN"/>
              </w:rPr>
              <w:t>8</w:t>
            </w:r>
          </w:p>
        </w:tc>
        <w:tc>
          <w:tcPr>
            <w:tcW w:w="709" w:type="dxa"/>
            <w:vMerge w:val="continue"/>
            <w:tcBorders>
              <w:left w:val="single" w:color="auto" w:sz="4" w:space="0"/>
              <w:right w:val="single" w:color="auto" w:sz="4" w:space="0"/>
            </w:tcBorders>
            <w:vAlign w:val="center"/>
          </w:tcPr>
          <w:p w14:paraId="29CF6EF5">
            <w:pPr>
              <w:rPr>
                <w:rFonts w:hint="eastAsia"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7D4CCBE2">
            <w:pPr>
              <w:rPr>
                <w:rFonts w:hint="eastAsia"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14:paraId="0F46F005">
            <w:pPr>
              <w:rPr>
                <w:rFonts w:hint="eastAsia"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268" w:type="dxa"/>
            <w:tcBorders>
              <w:top w:val="single" w:color="auto" w:sz="4" w:space="0"/>
              <w:left w:val="single" w:color="auto" w:sz="4" w:space="0"/>
              <w:bottom w:val="single" w:color="auto" w:sz="4" w:space="0"/>
              <w:right w:val="single" w:color="auto" w:sz="4" w:space="0"/>
            </w:tcBorders>
            <w:vAlign w:val="center"/>
          </w:tcPr>
          <w:p w14:paraId="05A7B1F3">
            <w:pPr>
              <w:rPr>
                <w:rFonts w:hint="eastAsia" w:ascii="宋体" w:hAnsi="宋体" w:cs="宋体"/>
                <w:sz w:val="18"/>
                <w:szCs w:val="18"/>
              </w:rPr>
            </w:pPr>
            <w:r>
              <w:rPr>
                <w:rFonts w:hint="eastAsia" w:ascii="宋体" w:hAnsi="宋体" w:cs="宋体"/>
                <w:sz w:val="18"/>
                <w:szCs w:val="18"/>
              </w:rPr>
              <w:t>（1）用于日常交际及一般涉外业务的基本词汇；</w:t>
            </w:r>
          </w:p>
          <w:p w14:paraId="6C23DF59">
            <w:pPr>
              <w:rPr>
                <w:rFonts w:hint="eastAsia" w:ascii="宋体" w:hAnsi="宋体" w:cs="宋体"/>
                <w:sz w:val="18"/>
                <w:szCs w:val="18"/>
              </w:rPr>
            </w:pPr>
            <w:r>
              <w:rPr>
                <w:rFonts w:hint="eastAsia" w:ascii="宋体" w:hAnsi="宋体" w:cs="宋体"/>
                <w:sz w:val="18"/>
                <w:szCs w:val="18"/>
              </w:rPr>
              <w:t>（2）语法基础知识；</w:t>
            </w:r>
          </w:p>
          <w:p w14:paraId="467A416F">
            <w:pPr>
              <w:rPr>
                <w:rFonts w:hint="eastAsia" w:ascii="宋体" w:hAnsi="宋体" w:cs="宋体"/>
                <w:sz w:val="18"/>
                <w:szCs w:val="18"/>
              </w:rPr>
            </w:pPr>
            <w:r>
              <w:rPr>
                <w:rFonts w:hint="eastAsia" w:ascii="宋体" w:hAnsi="宋体" w:cs="宋体"/>
                <w:sz w:val="18"/>
                <w:szCs w:val="18"/>
              </w:rPr>
              <w:t>（3）语用知识；</w:t>
            </w:r>
          </w:p>
          <w:p w14:paraId="09345B18">
            <w:pPr>
              <w:rPr>
                <w:rFonts w:hint="eastAsia" w:ascii="宋体" w:hAnsi="宋体" w:cs="宋体"/>
                <w:sz w:val="18"/>
                <w:szCs w:val="18"/>
              </w:rPr>
            </w:pPr>
            <w:r>
              <w:rPr>
                <w:rFonts w:hint="eastAsia" w:ascii="宋体" w:hAnsi="宋体" w:cs="宋体"/>
                <w:sz w:val="18"/>
                <w:szCs w:val="18"/>
              </w:rPr>
              <w:t>（4）中外优秀文化知识通过本门课程的学习</w:t>
            </w:r>
          </w:p>
        </w:tc>
        <w:tc>
          <w:tcPr>
            <w:tcW w:w="1421" w:type="dxa"/>
            <w:tcBorders>
              <w:top w:val="single" w:color="auto" w:sz="4" w:space="0"/>
              <w:left w:val="single" w:color="auto" w:sz="4" w:space="0"/>
              <w:bottom w:val="single" w:color="auto" w:sz="4" w:space="0"/>
              <w:right w:val="single" w:color="auto" w:sz="4" w:space="0"/>
            </w:tcBorders>
            <w:vAlign w:val="center"/>
          </w:tcPr>
          <w:p w14:paraId="67F4C527">
            <w:pPr>
              <w:rPr>
                <w:rFonts w:hint="eastAsia"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2CEA4917">
            <w:pPr>
              <w:rPr>
                <w:rFonts w:hint="eastAsia" w:ascii="宋体" w:hAnsi="宋体" w:cs="宋体"/>
                <w:sz w:val="18"/>
                <w:szCs w:val="18"/>
              </w:rPr>
            </w:pPr>
          </w:p>
        </w:tc>
      </w:tr>
      <w:tr w14:paraId="1C7D4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6270E6C">
            <w:pPr>
              <w:rPr>
                <w:rFonts w:hint="eastAsia" w:ascii="宋体" w:hAnsi="宋体" w:eastAsia="宋体" w:cs="宋体"/>
                <w:sz w:val="18"/>
                <w:szCs w:val="18"/>
                <w:lang w:eastAsia="zh-CN"/>
              </w:rPr>
            </w:pPr>
            <w:r>
              <w:rPr>
                <w:rFonts w:hint="eastAsia" w:ascii="宋体" w:hAnsi="宋体" w:cs="宋体"/>
                <w:sz w:val="18"/>
                <w:szCs w:val="18"/>
                <w:lang w:val="en-US" w:eastAsia="zh-CN"/>
              </w:rPr>
              <w:t>9</w:t>
            </w:r>
          </w:p>
        </w:tc>
        <w:tc>
          <w:tcPr>
            <w:tcW w:w="709" w:type="dxa"/>
            <w:vMerge w:val="continue"/>
            <w:tcBorders>
              <w:left w:val="single" w:color="auto" w:sz="4" w:space="0"/>
              <w:right w:val="single" w:color="auto" w:sz="4" w:space="0"/>
            </w:tcBorders>
            <w:vAlign w:val="center"/>
          </w:tcPr>
          <w:p w14:paraId="381F5990">
            <w:pPr>
              <w:rPr>
                <w:rFonts w:hint="eastAsia"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1384CD0C">
            <w:pPr>
              <w:rPr>
                <w:rFonts w:hint="eastAsia"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14:paraId="3EE4C0B9">
            <w:pPr>
              <w:rPr>
                <w:rFonts w:hint="eastAsia" w:ascii="宋体" w:hAnsi="宋体" w:cs="宋体"/>
                <w:sz w:val="18"/>
                <w:szCs w:val="18"/>
              </w:rPr>
            </w:pPr>
            <w:r>
              <w:rPr>
                <w:rFonts w:hint="eastAsia" w:ascii="宋体" w:hAnsi="宋体" w:cs="宋体"/>
                <w:sz w:val="18"/>
                <w:szCs w:val="18"/>
              </w:rPr>
              <w:t>（1）坚持以“健康第一”的思想为导向，培养学生自主体育意识和体育行为为目标</w:t>
            </w:r>
          </w:p>
          <w:p w14:paraId="201E51FE">
            <w:pPr>
              <w:rPr>
                <w:rFonts w:hint="eastAsia" w:ascii="宋体" w:hAnsi="宋体" w:cs="宋体"/>
                <w:sz w:val="18"/>
                <w:szCs w:val="18"/>
              </w:rPr>
            </w:pPr>
            <w:r>
              <w:rPr>
                <w:rFonts w:hint="eastAsia" w:ascii="宋体" w:hAnsi="宋体" w:cs="宋体"/>
                <w:sz w:val="18"/>
                <w:szCs w:val="18"/>
              </w:rPr>
              <w:t>（2）使学生熟练掌握1-2项以上体育健身的手段和方法，树立终身体育的思想，成为中国传统体育的传播者和社会体育的积极参加者</w:t>
            </w:r>
          </w:p>
        </w:tc>
        <w:tc>
          <w:tcPr>
            <w:tcW w:w="2268" w:type="dxa"/>
            <w:tcBorders>
              <w:top w:val="single" w:color="auto" w:sz="4" w:space="0"/>
              <w:left w:val="single" w:color="auto" w:sz="4" w:space="0"/>
              <w:bottom w:val="single" w:color="auto" w:sz="4" w:space="0"/>
              <w:right w:val="single" w:color="auto" w:sz="4" w:space="0"/>
            </w:tcBorders>
            <w:vAlign w:val="center"/>
          </w:tcPr>
          <w:p w14:paraId="7D5D3E61">
            <w:pPr>
              <w:rPr>
                <w:rFonts w:hint="eastAsia" w:ascii="宋体" w:hAnsi="宋体" w:cs="宋体"/>
                <w:sz w:val="18"/>
                <w:szCs w:val="18"/>
              </w:rPr>
            </w:pPr>
            <w:r>
              <w:rPr>
                <w:rFonts w:hint="eastAsia" w:ascii="宋体" w:hAnsi="宋体" w:cs="宋体"/>
                <w:sz w:val="18"/>
                <w:szCs w:val="18"/>
              </w:rPr>
              <w:t>田径</w:t>
            </w:r>
          </w:p>
          <w:p w14:paraId="7C608B6D">
            <w:pPr>
              <w:rPr>
                <w:rFonts w:hint="eastAsia" w:ascii="宋体" w:hAnsi="宋体" w:cs="宋体"/>
                <w:sz w:val="18"/>
                <w:szCs w:val="18"/>
              </w:rPr>
            </w:pPr>
            <w:r>
              <w:rPr>
                <w:rFonts w:hint="eastAsia" w:ascii="宋体" w:hAnsi="宋体" w:cs="宋体"/>
                <w:sz w:val="18"/>
                <w:szCs w:val="18"/>
              </w:rPr>
              <w:t>篮球</w:t>
            </w:r>
          </w:p>
          <w:p w14:paraId="7BA8545B">
            <w:pPr>
              <w:rPr>
                <w:rFonts w:hint="eastAsia" w:ascii="宋体" w:hAnsi="宋体" w:cs="宋体"/>
                <w:sz w:val="18"/>
                <w:szCs w:val="18"/>
              </w:rPr>
            </w:pPr>
            <w:r>
              <w:rPr>
                <w:rFonts w:hint="eastAsia" w:ascii="宋体" w:hAnsi="宋体" w:cs="宋体"/>
                <w:sz w:val="18"/>
                <w:szCs w:val="18"/>
              </w:rPr>
              <w:t>武术</w:t>
            </w:r>
          </w:p>
          <w:p w14:paraId="61123731">
            <w:pPr>
              <w:rPr>
                <w:rFonts w:hint="eastAsia" w:ascii="宋体" w:hAnsi="宋体" w:cs="宋体"/>
                <w:sz w:val="18"/>
                <w:szCs w:val="18"/>
              </w:rPr>
            </w:pPr>
            <w:r>
              <w:rPr>
                <w:rFonts w:hint="eastAsia" w:ascii="宋体" w:hAnsi="宋体" w:cs="宋体"/>
                <w:sz w:val="18"/>
                <w:szCs w:val="18"/>
              </w:rPr>
              <w:t>体育舞蹈</w:t>
            </w:r>
          </w:p>
          <w:p w14:paraId="6DF6710E">
            <w:pPr>
              <w:rPr>
                <w:rFonts w:hint="eastAsia" w:ascii="宋体" w:hAnsi="宋体" w:cs="宋体"/>
                <w:sz w:val="18"/>
                <w:szCs w:val="18"/>
              </w:rPr>
            </w:pPr>
            <w:r>
              <w:rPr>
                <w:rFonts w:hint="eastAsia" w:ascii="宋体" w:hAnsi="宋体" w:cs="宋体"/>
                <w:sz w:val="18"/>
                <w:szCs w:val="18"/>
              </w:rPr>
              <w:t>健身健美</w:t>
            </w:r>
          </w:p>
          <w:p w14:paraId="6F3F3B06">
            <w:pPr>
              <w:rPr>
                <w:rFonts w:hint="eastAsia" w:ascii="宋体" w:hAnsi="宋体" w:cs="宋体"/>
                <w:sz w:val="18"/>
                <w:szCs w:val="18"/>
              </w:rPr>
            </w:pPr>
            <w:r>
              <w:rPr>
                <w:rFonts w:hint="eastAsia" w:ascii="宋体" w:hAnsi="宋体" w:cs="宋体"/>
                <w:sz w:val="18"/>
                <w:szCs w:val="18"/>
              </w:rPr>
              <w:t>乒乓球</w:t>
            </w:r>
          </w:p>
          <w:p w14:paraId="43C525EA">
            <w:pPr>
              <w:rPr>
                <w:rFonts w:hint="eastAsia" w:ascii="宋体" w:hAnsi="宋体" w:cs="宋体"/>
                <w:sz w:val="18"/>
                <w:szCs w:val="18"/>
              </w:rPr>
            </w:pPr>
            <w:r>
              <w:rPr>
                <w:rFonts w:hint="eastAsia" w:ascii="宋体" w:hAnsi="宋体" w:cs="宋体"/>
                <w:sz w:val="18"/>
                <w:szCs w:val="18"/>
              </w:rPr>
              <w:t>足球</w:t>
            </w:r>
          </w:p>
          <w:p w14:paraId="36628A1E">
            <w:pPr>
              <w:rPr>
                <w:rFonts w:hint="eastAsia" w:ascii="宋体" w:hAnsi="宋体" w:cs="宋体"/>
                <w:sz w:val="18"/>
                <w:szCs w:val="18"/>
              </w:rPr>
            </w:pPr>
            <w:r>
              <w:rPr>
                <w:rFonts w:hint="eastAsia" w:ascii="宋体" w:hAnsi="宋体" w:cs="宋体"/>
                <w:sz w:val="18"/>
                <w:szCs w:val="18"/>
              </w:rPr>
              <w:t>排球</w:t>
            </w:r>
          </w:p>
          <w:p w14:paraId="4C0E6CEC">
            <w:pPr>
              <w:rPr>
                <w:rFonts w:hint="eastAsia" w:ascii="宋体" w:hAnsi="宋体" w:cs="宋体"/>
                <w:sz w:val="18"/>
                <w:szCs w:val="18"/>
              </w:rPr>
            </w:pPr>
            <w:r>
              <w:rPr>
                <w:rFonts w:hint="eastAsia" w:ascii="宋体" w:hAnsi="宋体" w:cs="宋体"/>
                <w:sz w:val="18"/>
                <w:szCs w:val="18"/>
              </w:rPr>
              <w:t>羽毛球</w:t>
            </w:r>
          </w:p>
          <w:p w14:paraId="303F5FB8">
            <w:pPr>
              <w:rPr>
                <w:rFonts w:hint="eastAsia" w:ascii="宋体" w:hAnsi="宋体" w:cs="宋体"/>
                <w:sz w:val="18"/>
                <w:szCs w:val="18"/>
              </w:rPr>
            </w:pPr>
            <w:r>
              <w:rPr>
                <w:rFonts w:hint="eastAsia" w:ascii="宋体" w:hAnsi="宋体" w:cs="宋体"/>
                <w:sz w:val="18"/>
                <w:szCs w:val="18"/>
              </w:rPr>
              <w:t>网球</w:t>
            </w:r>
          </w:p>
        </w:tc>
        <w:tc>
          <w:tcPr>
            <w:tcW w:w="1421" w:type="dxa"/>
            <w:tcBorders>
              <w:top w:val="single" w:color="auto" w:sz="4" w:space="0"/>
              <w:left w:val="single" w:color="auto" w:sz="4" w:space="0"/>
              <w:bottom w:val="single" w:color="auto" w:sz="4" w:space="0"/>
              <w:right w:val="single" w:color="auto" w:sz="4" w:space="0"/>
            </w:tcBorders>
            <w:vAlign w:val="center"/>
          </w:tcPr>
          <w:p w14:paraId="1C3EC9EE">
            <w:pPr>
              <w:rPr>
                <w:rFonts w:hint="eastAsia"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04DC4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81F0550">
            <w:pPr>
              <w:rPr>
                <w:rFonts w:hint="default" w:ascii="宋体" w:hAnsi="宋体" w:eastAsia="宋体" w:cs="宋体"/>
                <w:sz w:val="18"/>
                <w:szCs w:val="18"/>
                <w:lang w:val="en-US" w:eastAsia="zh-CN"/>
              </w:rPr>
            </w:pPr>
            <w:bookmarkStart w:id="37" w:name="OLE_LINK2" w:colFirst="2" w:colLast="5"/>
            <w:r>
              <w:rPr>
                <w:rFonts w:hint="eastAsia" w:ascii="宋体" w:hAnsi="宋体" w:cs="宋体"/>
                <w:sz w:val="18"/>
                <w:szCs w:val="18"/>
                <w:lang w:val="en-US" w:eastAsia="zh-CN"/>
              </w:rPr>
              <w:t>10</w:t>
            </w:r>
          </w:p>
        </w:tc>
        <w:tc>
          <w:tcPr>
            <w:tcW w:w="709" w:type="dxa"/>
            <w:vMerge w:val="continue"/>
            <w:tcBorders>
              <w:left w:val="single" w:color="auto" w:sz="4" w:space="0"/>
              <w:right w:val="single" w:color="auto" w:sz="4" w:space="0"/>
            </w:tcBorders>
            <w:vAlign w:val="center"/>
          </w:tcPr>
          <w:p w14:paraId="4E956740">
            <w:pPr>
              <w:rPr>
                <w:rFonts w:hint="eastAsia"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10620DB8">
            <w:pPr>
              <w:rPr>
                <w:rFonts w:hint="eastAsia" w:ascii="宋体" w:hAnsi="宋体" w:cs="宋体"/>
                <w:sz w:val="18"/>
                <w:szCs w:val="18"/>
              </w:rPr>
            </w:pPr>
            <w:r>
              <w:rPr>
                <w:rFonts w:hint="eastAsia" w:ascii="宋体" w:hAnsi="宋体" w:cs="宋体"/>
                <w:sz w:val="18"/>
                <w:szCs w:val="18"/>
              </w:rPr>
              <w:t>大学生职业生涯规划与就业创业教育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270CD2B0">
            <w:pPr>
              <w:rPr>
                <w:rFonts w:hint="eastAsia"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268" w:type="dxa"/>
            <w:tcBorders>
              <w:top w:val="single" w:color="auto" w:sz="4" w:space="0"/>
              <w:left w:val="single" w:color="auto" w:sz="4" w:space="0"/>
              <w:bottom w:val="single" w:color="auto" w:sz="4" w:space="0"/>
              <w:right w:val="single" w:color="auto" w:sz="4" w:space="0"/>
            </w:tcBorders>
            <w:vAlign w:val="center"/>
          </w:tcPr>
          <w:p w14:paraId="76183605">
            <w:pPr>
              <w:rPr>
                <w:rFonts w:hint="eastAsia" w:ascii="宋体" w:hAnsi="宋体" w:cs="宋体"/>
                <w:sz w:val="18"/>
                <w:szCs w:val="18"/>
              </w:rPr>
            </w:pPr>
            <w:r>
              <w:rPr>
                <w:rFonts w:hint="eastAsia" w:ascii="宋体" w:hAnsi="宋体" w:cs="宋体"/>
                <w:sz w:val="18"/>
                <w:szCs w:val="18"/>
              </w:rPr>
              <w:t>（1）就业形势与政策</w:t>
            </w:r>
          </w:p>
          <w:p w14:paraId="1A7DEBBC">
            <w:pPr>
              <w:rPr>
                <w:rFonts w:hint="eastAsia" w:ascii="宋体" w:hAnsi="宋体" w:cs="宋体"/>
                <w:sz w:val="18"/>
                <w:szCs w:val="18"/>
              </w:rPr>
            </w:pPr>
            <w:r>
              <w:rPr>
                <w:rFonts w:hint="eastAsia" w:ascii="宋体" w:hAnsi="宋体" w:cs="宋体"/>
                <w:sz w:val="18"/>
                <w:szCs w:val="18"/>
              </w:rPr>
              <w:t>（2）就业前的准备</w:t>
            </w:r>
          </w:p>
          <w:p w14:paraId="7E5C86EC">
            <w:pPr>
              <w:rPr>
                <w:rFonts w:hint="eastAsia" w:ascii="宋体" w:hAnsi="宋体" w:cs="宋体"/>
                <w:sz w:val="18"/>
                <w:szCs w:val="18"/>
              </w:rPr>
            </w:pPr>
            <w:r>
              <w:rPr>
                <w:rFonts w:hint="eastAsia" w:ascii="宋体" w:hAnsi="宋体" w:cs="宋体"/>
                <w:sz w:val="18"/>
                <w:szCs w:val="18"/>
              </w:rPr>
              <w:t>（3）求职与面试</w:t>
            </w:r>
          </w:p>
          <w:p w14:paraId="2BC67A30">
            <w:pPr>
              <w:rPr>
                <w:rFonts w:hint="eastAsia" w:ascii="宋体" w:hAnsi="宋体" w:cs="宋体"/>
                <w:sz w:val="18"/>
                <w:szCs w:val="18"/>
              </w:rPr>
            </w:pPr>
            <w:r>
              <w:rPr>
                <w:rFonts w:hint="eastAsia" w:ascii="宋体" w:hAnsi="宋体" w:cs="宋体"/>
                <w:sz w:val="18"/>
                <w:szCs w:val="18"/>
              </w:rPr>
              <w:t>（4）就业法律保护</w:t>
            </w:r>
          </w:p>
          <w:p w14:paraId="5037CFF6">
            <w:pPr>
              <w:rPr>
                <w:rFonts w:hint="eastAsia" w:ascii="宋体" w:hAnsi="宋体" w:cs="宋体"/>
                <w:sz w:val="18"/>
                <w:szCs w:val="18"/>
              </w:rPr>
            </w:pPr>
            <w:r>
              <w:rPr>
                <w:rFonts w:hint="eastAsia" w:ascii="宋体" w:hAnsi="宋体" w:cs="宋体"/>
                <w:sz w:val="18"/>
                <w:szCs w:val="18"/>
              </w:rPr>
              <w:t>（5）入职与发展</w:t>
            </w:r>
          </w:p>
          <w:p w14:paraId="5EC1DBD2">
            <w:pPr>
              <w:rPr>
                <w:rFonts w:hint="eastAsia" w:ascii="宋体" w:hAnsi="宋体" w:cs="宋体"/>
                <w:sz w:val="18"/>
                <w:szCs w:val="18"/>
              </w:rPr>
            </w:pPr>
            <w:r>
              <w:rPr>
                <w:rFonts w:hint="eastAsia" w:ascii="宋体" w:hAnsi="宋体" w:cs="宋体"/>
                <w:sz w:val="18"/>
                <w:szCs w:val="18"/>
              </w:rPr>
              <w:t>（6）创新创业教育</w:t>
            </w:r>
          </w:p>
        </w:tc>
        <w:tc>
          <w:tcPr>
            <w:tcW w:w="1421" w:type="dxa"/>
            <w:tcBorders>
              <w:top w:val="single" w:color="auto" w:sz="4" w:space="0"/>
              <w:left w:val="single" w:color="auto" w:sz="4" w:space="0"/>
              <w:bottom w:val="single" w:color="auto" w:sz="4" w:space="0"/>
              <w:right w:val="single" w:color="auto" w:sz="4" w:space="0"/>
            </w:tcBorders>
            <w:vAlign w:val="center"/>
          </w:tcPr>
          <w:p w14:paraId="7D783848">
            <w:pPr>
              <w:rPr>
                <w:rFonts w:hint="eastAsia"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bookmarkEnd w:id="37"/>
      <w:tr w14:paraId="41B6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6EEA8AA">
            <w:pPr>
              <w:rPr>
                <w:rFonts w:hint="default" w:ascii="宋体" w:hAnsi="宋体" w:eastAsia="宋体" w:cs="宋体"/>
                <w:sz w:val="18"/>
                <w:szCs w:val="18"/>
                <w:lang w:val="en-US" w:eastAsia="zh-CN"/>
              </w:rPr>
            </w:pPr>
            <w:r>
              <w:rPr>
                <w:rFonts w:hint="eastAsia" w:ascii="宋体" w:hAnsi="宋体" w:cs="宋体"/>
                <w:sz w:val="18"/>
                <w:szCs w:val="18"/>
                <w:lang w:val="en-US" w:eastAsia="zh-CN"/>
              </w:rPr>
              <w:t>11</w:t>
            </w:r>
          </w:p>
        </w:tc>
        <w:tc>
          <w:tcPr>
            <w:tcW w:w="709" w:type="dxa"/>
            <w:vMerge w:val="continue"/>
            <w:tcBorders>
              <w:left w:val="single" w:color="auto" w:sz="4" w:space="0"/>
              <w:right w:val="single" w:color="auto" w:sz="4" w:space="0"/>
            </w:tcBorders>
            <w:vAlign w:val="center"/>
          </w:tcPr>
          <w:p w14:paraId="0942211E">
            <w:pPr>
              <w:rPr>
                <w:rFonts w:hint="eastAsia"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015BBF6">
            <w:pPr>
              <w:rPr>
                <w:rFonts w:hint="eastAsia" w:ascii="宋体" w:hAnsi="宋体" w:cs="宋体"/>
                <w:sz w:val="18"/>
                <w:szCs w:val="18"/>
              </w:rPr>
            </w:pP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14:paraId="24C53628">
            <w:pPr>
              <w:rPr>
                <w:rFonts w:hint="eastAsia"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268" w:type="dxa"/>
            <w:tcBorders>
              <w:top w:val="single" w:color="auto" w:sz="4" w:space="0"/>
              <w:left w:val="single" w:color="auto" w:sz="4" w:space="0"/>
              <w:bottom w:val="single" w:color="auto" w:sz="4" w:space="0"/>
              <w:right w:val="single" w:color="auto" w:sz="4" w:space="0"/>
            </w:tcBorders>
            <w:vAlign w:val="center"/>
          </w:tcPr>
          <w:p w14:paraId="273EC636">
            <w:pPr>
              <w:rPr>
                <w:rFonts w:hint="eastAsia" w:ascii="宋体" w:hAnsi="宋体" w:cs="宋体"/>
                <w:sz w:val="18"/>
                <w:szCs w:val="18"/>
              </w:rPr>
            </w:pPr>
            <w:r>
              <w:rPr>
                <w:rFonts w:hint="eastAsia" w:ascii="宋体" w:hAnsi="宋体" w:cs="宋体"/>
                <w:sz w:val="18"/>
                <w:szCs w:val="18"/>
              </w:rPr>
              <w:t>（1）心理健康维护</w:t>
            </w:r>
          </w:p>
          <w:p w14:paraId="6C81C4FE">
            <w:pPr>
              <w:rPr>
                <w:rFonts w:hint="eastAsia" w:ascii="宋体" w:hAnsi="宋体" w:cs="宋体"/>
                <w:sz w:val="18"/>
                <w:szCs w:val="18"/>
              </w:rPr>
            </w:pPr>
            <w:r>
              <w:rPr>
                <w:rFonts w:hint="eastAsia" w:ascii="宋体" w:hAnsi="宋体" w:cs="宋体"/>
                <w:sz w:val="18"/>
                <w:szCs w:val="18"/>
              </w:rPr>
              <w:t>（2）心理发展成熟</w:t>
            </w:r>
          </w:p>
          <w:p w14:paraId="6E205E40">
            <w:pPr>
              <w:rPr>
                <w:rFonts w:hint="eastAsia" w:ascii="宋体" w:hAnsi="宋体" w:cs="宋体"/>
                <w:sz w:val="18"/>
                <w:szCs w:val="18"/>
              </w:rPr>
            </w:pPr>
            <w:r>
              <w:rPr>
                <w:rFonts w:hint="eastAsia" w:ascii="宋体" w:hAnsi="宋体" w:cs="宋体"/>
                <w:sz w:val="18"/>
                <w:szCs w:val="18"/>
              </w:rPr>
              <w:t>（3）心理素质培养</w:t>
            </w:r>
          </w:p>
          <w:p w14:paraId="60F58274">
            <w:pPr>
              <w:rPr>
                <w:rFonts w:hint="eastAsia" w:ascii="宋体" w:hAnsi="宋体" w:cs="宋体"/>
                <w:sz w:val="18"/>
                <w:szCs w:val="18"/>
              </w:rPr>
            </w:pPr>
            <w:r>
              <w:rPr>
                <w:rFonts w:hint="eastAsia" w:ascii="宋体" w:hAnsi="宋体" w:cs="宋体"/>
                <w:sz w:val="18"/>
                <w:szCs w:val="18"/>
              </w:rPr>
              <w:t>（4）积极人格铸造</w:t>
            </w:r>
          </w:p>
          <w:p w14:paraId="6D56CC3B">
            <w:pPr>
              <w:rPr>
                <w:rFonts w:hint="eastAsia" w:ascii="宋体" w:hAnsi="宋体" w:cs="宋体"/>
                <w:sz w:val="18"/>
                <w:szCs w:val="18"/>
              </w:rPr>
            </w:pPr>
            <w:r>
              <w:rPr>
                <w:rFonts w:hint="eastAsia" w:ascii="宋体" w:hAnsi="宋体" w:cs="宋体"/>
                <w:sz w:val="18"/>
                <w:szCs w:val="18"/>
              </w:rPr>
              <w:t>（5）大学生心理素质</w:t>
            </w:r>
          </w:p>
        </w:tc>
        <w:tc>
          <w:tcPr>
            <w:tcW w:w="1421" w:type="dxa"/>
            <w:tcBorders>
              <w:top w:val="single" w:color="auto" w:sz="4" w:space="0"/>
              <w:left w:val="single" w:color="auto" w:sz="4" w:space="0"/>
              <w:bottom w:val="single" w:color="auto" w:sz="4" w:space="0"/>
              <w:right w:val="single" w:color="auto" w:sz="4" w:space="0"/>
            </w:tcBorders>
            <w:vAlign w:val="center"/>
          </w:tcPr>
          <w:p w14:paraId="4FCD2444">
            <w:pPr>
              <w:rPr>
                <w:rFonts w:hint="eastAsia"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14:paraId="04C5B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794D371">
            <w:pPr>
              <w:rPr>
                <w:rFonts w:hint="eastAsia" w:ascii="宋体" w:hAnsi="宋体" w:eastAsia="宋体" w:cs="宋体"/>
                <w:sz w:val="18"/>
                <w:szCs w:val="18"/>
                <w:lang w:val="en-US" w:eastAsia="zh-CN"/>
              </w:rPr>
            </w:pPr>
            <w:r>
              <w:rPr>
                <w:rFonts w:hint="eastAsia" w:ascii="宋体" w:hAnsi="宋体" w:cs="宋体"/>
                <w:sz w:val="18"/>
                <w:szCs w:val="18"/>
              </w:rPr>
              <w:t>1</w:t>
            </w:r>
            <w:r>
              <w:rPr>
                <w:rFonts w:hint="eastAsia" w:ascii="宋体" w:hAnsi="宋体" w:cs="宋体"/>
                <w:sz w:val="18"/>
                <w:szCs w:val="18"/>
                <w:lang w:val="en-US" w:eastAsia="zh-CN"/>
              </w:rPr>
              <w:t>2</w:t>
            </w:r>
          </w:p>
        </w:tc>
        <w:tc>
          <w:tcPr>
            <w:tcW w:w="709" w:type="dxa"/>
            <w:vMerge w:val="continue"/>
            <w:tcBorders>
              <w:left w:val="single" w:color="auto" w:sz="4" w:space="0"/>
              <w:right w:val="single" w:color="auto" w:sz="4" w:space="0"/>
            </w:tcBorders>
            <w:vAlign w:val="center"/>
          </w:tcPr>
          <w:p w14:paraId="7FFDC0EB">
            <w:pPr>
              <w:rPr>
                <w:rFonts w:hint="eastAsia"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4B2B3D7A">
            <w:pPr>
              <w:rPr>
                <w:rFonts w:hint="eastAsia" w:ascii="宋体" w:hAnsi="宋体" w:cs="宋体"/>
                <w:sz w:val="18"/>
                <w:szCs w:val="18"/>
              </w:rPr>
            </w:pPr>
            <w:r>
              <w:rPr>
                <w:rFonts w:hint="eastAsia" w:ascii="宋体" w:hAnsi="宋体" w:cs="宋体"/>
                <w:sz w:val="18"/>
                <w:szCs w:val="18"/>
              </w:rPr>
              <w:t>中华传统文化</w:t>
            </w:r>
          </w:p>
        </w:tc>
        <w:tc>
          <w:tcPr>
            <w:tcW w:w="2410" w:type="dxa"/>
            <w:tcBorders>
              <w:top w:val="single" w:color="auto" w:sz="4" w:space="0"/>
              <w:left w:val="single" w:color="auto" w:sz="4" w:space="0"/>
              <w:bottom w:val="single" w:color="auto" w:sz="4" w:space="0"/>
              <w:right w:val="single" w:color="auto" w:sz="4" w:space="0"/>
            </w:tcBorders>
          </w:tcPr>
          <w:p w14:paraId="524EB511">
            <w:pPr>
              <w:rPr>
                <w:rFonts w:hint="eastAsia" w:ascii="宋体" w:hAnsi="宋体" w:cs="宋体"/>
                <w:sz w:val="18"/>
                <w:szCs w:val="18"/>
              </w:rPr>
            </w:pPr>
            <w:r>
              <w:rPr>
                <w:rFonts w:hint="eastAsia" w:ascii="宋体" w:hAnsi="宋体" w:cs="宋体"/>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268" w:type="dxa"/>
            <w:tcBorders>
              <w:top w:val="single" w:color="auto" w:sz="4" w:space="0"/>
              <w:left w:val="single" w:color="auto" w:sz="4" w:space="0"/>
              <w:bottom w:val="single" w:color="auto" w:sz="4" w:space="0"/>
              <w:right w:val="single" w:color="auto" w:sz="4" w:space="0"/>
            </w:tcBorders>
          </w:tcPr>
          <w:p w14:paraId="522CD66C">
            <w:pPr>
              <w:rPr>
                <w:rFonts w:hint="eastAsia" w:ascii="宋体" w:hAnsi="宋体" w:cs="宋体"/>
                <w:sz w:val="18"/>
                <w:szCs w:val="18"/>
              </w:rPr>
            </w:pPr>
            <w:r>
              <w:rPr>
                <w:rFonts w:hint="eastAsia" w:ascii="宋体" w:hAnsi="宋体" w:cs="宋体"/>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1421" w:type="dxa"/>
            <w:tcBorders>
              <w:top w:val="single" w:color="auto" w:sz="4" w:space="0"/>
              <w:left w:val="single" w:color="auto" w:sz="4" w:space="0"/>
              <w:bottom w:val="single" w:color="auto" w:sz="4" w:space="0"/>
              <w:right w:val="single" w:color="auto" w:sz="4" w:space="0"/>
            </w:tcBorders>
          </w:tcPr>
          <w:p w14:paraId="6291B981">
            <w:pPr>
              <w:rPr>
                <w:rFonts w:hint="eastAsia" w:ascii="宋体" w:hAnsi="宋体" w:cs="宋体"/>
                <w:sz w:val="18"/>
                <w:szCs w:val="18"/>
              </w:rPr>
            </w:pPr>
            <w:r>
              <w:rPr>
                <w:rFonts w:hint="eastAsia" w:ascii="宋体" w:hAnsi="宋体" w:cs="宋体"/>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14:paraId="7FA4C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4FAC5A3">
            <w:pPr>
              <w:rPr>
                <w:rFonts w:hint="default" w:ascii="宋体" w:hAnsi="宋体" w:eastAsia="宋体" w:cs="宋体"/>
                <w:sz w:val="18"/>
                <w:szCs w:val="18"/>
                <w:lang w:val="en-US" w:eastAsia="zh-CN"/>
              </w:rPr>
            </w:pPr>
            <w:r>
              <w:rPr>
                <w:rFonts w:hint="eastAsia" w:ascii="宋体" w:hAnsi="宋体" w:cs="宋体"/>
                <w:sz w:val="18"/>
                <w:szCs w:val="18"/>
                <w:lang w:val="en-US" w:eastAsia="zh-CN"/>
              </w:rPr>
              <w:t>13</w:t>
            </w:r>
          </w:p>
        </w:tc>
        <w:tc>
          <w:tcPr>
            <w:tcW w:w="709" w:type="dxa"/>
            <w:vMerge w:val="continue"/>
            <w:tcBorders>
              <w:left w:val="single" w:color="auto" w:sz="4" w:space="0"/>
              <w:right w:val="single" w:color="auto" w:sz="4" w:space="0"/>
            </w:tcBorders>
            <w:vAlign w:val="center"/>
          </w:tcPr>
          <w:p w14:paraId="1E523212">
            <w:pPr>
              <w:rPr>
                <w:rFonts w:hint="eastAsia"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5BAD331">
            <w:pPr>
              <w:rPr>
                <w:rFonts w:hint="eastAsia" w:ascii="宋体" w:hAnsi="宋体" w:cs="宋体"/>
                <w:sz w:val="18"/>
                <w:szCs w:val="18"/>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vAlign w:val="center"/>
          </w:tcPr>
          <w:p w14:paraId="42765376">
            <w:pPr>
              <w:shd w:val="clear" w:color="auto" w:fill="FFFFFF"/>
              <w:rPr>
                <w:sz w:val="18"/>
                <w:szCs w:val="18"/>
              </w:rPr>
            </w:pPr>
            <w:r>
              <w:rPr>
                <w:sz w:val="18"/>
                <w:szCs w:val="18"/>
              </w:rPr>
              <w:t>（1）树立正确的劳动观念。</w:t>
            </w:r>
          </w:p>
          <w:p w14:paraId="7F4A044C">
            <w:pPr>
              <w:shd w:val="clear" w:color="auto" w:fill="FFFFFF"/>
              <w:rPr>
                <w:sz w:val="18"/>
                <w:szCs w:val="18"/>
              </w:rPr>
            </w:pPr>
            <w:r>
              <w:rPr>
                <w:sz w:val="18"/>
                <w:szCs w:val="18"/>
              </w:rPr>
              <w:t>（2）具有必备的劳动能力。</w:t>
            </w:r>
          </w:p>
          <w:p w14:paraId="6752006A">
            <w:pPr>
              <w:shd w:val="clear" w:color="auto" w:fill="FFFFFF"/>
              <w:rPr>
                <w:sz w:val="18"/>
                <w:szCs w:val="18"/>
              </w:rPr>
            </w:pPr>
            <w:r>
              <w:rPr>
                <w:sz w:val="18"/>
                <w:szCs w:val="18"/>
              </w:rPr>
              <w:t>（3）培育积极的劳动精神。</w:t>
            </w:r>
          </w:p>
          <w:p w14:paraId="097AB3AA">
            <w:pPr>
              <w:rPr>
                <w:rFonts w:hint="eastAsia" w:ascii="宋体" w:hAnsi="宋体" w:cs="宋体"/>
                <w:sz w:val="18"/>
                <w:szCs w:val="18"/>
              </w:rPr>
            </w:pPr>
            <w:r>
              <w:rPr>
                <w:sz w:val="18"/>
                <w:szCs w:val="18"/>
              </w:rPr>
              <w:t>（4）养成良好的劳动习惯和品质。</w:t>
            </w:r>
          </w:p>
        </w:tc>
        <w:tc>
          <w:tcPr>
            <w:tcW w:w="2268" w:type="dxa"/>
            <w:tcBorders>
              <w:top w:val="single" w:color="auto" w:sz="4" w:space="0"/>
              <w:left w:val="single" w:color="auto" w:sz="4" w:space="0"/>
              <w:bottom w:val="single" w:color="auto" w:sz="4" w:space="0"/>
              <w:right w:val="single" w:color="auto" w:sz="4" w:space="0"/>
            </w:tcBorders>
            <w:vAlign w:val="center"/>
          </w:tcPr>
          <w:p w14:paraId="40FF5F7C">
            <w:pPr>
              <w:rPr>
                <w:rFonts w:hint="eastAsia" w:ascii="宋体" w:hAnsi="宋体" w:cs="宋体"/>
                <w:sz w:val="18"/>
                <w:szCs w:val="18"/>
              </w:rPr>
            </w:pPr>
            <w:r>
              <w:rPr>
                <w:rFonts w:hint="eastAsia" w:ascii="宋体" w:hAnsi="宋体"/>
                <w:sz w:val="18"/>
                <w:szCs w:val="18"/>
              </w:rPr>
              <w:t>（1）</w:t>
            </w:r>
            <w:r>
              <w:rPr>
                <w:rFonts w:ascii="宋体" w:hAnsi="宋体"/>
                <w:sz w:val="18"/>
                <w:szCs w:val="18"/>
              </w:rPr>
              <w:t>劳动精神、劳模精神、工匠精神、劳动组织、劳动安全和劳动法规等；</w:t>
            </w:r>
            <w:r>
              <w:rPr>
                <w:rFonts w:hint="eastAsia" w:ascii="宋体" w:hAnsi="宋体"/>
                <w:sz w:val="18"/>
                <w:szCs w:val="18"/>
              </w:rPr>
              <w:t>（2）</w:t>
            </w:r>
            <w:r>
              <w:rPr>
                <w:rFonts w:hint="eastAsia" w:ascii="宋体" w:hAnsi="宋体" w:cs="宋体"/>
                <w:sz w:val="18"/>
                <w:szCs w:val="18"/>
              </w:rPr>
              <w:t>日常生活劳动、生产劳动和服务性劳动中的知识、技能与价值观。</w:t>
            </w:r>
          </w:p>
        </w:tc>
        <w:tc>
          <w:tcPr>
            <w:tcW w:w="1421" w:type="dxa"/>
            <w:tcBorders>
              <w:top w:val="single" w:color="auto" w:sz="4" w:space="0"/>
              <w:left w:val="single" w:color="auto" w:sz="4" w:space="0"/>
              <w:bottom w:val="single" w:color="auto" w:sz="4" w:space="0"/>
              <w:right w:val="single" w:color="auto" w:sz="4" w:space="0"/>
            </w:tcBorders>
            <w:vAlign w:val="center"/>
          </w:tcPr>
          <w:p w14:paraId="6A109687">
            <w:pPr>
              <w:rPr>
                <w:rFonts w:hint="eastAsia" w:ascii="宋体" w:hAnsi="宋体" w:cs="宋体"/>
                <w:sz w:val="18"/>
                <w:szCs w:val="18"/>
              </w:rPr>
            </w:pPr>
            <w:r>
              <w:rPr>
                <w:rFonts w:hint="eastAsia" w:ascii="宋体" w:hAnsi="宋体" w:cs="宋体"/>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14:paraId="60A621A5">
            <w:pPr>
              <w:rPr>
                <w:rFonts w:hint="eastAsia" w:ascii="宋体" w:hAnsi="宋体" w:cs="宋体"/>
                <w:sz w:val="18"/>
                <w:szCs w:val="18"/>
              </w:rPr>
            </w:pPr>
          </w:p>
        </w:tc>
      </w:tr>
      <w:tr w14:paraId="0454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2" w:hRule="atLeast"/>
          <w:jc w:val="center"/>
        </w:trPr>
        <w:tc>
          <w:tcPr>
            <w:tcW w:w="432" w:type="dxa"/>
            <w:tcBorders>
              <w:top w:val="single" w:color="auto" w:sz="4" w:space="0"/>
              <w:left w:val="single" w:color="auto" w:sz="4" w:space="0"/>
              <w:bottom w:val="single" w:color="auto" w:sz="4" w:space="0"/>
              <w:right w:val="single" w:color="auto" w:sz="4" w:space="0"/>
            </w:tcBorders>
            <w:vAlign w:val="center"/>
          </w:tcPr>
          <w:p w14:paraId="0DFE8D97">
            <w:pPr>
              <w:rPr>
                <w:rFonts w:hint="default" w:ascii="宋体" w:hAnsi="宋体" w:cs="宋体"/>
                <w:sz w:val="18"/>
                <w:szCs w:val="18"/>
                <w:lang w:val="en-US" w:eastAsia="zh-CN"/>
              </w:rPr>
            </w:pPr>
            <w:bookmarkStart w:id="38" w:name="OLE_LINK3" w:colFirst="2" w:colLast="5"/>
            <w:bookmarkStart w:id="39" w:name="OLE_LINK1" w:colFirst="2" w:colLast="5"/>
            <w:r>
              <w:rPr>
                <w:rFonts w:hint="eastAsia" w:ascii="宋体" w:hAnsi="宋体" w:cs="宋体"/>
                <w:sz w:val="18"/>
                <w:szCs w:val="18"/>
                <w:lang w:val="en-US" w:eastAsia="zh-CN"/>
              </w:rPr>
              <w:t>14</w:t>
            </w:r>
          </w:p>
        </w:tc>
        <w:tc>
          <w:tcPr>
            <w:tcW w:w="709" w:type="dxa"/>
            <w:tcBorders>
              <w:left w:val="single" w:color="auto" w:sz="4" w:space="0"/>
              <w:right w:val="single" w:color="auto" w:sz="4" w:space="0"/>
            </w:tcBorders>
            <w:vAlign w:val="center"/>
          </w:tcPr>
          <w:p w14:paraId="5E03BC02">
            <w:pPr>
              <w:rPr>
                <w:rFonts w:hint="eastAsia"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110E09F">
            <w:pPr>
              <w:rPr>
                <w:rFonts w:hint="eastAsia" w:ascii="宋体" w:hAnsi="宋体" w:eastAsia="宋体" w:cs="宋体"/>
                <w:kern w:val="2"/>
                <w:sz w:val="18"/>
                <w:szCs w:val="18"/>
                <w:lang w:val="en-US" w:eastAsia="zh-CN" w:bidi="ar-SA"/>
              </w:rPr>
            </w:pPr>
            <w:r>
              <w:rPr>
                <w:rFonts w:hint="eastAsia" w:ascii="宋体" w:hAnsi="宋体" w:cs="宋体"/>
                <w:sz w:val="18"/>
                <w:szCs w:val="18"/>
              </w:rPr>
              <w:t>国家安全教育</w:t>
            </w:r>
          </w:p>
        </w:tc>
        <w:tc>
          <w:tcPr>
            <w:tcW w:w="2410" w:type="dxa"/>
            <w:tcBorders>
              <w:top w:val="single" w:color="auto" w:sz="4" w:space="0"/>
              <w:left w:val="single" w:color="auto" w:sz="4" w:space="0"/>
              <w:bottom w:val="single" w:color="auto" w:sz="4" w:space="0"/>
              <w:right w:val="single" w:color="auto" w:sz="4" w:space="0"/>
            </w:tcBorders>
            <w:vAlign w:val="center"/>
          </w:tcPr>
          <w:p w14:paraId="23100AFA">
            <w:pPr>
              <w:rPr>
                <w:rFonts w:hint="eastAsia" w:ascii="宋体" w:hAnsi="宋体" w:eastAsia="宋体" w:cs="宋体"/>
                <w:kern w:val="2"/>
                <w:sz w:val="18"/>
                <w:szCs w:val="18"/>
                <w:lang w:val="en-US" w:eastAsia="zh-CN" w:bidi="ar-SA"/>
              </w:rPr>
            </w:pPr>
            <w:r>
              <w:rPr>
                <w:rFonts w:hint="eastAsia" w:ascii="宋体" w:hAnsi="宋体" w:cs="宋体"/>
                <w:color w:val="000000"/>
                <w:sz w:val="19"/>
                <w:szCs w:val="19"/>
                <w:shd w:val="clear" w:color="auto" w:fill="FFFFFF"/>
              </w:rPr>
              <w:t>以总体国家安全观为科学指导，坚持党对国家安全教育的绝对领导，坚持以构建国家安全教育体系为途径，重点围绕理解中华民族命运与国家关系，践行总体国家安全观。学生系统掌握总体国家安全观的内涵和精神实质，理解中国特色国家安全体系，树立国家安全底线思维，将国家安全意识转化为自觉行动，强化学生责任担当。</w:t>
            </w:r>
          </w:p>
        </w:tc>
        <w:tc>
          <w:tcPr>
            <w:tcW w:w="2268" w:type="dxa"/>
            <w:tcBorders>
              <w:top w:val="single" w:color="auto" w:sz="4" w:space="0"/>
              <w:left w:val="single" w:color="auto" w:sz="4" w:space="0"/>
              <w:bottom w:val="single" w:color="auto" w:sz="4" w:space="0"/>
              <w:right w:val="single" w:color="auto" w:sz="4" w:space="0"/>
            </w:tcBorders>
            <w:vAlign w:val="center"/>
          </w:tcPr>
          <w:p w14:paraId="12B4D4B9">
            <w:pPr>
              <w:rPr>
                <w:rFonts w:hint="eastAsia" w:ascii="宋体" w:hAnsi="宋体" w:eastAsia="宋体" w:cs="宋体"/>
                <w:kern w:val="2"/>
                <w:sz w:val="18"/>
                <w:szCs w:val="18"/>
                <w:lang w:val="en-US" w:eastAsia="zh-CN" w:bidi="ar-SA"/>
              </w:rPr>
            </w:pPr>
            <w:r>
              <w:rPr>
                <w:rFonts w:hint="eastAsia" w:ascii="宋体" w:hAnsi="宋体" w:cs="宋体"/>
                <w:sz w:val="18"/>
                <w:szCs w:val="18"/>
              </w:rPr>
              <w:t>国家安全观、政治安全、国土安全、军事安全、经济安全、文化安全、社会安全、科技安全、网络安全、生态安全、资源安全、核安全、海外利益安全、新型领域安全等内容;公共安全教育主要包括人身安全、公共卫生安全、财产安全、心理安全、消防安全、应急处置、预防违法犯罪、防范邪教等内容。</w:t>
            </w:r>
          </w:p>
        </w:tc>
        <w:tc>
          <w:tcPr>
            <w:tcW w:w="1421" w:type="dxa"/>
            <w:tcBorders>
              <w:top w:val="single" w:color="auto" w:sz="4" w:space="0"/>
              <w:left w:val="single" w:color="auto" w:sz="4" w:space="0"/>
              <w:bottom w:val="single" w:color="auto" w:sz="4" w:space="0"/>
              <w:right w:val="single" w:color="auto" w:sz="4" w:space="0"/>
            </w:tcBorders>
            <w:vAlign w:val="center"/>
          </w:tcPr>
          <w:p w14:paraId="17C5AFF8">
            <w:pPr>
              <w:rPr>
                <w:rFonts w:hint="eastAsia" w:ascii="宋体" w:hAnsi="宋体" w:eastAsia="宋体" w:cs="宋体"/>
                <w:kern w:val="2"/>
                <w:sz w:val="18"/>
                <w:szCs w:val="18"/>
                <w:lang w:val="en-US" w:eastAsia="zh-CN" w:bidi="ar-SA"/>
              </w:rPr>
            </w:pPr>
            <w:r>
              <w:rPr>
                <w:rFonts w:hint="eastAsia" w:ascii="宋体" w:hAnsi="宋体" w:cs="宋体"/>
                <w:sz w:val="18"/>
                <w:szCs w:val="18"/>
              </w:rPr>
              <w:t>提高新时代大学生的国家安全意识和自我保护能力，在潜移默化中坚定学生理想信念、厚植爱国主义情怀，加强品德修养，增长知识见识，培养奋斗精神，提升学生综合素质。</w:t>
            </w:r>
          </w:p>
        </w:tc>
      </w:tr>
      <w:bookmarkEnd w:id="38"/>
      <w:tr w14:paraId="38A06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2" w:hRule="atLeast"/>
          <w:jc w:val="center"/>
        </w:trPr>
        <w:tc>
          <w:tcPr>
            <w:tcW w:w="432" w:type="dxa"/>
            <w:tcBorders>
              <w:top w:val="single" w:color="auto" w:sz="4" w:space="0"/>
              <w:left w:val="single" w:color="auto" w:sz="4" w:space="0"/>
              <w:bottom w:val="single" w:color="auto" w:sz="4" w:space="0"/>
              <w:right w:val="single" w:color="auto" w:sz="4" w:space="0"/>
            </w:tcBorders>
            <w:vAlign w:val="center"/>
          </w:tcPr>
          <w:p w14:paraId="0C65AA9A">
            <w:pPr>
              <w:rPr>
                <w:rFonts w:hint="default" w:ascii="宋体" w:hAnsi="宋体" w:cs="宋体"/>
                <w:sz w:val="18"/>
                <w:szCs w:val="18"/>
                <w:lang w:val="en-US" w:eastAsia="zh-CN"/>
              </w:rPr>
            </w:pPr>
            <w:r>
              <w:rPr>
                <w:rFonts w:hint="eastAsia" w:ascii="宋体" w:hAnsi="宋体" w:cs="宋体"/>
                <w:sz w:val="18"/>
                <w:szCs w:val="18"/>
                <w:lang w:val="en-US" w:eastAsia="zh-CN"/>
              </w:rPr>
              <w:t>15</w:t>
            </w:r>
          </w:p>
        </w:tc>
        <w:tc>
          <w:tcPr>
            <w:tcW w:w="709" w:type="dxa"/>
            <w:tcBorders>
              <w:left w:val="single" w:color="auto" w:sz="4" w:space="0"/>
              <w:right w:val="single" w:color="auto" w:sz="4" w:space="0"/>
            </w:tcBorders>
            <w:vAlign w:val="center"/>
          </w:tcPr>
          <w:p w14:paraId="5A947024">
            <w:pPr>
              <w:rPr>
                <w:rFonts w:hint="eastAsia"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9DD3464">
            <w:pPr>
              <w:rPr>
                <w:rFonts w:hint="eastAsia" w:ascii="宋体" w:hAnsi="宋体" w:eastAsia="宋体" w:cs="宋体"/>
                <w:kern w:val="2"/>
                <w:sz w:val="18"/>
                <w:szCs w:val="18"/>
                <w:lang w:val="en-US" w:eastAsia="zh-CN" w:bidi="ar-SA"/>
              </w:rPr>
            </w:pPr>
            <w:r>
              <w:rPr>
                <w:rFonts w:hint="eastAsia" w:ascii="宋体" w:hAnsi="宋体" w:cs="宋体"/>
                <w:sz w:val="18"/>
                <w:szCs w:val="18"/>
              </w:rPr>
              <w:t>美育</w:t>
            </w:r>
          </w:p>
        </w:tc>
        <w:tc>
          <w:tcPr>
            <w:tcW w:w="2410" w:type="dxa"/>
            <w:tcBorders>
              <w:top w:val="single" w:color="auto" w:sz="4" w:space="0"/>
              <w:left w:val="single" w:color="auto" w:sz="4" w:space="0"/>
              <w:bottom w:val="single" w:color="auto" w:sz="4" w:space="0"/>
              <w:right w:val="single" w:color="auto" w:sz="4" w:space="0"/>
            </w:tcBorders>
            <w:vAlign w:val="center"/>
          </w:tcPr>
          <w:p w14:paraId="07588F15">
            <w:pPr>
              <w:rPr>
                <w:rFonts w:hint="eastAsia" w:ascii="宋体" w:hAnsi="宋体" w:eastAsia="宋体" w:cs="宋体"/>
                <w:kern w:val="2"/>
                <w:sz w:val="18"/>
                <w:szCs w:val="18"/>
                <w:lang w:val="en-US" w:eastAsia="zh-CN" w:bidi="ar-SA"/>
              </w:rPr>
            </w:pPr>
            <w:r>
              <w:rPr>
                <w:rFonts w:hint="eastAsia" w:ascii="宋体" w:hAnsi="宋体" w:cs="宋体"/>
                <w:sz w:val="18"/>
                <w:szCs w:val="18"/>
              </w:rPr>
              <w:t>系统地了解美学的基本原理，以及美育的意义、任务和途径，从而初步树立正确、进步的审美观，培养高尚、健康的审美理想和审美情趣，发展对美的事物的感受力、鉴赏力、创造力，提高在审美欣赏活动和审美创造活动中陶冶情操、完善人格、进行自我教育的自觉性。</w:t>
            </w:r>
          </w:p>
        </w:tc>
        <w:tc>
          <w:tcPr>
            <w:tcW w:w="2268" w:type="dxa"/>
            <w:tcBorders>
              <w:top w:val="single" w:color="auto" w:sz="4" w:space="0"/>
              <w:left w:val="single" w:color="auto" w:sz="4" w:space="0"/>
              <w:bottom w:val="single" w:color="auto" w:sz="4" w:space="0"/>
              <w:right w:val="single" w:color="auto" w:sz="4" w:space="0"/>
            </w:tcBorders>
            <w:vAlign w:val="center"/>
          </w:tcPr>
          <w:p w14:paraId="30ACF861">
            <w:pPr>
              <w:rPr>
                <w:rFonts w:hint="eastAsia" w:ascii="宋体" w:hAnsi="宋体" w:eastAsia="宋体" w:cs="宋体"/>
                <w:kern w:val="2"/>
                <w:sz w:val="18"/>
                <w:szCs w:val="18"/>
                <w:lang w:val="en-US" w:eastAsia="zh-CN" w:bidi="ar-SA"/>
              </w:rPr>
            </w:pPr>
            <w:r>
              <w:rPr>
                <w:rFonts w:hint="eastAsia" w:ascii="宋体" w:hAnsi="宋体" w:cs="宋体"/>
                <w:sz w:val="18"/>
                <w:szCs w:val="18"/>
              </w:rPr>
              <w:t>绪论 培养全面发展的一代新人；人类美化自身的学科；美是什么第三章 审美门户；审美范畴；审美意识；</w:t>
            </w:r>
            <w:r>
              <w:rPr>
                <w:rFonts w:ascii="宋体" w:hAnsi="宋体" w:cs="宋体"/>
                <w:sz w:val="18"/>
                <w:szCs w:val="18"/>
              </w:rPr>
              <w:t>审美心理</w:t>
            </w:r>
            <w:r>
              <w:rPr>
                <w:rFonts w:hint="eastAsia" w:ascii="宋体" w:hAnsi="宋体" w:cs="宋体"/>
                <w:sz w:val="18"/>
                <w:szCs w:val="18"/>
              </w:rPr>
              <w:t>；</w:t>
            </w:r>
            <w:r>
              <w:rPr>
                <w:rFonts w:ascii="宋体" w:hAnsi="宋体" w:cs="宋体"/>
                <w:sz w:val="18"/>
                <w:szCs w:val="18"/>
              </w:rPr>
              <w:t>自然审美</w:t>
            </w:r>
          </w:p>
        </w:tc>
        <w:tc>
          <w:tcPr>
            <w:tcW w:w="1421" w:type="dxa"/>
            <w:tcBorders>
              <w:top w:val="single" w:color="auto" w:sz="4" w:space="0"/>
              <w:left w:val="single" w:color="auto" w:sz="4" w:space="0"/>
              <w:bottom w:val="single" w:color="auto" w:sz="4" w:space="0"/>
              <w:right w:val="single" w:color="auto" w:sz="4" w:space="0"/>
            </w:tcBorders>
            <w:vAlign w:val="center"/>
          </w:tcPr>
          <w:p w14:paraId="355B1148">
            <w:pPr>
              <w:rPr>
                <w:rFonts w:hint="eastAsia" w:ascii="宋体" w:hAnsi="宋体" w:eastAsia="宋体" w:cs="宋体"/>
                <w:kern w:val="2"/>
                <w:sz w:val="18"/>
                <w:szCs w:val="18"/>
                <w:lang w:val="en-US" w:eastAsia="zh-CN" w:bidi="ar-SA"/>
              </w:rPr>
            </w:pPr>
            <w:r>
              <w:rPr>
                <w:rFonts w:hint="eastAsia" w:ascii="宋体" w:hAnsi="宋体" w:cs="宋体"/>
                <w:sz w:val="18"/>
                <w:szCs w:val="18"/>
              </w:rPr>
              <w:t>培养学生的马克思主义审美观；培养学生的文化自信，弘扬中华美育精神；培养学生生态文明观念和自然主义精神；挖掘红色文化元素，培养学生的革命文化精神；以美怡情，增进学生的身心健康，以美引善，提高学生的思想品德，总之要促进学生健康、全面、和谐的发展。</w:t>
            </w:r>
          </w:p>
        </w:tc>
      </w:tr>
      <w:tr w14:paraId="393F8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2" w:hRule="atLeast"/>
          <w:jc w:val="center"/>
        </w:trPr>
        <w:tc>
          <w:tcPr>
            <w:tcW w:w="432" w:type="dxa"/>
            <w:tcBorders>
              <w:top w:val="single" w:color="auto" w:sz="4" w:space="0"/>
              <w:left w:val="single" w:color="auto" w:sz="4" w:space="0"/>
              <w:bottom w:val="single" w:color="auto" w:sz="4" w:space="0"/>
              <w:right w:val="single" w:color="auto" w:sz="4" w:space="0"/>
            </w:tcBorders>
            <w:vAlign w:val="center"/>
          </w:tcPr>
          <w:p w14:paraId="7826DB4D">
            <w:pPr>
              <w:rPr>
                <w:rFonts w:hint="default" w:ascii="宋体" w:hAnsi="宋体" w:cs="宋体"/>
                <w:sz w:val="18"/>
                <w:szCs w:val="18"/>
                <w:lang w:val="en-US" w:eastAsia="zh-CN"/>
              </w:rPr>
            </w:pPr>
            <w:r>
              <w:rPr>
                <w:rFonts w:hint="eastAsia" w:ascii="宋体" w:hAnsi="宋体" w:cs="宋体"/>
                <w:sz w:val="18"/>
                <w:szCs w:val="18"/>
                <w:lang w:val="en-US" w:eastAsia="zh-CN"/>
              </w:rPr>
              <w:t>16</w:t>
            </w:r>
          </w:p>
        </w:tc>
        <w:tc>
          <w:tcPr>
            <w:tcW w:w="709" w:type="dxa"/>
            <w:tcBorders>
              <w:left w:val="single" w:color="auto" w:sz="4" w:space="0"/>
              <w:right w:val="single" w:color="auto" w:sz="4" w:space="0"/>
            </w:tcBorders>
            <w:vAlign w:val="center"/>
          </w:tcPr>
          <w:p w14:paraId="6598253C">
            <w:pPr>
              <w:rPr>
                <w:rFonts w:hint="eastAsia"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4F5CEC94">
            <w:pP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军事技能</w:t>
            </w:r>
          </w:p>
        </w:tc>
        <w:tc>
          <w:tcPr>
            <w:tcW w:w="2410" w:type="dxa"/>
            <w:tcBorders>
              <w:top w:val="single" w:color="auto" w:sz="4" w:space="0"/>
              <w:left w:val="single" w:color="auto" w:sz="4" w:space="0"/>
              <w:bottom w:val="single" w:color="auto" w:sz="4" w:space="0"/>
              <w:right w:val="single" w:color="auto" w:sz="4" w:space="0"/>
            </w:tcBorders>
            <w:vAlign w:val="center"/>
          </w:tcPr>
          <w:p w14:paraId="5A8A55AD">
            <w:pPr>
              <w:rPr>
                <w:rFonts w:hint="eastAsia" w:ascii="宋体" w:hAnsi="宋体" w:eastAsia="宋体" w:cs="宋体"/>
                <w:kern w:val="2"/>
                <w:sz w:val="18"/>
                <w:szCs w:val="18"/>
                <w:lang w:val="en-US" w:eastAsia="zh-CN" w:bidi="ar-SA"/>
              </w:rPr>
            </w:pPr>
            <w:r>
              <w:rPr>
                <w:rFonts w:hint="eastAsia" w:ascii="宋体" w:hAnsi="宋体" w:cs="宋体"/>
                <w:sz w:val="18"/>
                <w:szCs w:val="18"/>
              </w:rPr>
              <w:t>通过军事课教学，使学生了解掌握军事基础知识和基本军事技能，增强国防观念、国家安全意识和忧患危机意识，弘扬爱国主义精神、传承红色基因、提高学生综合国防素质。</w:t>
            </w:r>
          </w:p>
        </w:tc>
        <w:tc>
          <w:tcPr>
            <w:tcW w:w="2268" w:type="dxa"/>
            <w:tcBorders>
              <w:top w:val="single" w:color="auto" w:sz="4" w:space="0"/>
              <w:left w:val="single" w:color="auto" w:sz="4" w:space="0"/>
              <w:bottom w:val="single" w:color="auto" w:sz="4" w:space="0"/>
              <w:right w:val="single" w:color="auto" w:sz="4" w:space="0"/>
            </w:tcBorders>
            <w:vAlign w:val="center"/>
          </w:tcPr>
          <w:p w14:paraId="2056DD67">
            <w:pPr>
              <w:rPr>
                <w:rFonts w:hint="eastAsia" w:ascii="宋体" w:hAnsi="宋体" w:eastAsia="宋体" w:cs="宋体"/>
                <w:kern w:val="2"/>
                <w:sz w:val="18"/>
                <w:szCs w:val="18"/>
                <w:lang w:val="en-US" w:eastAsia="zh-CN" w:bidi="ar-SA"/>
              </w:rPr>
            </w:pPr>
            <w:r>
              <w:rPr>
                <w:rFonts w:hint="eastAsia" w:ascii="宋体" w:hAnsi="宋体" w:cs="宋体"/>
                <w:sz w:val="18"/>
                <w:szCs w:val="18"/>
              </w:rPr>
              <w:t>队列训练、展示项目训练、战场医疗救护、爱国主义教育等。</w:t>
            </w:r>
          </w:p>
        </w:tc>
        <w:tc>
          <w:tcPr>
            <w:tcW w:w="1421" w:type="dxa"/>
            <w:tcBorders>
              <w:top w:val="single" w:color="auto" w:sz="4" w:space="0"/>
              <w:left w:val="single" w:color="auto" w:sz="4" w:space="0"/>
              <w:bottom w:val="single" w:color="auto" w:sz="4" w:space="0"/>
              <w:right w:val="single" w:color="auto" w:sz="4" w:space="0"/>
            </w:tcBorders>
            <w:vAlign w:val="center"/>
          </w:tcPr>
          <w:p w14:paraId="13A7A739">
            <w:pPr>
              <w:rPr>
                <w:rFonts w:hint="eastAsia" w:ascii="宋体" w:hAnsi="宋体" w:eastAsia="宋体" w:cs="宋体"/>
                <w:kern w:val="2"/>
                <w:sz w:val="18"/>
                <w:szCs w:val="18"/>
                <w:lang w:val="en-US" w:eastAsia="zh-CN" w:bidi="ar-SA"/>
              </w:rPr>
            </w:pPr>
            <w:r>
              <w:rPr>
                <w:rFonts w:hint="eastAsia" w:ascii="宋体" w:hAnsi="宋体" w:cs="宋体"/>
                <w:sz w:val="18"/>
                <w:szCs w:val="18"/>
              </w:rPr>
              <w:t>增强组织纪律观念，培养学生令行禁止、团结奋进、顽强拼搏的过硬作</w:t>
            </w:r>
          </w:p>
        </w:tc>
      </w:tr>
      <w:tr w14:paraId="02FA6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2" w:hRule="atLeast"/>
          <w:jc w:val="center"/>
        </w:trPr>
        <w:tc>
          <w:tcPr>
            <w:tcW w:w="432" w:type="dxa"/>
            <w:tcBorders>
              <w:top w:val="single" w:color="auto" w:sz="4" w:space="0"/>
              <w:left w:val="single" w:color="auto" w:sz="4" w:space="0"/>
              <w:bottom w:val="single" w:color="auto" w:sz="4" w:space="0"/>
              <w:right w:val="single" w:color="auto" w:sz="4" w:space="0"/>
            </w:tcBorders>
            <w:vAlign w:val="center"/>
          </w:tcPr>
          <w:p w14:paraId="5ACA476E">
            <w:pPr>
              <w:rPr>
                <w:rFonts w:hint="default" w:ascii="宋体" w:hAnsi="宋体" w:cs="宋体"/>
                <w:sz w:val="18"/>
                <w:szCs w:val="18"/>
                <w:lang w:val="en-US" w:eastAsia="zh-CN"/>
              </w:rPr>
            </w:pPr>
            <w:r>
              <w:rPr>
                <w:rFonts w:hint="eastAsia" w:ascii="宋体" w:hAnsi="宋体" w:cs="宋体"/>
                <w:sz w:val="18"/>
                <w:szCs w:val="18"/>
                <w:lang w:val="en-US" w:eastAsia="zh-CN"/>
              </w:rPr>
              <w:t>17</w:t>
            </w:r>
          </w:p>
        </w:tc>
        <w:tc>
          <w:tcPr>
            <w:tcW w:w="709" w:type="dxa"/>
            <w:tcBorders>
              <w:left w:val="single" w:color="auto" w:sz="4" w:space="0"/>
              <w:right w:val="single" w:color="auto" w:sz="4" w:space="0"/>
            </w:tcBorders>
            <w:vAlign w:val="center"/>
          </w:tcPr>
          <w:p w14:paraId="24E14876">
            <w:pPr>
              <w:rPr>
                <w:rFonts w:hint="eastAsia"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5D88457E">
            <w:pPr>
              <w:rPr>
                <w:rFonts w:hint="eastAsia" w:ascii="宋体" w:hAnsi="宋体" w:cs="宋体"/>
                <w:sz w:val="18"/>
                <w:szCs w:val="18"/>
                <w:lang w:eastAsia="zh-CN"/>
              </w:rPr>
            </w:pPr>
            <w:r>
              <w:rPr>
                <w:rFonts w:hint="eastAsia" w:ascii="宋体" w:hAnsi="宋体" w:cs="宋体"/>
                <w:sz w:val="18"/>
                <w:szCs w:val="18"/>
              </w:rPr>
              <w:t>创新创业教育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2B1229F3">
            <w:pPr>
              <w:rPr>
                <w:rFonts w:hint="eastAsia" w:ascii="宋体" w:hAnsi="宋体" w:cs="宋体"/>
                <w:sz w:val="18"/>
                <w:szCs w:val="18"/>
              </w:rPr>
            </w:pPr>
            <w:r>
              <w:rPr>
                <w:rFonts w:hint="eastAsia" w:ascii="宋体" w:hAnsi="宋体" w:cs="宋体"/>
                <w:sz w:val="18"/>
                <w:szCs w:val="18"/>
              </w:rPr>
              <w:t>掌握开展创业活动所需要的基本知识。认知创业的基本内涵和创业活动的特殊性，辨证地认识和分析创业者、创业机会、创业资源、创业计划和创业项目。</w:t>
            </w:r>
          </w:p>
          <w:p w14:paraId="729B4EC6">
            <w:pPr>
              <w:rPr>
                <w:rFonts w:hint="eastAsia" w:ascii="宋体" w:hAnsi="宋体" w:cs="宋体"/>
                <w:sz w:val="18"/>
                <w:szCs w:val="18"/>
              </w:rPr>
            </w:pPr>
            <w:r>
              <w:rPr>
                <w:rFonts w:hint="eastAsia" w:ascii="宋体" w:hAnsi="宋体" w:cs="宋体"/>
                <w:sz w:val="18"/>
                <w:szCs w:val="18"/>
              </w:rPr>
              <w:t>使学生具备必要的创业能力。掌握创业资源整合与创业计划撰写的方法，熟悉新企业的开办流程与管理，提高创办和管理企业的综合素质和能力。</w:t>
            </w:r>
          </w:p>
        </w:tc>
        <w:tc>
          <w:tcPr>
            <w:tcW w:w="2268" w:type="dxa"/>
            <w:tcBorders>
              <w:top w:val="single" w:color="auto" w:sz="4" w:space="0"/>
              <w:left w:val="single" w:color="auto" w:sz="4" w:space="0"/>
              <w:bottom w:val="single" w:color="auto" w:sz="4" w:space="0"/>
              <w:right w:val="single" w:color="auto" w:sz="4" w:space="0"/>
            </w:tcBorders>
            <w:vAlign w:val="center"/>
          </w:tcPr>
          <w:p w14:paraId="514505A3">
            <w:pPr>
              <w:rPr>
                <w:rFonts w:hint="eastAsia" w:ascii="宋体" w:hAnsi="宋体" w:cs="宋体"/>
                <w:sz w:val="18"/>
                <w:szCs w:val="18"/>
              </w:rPr>
            </w:pPr>
            <w:r>
              <w:rPr>
                <w:rFonts w:hint="eastAsia" w:ascii="宋体" w:hAnsi="宋体" w:cs="宋体"/>
                <w:sz w:val="18"/>
                <w:szCs w:val="18"/>
              </w:rPr>
              <w:t>创新创业概述、创造性思维、创新方法和创新思维训练、创业机会与创业风险、创业团队的组建与创业资源的融合、商业模式、创业计划与项目路演</w:t>
            </w:r>
          </w:p>
        </w:tc>
        <w:tc>
          <w:tcPr>
            <w:tcW w:w="1421" w:type="dxa"/>
            <w:tcBorders>
              <w:top w:val="single" w:color="auto" w:sz="4" w:space="0"/>
              <w:left w:val="single" w:color="auto" w:sz="4" w:space="0"/>
              <w:bottom w:val="single" w:color="auto" w:sz="4" w:space="0"/>
              <w:right w:val="single" w:color="auto" w:sz="4" w:space="0"/>
            </w:tcBorders>
            <w:vAlign w:val="center"/>
          </w:tcPr>
          <w:p w14:paraId="6FD1EEC2">
            <w:pPr>
              <w:rPr>
                <w:rFonts w:hint="eastAsia" w:ascii="宋体" w:hAnsi="宋体" w:cs="宋体"/>
                <w:sz w:val="18"/>
                <w:szCs w:val="18"/>
              </w:rPr>
            </w:pPr>
            <w:r>
              <w:rPr>
                <w:rFonts w:hint="eastAsia" w:ascii="宋体" w:hAnsi="宋体" w:cs="宋体"/>
                <w:sz w:val="18"/>
                <w:szCs w:val="18"/>
              </w:rPr>
              <w:t>使学生树立科学的创业观。主动适应国家经济社会发展和人的全面发展需求，正确理解创业与职业生涯发展的关系，自觉遵循创业规律，积极投身创业实践</w:t>
            </w:r>
          </w:p>
        </w:tc>
      </w:tr>
      <w:bookmarkEnd w:id="39"/>
    </w:tbl>
    <w:p w14:paraId="79292F97">
      <w:pPr>
        <w:rPr>
          <w:rFonts w:hint="eastAsia" w:ascii="宋体" w:hAnsi="宋体" w:cs="宋体"/>
          <w:bCs/>
          <w:color w:val="FF0000"/>
          <w:kern w:val="0"/>
          <w:szCs w:val="21"/>
        </w:rPr>
      </w:pPr>
    </w:p>
    <w:p w14:paraId="2AF35B87">
      <w:pPr>
        <w:spacing w:before="156" w:beforeLines="50" w:after="156" w:afterLines="50"/>
        <w:jc w:val="center"/>
        <w:rPr>
          <w:rFonts w:ascii="Times New Roman" w:hAnsi="Times New Roman"/>
          <w:b/>
          <w:bCs/>
          <w:color w:val="000000"/>
          <w:sz w:val="24"/>
          <w:szCs w:val="24"/>
        </w:rPr>
      </w:pPr>
      <w:r>
        <w:rPr>
          <w:rFonts w:hint="eastAsia" w:ascii="Times New Roman" w:hAnsi="Times New Roman"/>
          <w:b/>
          <w:bCs/>
          <w:color w:val="000000"/>
          <w:sz w:val="24"/>
          <w:szCs w:val="24"/>
        </w:rPr>
        <w:t>表5专业课程体系</w:t>
      </w:r>
    </w:p>
    <w:tbl>
      <w:tblPr>
        <w:tblStyle w:val="24"/>
        <w:tblW w:w="95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919"/>
        <w:gridCol w:w="2415"/>
        <w:gridCol w:w="2155"/>
        <w:gridCol w:w="2801"/>
      </w:tblGrid>
      <w:tr w14:paraId="7248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7BD4AC20">
            <w:pPr>
              <w:jc w:val="center"/>
              <w:rPr>
                <w:rFonts w:hint="eastAsia" w:ascii="宋体" w:hAnsi="宋体"/>
                <w:sz w:val="18"/>
                <w:szCs w:val="18"/>
              </w:rPr>
            </w:pPr>
            <w:r>
              <w:rPr>
                <w:rFonts w:hint="eastAsia" w:ascii="宋体" w:hAnsi="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503E0121">
            <w:pPr>
              <w:jc w:val="center"/>
              <w:rPr>
                <w:rFonts w:hint="eastAsia" w:ascii="宋体" w:hAnsi="宋体"/>
                <w:sz w:val="18"/>
                <w:szCs w:val="18"/>
              </w:rPr>
            </w:pPr>
            <w:r>
              <w:rPr>
                <w:rFonts w:hint="eastAsia" w:ascii="宋体" w:hAnsi="宋体"/>
                <w:sz w:val="18"/>
                <w:szCs w:val="18"/>
              </w:rPr>
              <w:t>课程性质</w:t>
            </w:r>
          </w:p>
        </w:tc>
        <w:tc>
          <w:tcPr>
            <w:tcW w:w="919"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0EBEE60">
            <w:pPr>
              <w:jc w:val="center"/>
              <w:rPr>
                <w:rFonts w:hint="eastAsia" w:ascii="宋体" w:hAnsi="宋体"/>
                <w:sz w:val="18"/>
                <w:szCs w:val="18"/>
              </w:rPr>
            </w:pPr>
            <w:r>
              <w:rPr>
                <w:rFonts w:hint="eastAsia" w:ascii="宋体" w:hAnsi="宋体"/>
                <w:sz w:val="18"/>
                <w:szCs w:val="18"/>
              </w:rPr>
              <w:t>课程名称</w:t>
            </w:r>
          </w:p>
        </w:tc>
        <w:tc>
          <w:tcPr>
            <w:tcW w:w="241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24F035F">
            <w:pPr>
              <w:jc w:val="center"/>
              <w:rPr>
                <w:rFonts w:hint="eastAsia" w:ascii="宋体" w:hAnsi="宋体"/>
                <w:sz w:val="18"/>
                <w:szCs w:val="18"/>
              </w:rPr>
            </w:pPr>
            <w:r>
              <w:rPr>
                <w:rFonts w:hint="eastAsia" w:ascii="宋体" w:hAnsi="宋体"/>
                <w:sz w:val="18"/>
                <w:szCs w:val="18"/>
              </w:rPr>
              <w:t>课程目标</w:t>
            </w:r>
          </w:p>
        </w:tc>
        <w:tc>
          <w:tcPr>
            <w:tcW w:w="215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6B26DD5">
            <w:pPr>
              <w:jc w:val="center"/>
              <w:rPr>
                <w:rFonts w:hint="eastAsia" w:ascii="宋体" w:hAnsi="宋体"/>
                <w:sz w:val="18"/>
                <w:szCs w:val="18"/>
              </w:rPr>
            </w:pPr>
            <w:r>
              <w:rPr>
                <w:rFonts w:hint="eastAsia" w:ascii="宋体" w:hAnsi="宋体"/>
                <w:sz w:val="18"/>
                <w:szCs w:val="18"/>
              </w:rPr>
              <w:t>主要教学内容及要求</w:t>
            </w:r>
          </w:p>
        </w:tc>
        <w:tc>
          <w:tcPr>
            <w:tcW w:w="2801"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409B882D">
            <w:pPr>
              <w:jc w:val="center"/>
              <w:rPr>
                <w:rFonts w:hint="eastAsia" w:ascii="宋体" w:hAnsi="宋体"/>
                <w:sz w:val="18"/>
                <w:szCs w:val="18"/>
              </w:rPr>
            </w:pPr>
            <w:r>
              <w:rPr>
                <w:rFonts w:hint="eastAsia" w:ascii="宋体" w:hAnsi="宋体"/>
                <w:sz w:val="18"/>
                <w:szCs w:val="18"/>
              </w:rPr>
              <w:t>技能考核项目及教学要求</w:t>
            </w:r>
          </w:p>
        </w:tc>
      </w:tr>
      <w:tr w14:paraId="239B7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9488B15">
            <w:pPr>
              <w:jc w:val="center"/>
              <w:rPr>
                <w:rFonts w:hint="default" w:ascii="宋体" w:hAnsi="宋体" w:eastAsia="宋体"/>
                <w:sz w:val="18"/>
                <w:szCs w:val="18"/>
                <w:lang w:val="en-US" w:eastAsia="zh-CN"/>
              </w:rPr>
            </w:pPr>
            <w:r>
              <w:rPr>
                <w:rFonts w:hint="eastAsia" w:ascii="宋体" w:hAnsi="宋体"/>
                <w:sz w:val="18"/>
                <w:szCs w:val="18"/>
                <w:lang w:val="en-US" w:eastAsia="zh-CN"/>
              </w:rPr>
              <w:t>18</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6518EB01">
            <w:pPr>
              <w:jc w:val="center"/>
              <w:rPr>
                <w:rFonts w:hint="eastAsia" w:ascii="宋体" w:hAnsi="宋体"/>
                <w:color w:val="000000"/>
                <w:sz w:val="18"/>
                <w:szCs w:val="18"/>
              </w:rPr>
            </w:pPr>
            <w:r>
              <w:rPr>
                <w:rFonts w:hint="eastAsia" w:ascii="宋体" w:hAnsi="宋体"/>
                <w:color w:val="000000"/>
                <w:sz w:val="18"/>
                <w:szCs w:val="18"/>
              </w:rPr>
              <w:t>专业</w:t>
            </w:r>
          </w:p>
          <w:p w14:paraId="67E45A00">
            <w:pPr>
              <w:jc w:val="center"/>
              <w:rPr>
                <w:rFonts w:hint="eastAsia" w:ascii="宋体" w:hAnsi="宋体"/>
                <w:color w:val="000000"/>
                <w:sz w:val="18"/>
                <w:szCs w:val="18"/>
              </w:rPr>
            </w:pPr>
            <w:r>
              <w:rPr>
                <w:rFonts w:hint="eastAsia" w:ascii="宋体" w:hAnsi="宋体"/>
                <w:color w:val="000000"/>
                <w:sz w:val="18"/>
                <w:szCs w:val="18"/>
              </w:rPr>
              <w:t>基础</w:t>
            </w:r>
          </w:p>
          <w:p w14:paraId="5F44DCE9">
            <w:pPr>
              <w:jc w:val="center"/>
              <w:rPr>
                <w:rFonts w:hint="eastAsia" w:ascii="宋体" w:hAnsi="宋体"/>
                <w:sz w:val="18"/>
                <w:szCs w:val="18"/>
              </w:rPr>
            </w:pPr>
            <w:r>
              <w:rPr>
                <w:rFonts w:hint="eastAsia" w:ascii="宋体" w:hAnsi="宋体"/>
                <w:color w:val="000000"/>
                <w:sz w:val="18"/>
                <w:szCs w:val="18"/>
              </w:rPr>
              <w:t>课程</w:t>
            </w:r>
          </w:p>
        </w:tc>
        <w:tc>
          <w:tcPr>
            <w:tcW w:w="919" w:type="dxa"/>
            <w:tcBorders>
              <w:top w:val="single" w:color="auto" w:sz="4" w:space="0"/>
              <w:left w:val="single" w:color="auto" w:sz="4" w:space="0"/>
              <w:bottom w:val="single" w:color="auto" w:sz="4" w:space="0"/>
              <w:right w:val="single" w:color="auto" w:sz="4" w:space="0"/>
            </w:tcBorders>
          </w:tcPr>
          <w:p w14:paraId="17667F27">
            <w:pPr>
              <w:jc w:val="center"/>
              <w:rPr>
                <w:rFonts w:hint="eastAsia" w:ascii="宋体" w:hAnsi="宋体"/>
                <w:sz w:val="18"/>
                <w:szCs w:val="18"/>
              </w:rPr>
            </w:pPr>
          </w:p>
          <w:p w14:paraId="2E9D874B">
            <w:pPr>
              <w:jc w:val="center"/>
              <w:rPr>
                <w:rFonts w:hint="eastAsia" w:ascii="宋体" w:hAnsi="宋体"/>
                <w:sz w:val="18"/>
                <w:szCs w:val="18"/>
              </w:rPr>
            </w:pPr>
          </w:p>
          <w:p w14:paraId="3DAD2D29">
            <w:pPr>
              <w:jc w:val="center"/>
              <w:rPr>
                <w:rFonts w:hint="eastAsia" w:ascii="宋体" w:hAnsi="宋体"/>
                <w:sz w:val="18"/>
                <w:szCs w:val="18"/>
              </w:rPr>
            </w:pPr>
          </w:p>
          <w:p w14:paraId="2C417BD4">
            <w:pPr>
              <w:jc w:val="center"/>
              <w:rPr>
                <w:rFonts w:hint="eastAsia" w:ascii="宋体" w:hAnsi="宋体"/>
                <w:sz w:val="18"/>
                <w:szCs w:val="18"/>
              </w:rPr>
            </w:pPr>
          </w:p>
          <w:p w14:paraId="578D210C">
            <w:pPr>
              <w:jc w:val="center"/>
              <w:rPr>
                <w:rFonts w:hint="eastAsia" w:ascii="宋体" w:hAnsi="宋体"/>
                <w:sz w:val="18"/>
                <w:szCs w:val="18"/>
              </w:rPr>
            </w:pPr>
          </w:p>
          <w:p w14:paraId="4D0377F7">
            <w:pPr>
              <w:jc w:val="center"/>
              <w:rPr>
                <w:rFonts w:hint="eastAsia" w:ascii="宋体" w:hAnsi="宋体"/>
                <w:sz w:val="18"/>
                <w:szCs w:val="18"/>
              </w:rPr>
            </w:pPr>
          </w:p>
          <w:p w14:paraId="48BC0B5B">
            <w:pPr>
              <w:jc w:val="center"/>
              <w:rPr>
                <w:rFonts w:hint="eastAsia" w:ascii="宋体" w:hAnsi="宋体"/>
                <w:sz w:val="18"/>
                <w:szCs w:val="18"/>
              </w:rPr>
            </w:pPr>
            <w:r>
              <w:rPr>
                <w:rFonts w:hint="eastAsia" w:ascii="宋体" w:hAnsi="宋体"/>
                <w:sz w:val="18"/>
                <w:szCs w:val="18"/>
              </w:rPr>
              <w:t>商务基础★</w:t>
            </w:r>
          </w:p>
        </w:tc>
        <w:tc>
          <w:tcPr>
            <w:tcW w:w="2415" w:type="dxa"/>
            <w:tcBorders>
              <w:top w:val="single" w:color="auto" w:sz="4" w:space="0"/>
              <w:left w:val="single" w:color="auto" w:sz="4" w:space="0"/>
              <w:bottom w:val="single" w:color="auto" w:sz="4" w:space="0"/>
              <w:right w:val="single" w:color="auto" w:sz="4" w:space="0"/>
            </w:tcBorders>
          </w:tcPr>
          <w:p w14:paraId="662A500E">
            <w:pPr>
              <w:rPr>
                <w:rFonts w:hint="eastAsia" w:ascii="宋体" w:hAnsi="宋体"/>
                <w:sz w:val="18"/>
                <w:szCs w:val="18"/>
              </w:rPr>
            </w:pPr>
            <w:r>
              <w:rPr>
                <w:rFonts w:hint="eastAsia" w:ascii="宋体" w:hAnsi="宋体"/>
                <w:sz w:val="18"/>
                <w:szCs w:val="18"/>
              </w:rPr>
              <w:t xml:space="preserve">1、能够清楚理解电子商务的基本概念等基础知识； </w:t>
            </w:r>
          </w:p>
          <w:p w14:paraId="18219F78">
            <w:pPr>
              <w:rPr>
                <w:rFonts w:hint="eastAsia" w:ascii="宋体" w:hAnsi="宋体"/>
                <w:sz w:val="18"/>
                <w:szCs w:val="18"/>
              </w:rPr>
            </w:pPr>
            <w:r>
              <w:rPr>
                <w:rFonts w:hint="eastAsia" w:ascii="宋体" w:hAnsi="宋体"/>
                <w:sz w:val="18"/>
                <w:szCs w:val="18"/>
              </w:rPr>
              <w:t xml:space="preserve">2、能够有效把握电子商务专业在校学习流程； </w:t>
            </w:r>
          </w:p>
          <w:p w14:paraId="24AE1A5F">
            <w:pPr>
              <w:rPr>
                <w:rFonts w:hint="eastAsia" w:ascii="宋体" w:hAnsi="宋体"/>
                <w:sz w:val="18"/>
                <w:szCs w:val="18"/>
              </w:rPr>
            </w:pPr>
            <w:r>
              <w:rPr>
                <w:rFonts w:hint="eastAsia" w:ascii="宋体" w:hAnsi="宋体"/>
                <w:sz w:val="18"/>
                <w:szCs w:val="18"/>
              </w:rPr>
              <w:t xml:space="preserve">3、能够基本掌握常用电子商务工具软件的使用； </w:t>
            </w:r>
          </w:p>
          <w:p w14:paraId="7656A1A8">
            <w:pPr>
              <w:rPr>
                <w:rFonts w:hint="eastAsia" w:ascii="宋体" w:hAnsi="宋体"/>
                <w:sz w:val="18"/>
                <w:szCs w:val="18"/>
              </w:rPr>
            </w:pPr>
            <w:r>
              <w:rPr>
                <w:rFonts w:hint="eastAsia" w:ascii="宋体" w:hAnsi="宋体"/>
                <w:sz w:val="18"/>
                <w:szCs w:val="18"/>
              </w:rPr>
              <w:t xml:space="preserve">4、掌握并能操作电子商务业务流程和完成相应工作任务； </w:t>
            </w:r>
          </w:p>
          <w:p w14:paraId="5C09CF2B">
            <w:pPr>
              <w:rPr>
                <w:rFonts w:hint="eastAsia" w:ascii="宋体" w:hAnsi="宋体"/>
                <w:sz w:val="18"/>
                <w:szCs w:val="18"/>
              </w:rPr>
            </w:pPr>
            <w:r>
              <w:rPr>
                <w:rFonts w:hint="eastAsia" w:ascii="宋体" w:hAnsi="宋体"/>
                <w:sz w:val="18"/>
                <w:szCs w:val="18"/>
              </w:rPr>
              <w:t xml:space="preserve">5、掌握电子商务交易过程； </w:t>
            </w:r>
          </w:p>
          <w:p w14:paraId="6778DCE0">
            <w:pPr>
              <w:rPr>
                <w:rFonts w:hint="eastAsia" w:ascii="宋体" w:hAnsi="宋体"/>
                <w:sz w:val="18"/>
                <w:szCs w:val="18"/>
              </w:rPr>
            </w:pPr>
            <w:r>
              <w:rPr>
                <w:rFonts w:hint="eastAsia" w:ascii="宋体" w:hAnsi="宋体"/>
                <w:sz w:val="18"/>
                <w:szCs w:val="18"/>
              </w:rPr>
              <w:t>6、明确电子商务岗位群及典型工作任务；</w:t>
            </w:r>
          </w:p>
        </w:tc>
        <w:tc>
          <w:tcPr>
            <w:tcW w:w="2155" w:type="dxa"/>
            <w:tcBorders>
              <w:top w:val="single" w:color="auto" w:sz="4" w:space="0"/>
              <w:left w:val="single" w:color="auto" w:sz="4" w:space="0"/>
              <w:bottom w:val="single" w:color="auto" w:sz="4" w:space="0"/>
              <w:right w:val="single" w:color="auto" w:sz="4" w:space="0"/>
            </w:tcBorders>
          </w:tcPr>
          <w:p w14:paraId="5D70052D">
            <w:pPr>
              <w:rPr>
                <w:rFonts w:hint="eastAsia" w:ascii="宋体" w:hAnsi="宋体"/>
                <w:sz w:val="18"/>
                <w:szCs w:val="18"/>
              </w:rPr>
            </w:pPr>
            <w:r>
              <w:rPr>
                <w:rFonts w:hint="eastAsia" w:ascii="宋体" w:hAnsi="宋体"/>
                <w:sz w:val="18"/>
                <w:szCs w:val="18"/>
              </w:rPr>
              <w:t>电子商务概述</w:t>
            </w:r>
          </w:p>
          <w:p w14:paraId="58380001">
            <w:pPr>
              <w:rPr>
                <w:rFonts w:hint="eastAsia" w:ascii="宋体" w:hAnsi="宋体"/>
                <w:sz w:val="18"/>
                <w:szCs w:val="18"/>
              </w:rPr>
            </w:pPr>
            <w:r>
              <w:rPr>
                <w:rFonts w:hint="eastAsia" w:ascii="宋体" w:hAnsi="宋体"/>
                <w:sz w:val="18"/>
                <w:szCs w:val="18"/>
              </w:rPr>
              <w:t>电子商务网络安全</w:t>
            </w:r>
          </w:p>
          <w:p w14:paraId="4C40139B">
            <w:pPr>
              <w:rPr>
                <w:rFonts w:hint="eastAsia" w:ascii="宋体" w:hAnsi="宋体"/>
                <w:sz w:val="18"/>
                <w:szCs w:val="18"/>
              </w:rPr>
            </w:pPr>
            <w:r>
              <w:rPr>
                <w:rFonts w:hint="eastAsia" w:ascii="宋体" w:hAnsi="宋体"/>
                <w:sz w:val="18"/>
                <w:szCs w:val="18"/>
              </w:rPr>
              <w:t>电子商务网络支付</w:t>
            </w:r>
          </w:p>
          <w:p w14:paraId="54735032">
            <w:pPr>
              <w:rPr>
                <w:rFonts w:hint="eastAsia" w:ascii="宋体" w:hAnsi="宋体"/>
                <w:sz w:val="18"/>
                <w:szCs w:val="18"/>
              </w:rPr>
            </w:pPr>
            <w:r>
              <w:rPr>
                <w:rFonts w:hint="eastAsia" w:ascii="宋体" w:hAnsi="宋体"/>
                <w:sz w:val="18"/>
                <w:szCs w:val="18"/>
              </w:rPr>
              <w:t>物联网与电子商务应用</w:t>
            </w:r>
          </w:p>
          <w:p w14:paraId="491208CD">
            <w:pPr>
              <w:rPr>
                <w:rFonts w:hint="eastAsia" w:ascii="宋体" w:hAnsi="宋体"/>
                <w:sz w:val="18"/>
                <w:szCs w:val="18"/>
              </w:rPr>
            </w:pPr>
            <w:r>
              <w:rPr>
                <w:rFonts w:hint="eastAsia" w:ascii="宋体" w:hAnsi="宋体"/>
                <w:sz w:val="18"/>
                <w:szCs w:val="18"/>
              </w:rPr>
              <w:t>电子商务网络营销</w:t>
            </w:r>
          </w:p>
          <w:p w14:paraId="56278581">
            <w:pPr>
              <w:rPr>
                <w:rFonts w:hint="eastAsia" w:ascii="宋体" w:hAnsi="宋体"/>
                <w:sz w:val="18"/>
                <w:szCs w:val="18"/>
              </w:rPr>
            </w:pPr>
            <w:r>
              <w:rPr>
                <w:rFonts w:hint="eastAsia" w:ascii="宋体" w:hAnsi="宋体"/>
                <w:sz w:val="18"/>
                <w:szCs w:val="18"/>
              </w:rPr>
              <w:t>电子商务物流</w:t>
            </w:r>
          </w:p>
          <w:p w14:paraId="4DD3AA1C">
            <w:pPr>
              <w:rPr>
                <w:rFonts w:hint="eastAsia" w:ascii="宋体" w:hAnsi="宋体"/>
                <w:sz w:val="18"/>
                <w:szCs w:val="18"/>
              </w:rPr>
            </w:pPr>
            <w:r>
              <w:rPr>
                <w:rFonts w:hint="eastAsia" w:ascii="宋体" w:hAnsi="宋体"/>
                <w:sz w:val="18"/>
                <w:szCs w:val="18"/>
              </w:rPr>
              <w:t>物流与物流系统</w:t>
            </w:r>
          </w:p>
          <w:p w14:paraId="3D7C8165">
            <w:pPr>
              <w:rPr>
                <w:rFonts w:hint="eastAsia" w:ascii="宋体" w:hAnsi="宋体"/>
                <w:sz w:val="18"/>
                <w:szCs w:val="18"/>
              </w:rPr>
            </w:pPr>
            <w:r>
              <w:rPr>
                <w:rFonts w:hint="eastAsia" w:ascii="宋体" w:hAnsi="宋体"/>
                <w:sz w:val="18"/>
                <w:szCs w:val="18"/>
              </w:rPr>
              <w:t>运输</w:t>
            </w:r>
          </w:p>
          <w:p w14:paraId="67C25E93">
            <w:pPr>
              <w:rPr>
                <w:rFonts w:hint="eastAsia" w:ascii="宋体" w:hAnsi="宋体"/>
                <w:sz w:val="18"/>
                <w:szCs w:val="18"/>
              </w:rPr>
            </w:pPr>
            <w:r>
              <w:rPr>
                <w:rFonts w:hint="eastAsia" w:ascii="宋体" w:hAnsi="宋体"/>
                <w:sz w:val="18"/>
                <w:szCs w:val="18"/>
              </w:rPr>
              <w:t>物流的发展历程及趋势</w:t>
            </w:r>
          </w:p>
        </w:tc>
        <w:tc>
          <w:tcPr>
            <w:tcW w:w="2801" w:type="dxa"/>
            <w:tcBorders>
              <w:top w:val="single" w:color="auto" w:sz="4" w:space="0"/>
              <w:left w:val="single" w:color="auto" w:sz="4" w:space="0"/>
              <w:bottom w:val="single" w:color="auto" w:sz="4" w:space="0"/>
              <w:right w:val="single" w:color="auto" w:sz="4" w:space="0"/>
            </w:tcBorders>
          </w:tcPr>
          <w:p w14:paraId="09B051A6">
            <w:pPr>
              <w:rPr>
                <w:rFonts w:hint="eastAsia" w:ascii="宋体" w:hAnsi="宋体"/>
                <w:sz w:val="18"/>
                <w:szCs w:val="18"/>
              </w:rPr>
            </w:pPr>
            <w:r>
              <w:rPr>
                <w:rFonts w:hint="eastAsia" w:ascii="宋体" w:hAnsi="宋体"/>
                <w:sz w:val="18"/>
                <w:szCs w:val="18"/>
              </w:rPr>
              <w:t>电子商务概论课程是本校电子商务专业学生接触的第一门专业基础课同时也是核心课程，是电子商务专业的专业导引课程。它的平行课程是微宏观经济学、管理学原理、经济法等，后续课程是网络营销、电子商务网站建设、电子商务数据库、电子支付与网上银行、电子商务案例与法规等一系列课程。通过系统地经济管理、计算机网络和电子商务的基本知识，全面培养学生胜任电子商务技术及网络营销技能。</w:t>
            </w:r>
          </w:p>
        </w:tc>
      </w:tr>
      <w:tr w14:paraId="66413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8E75A55">
            <w:pPr>
              <w:jc w:val="center"/>
              <w:rPr>
                <w:rFonts w:hint="default" w:ascii="宋体" w:hAnsi="宋体" w:eastAsia="宋体"/>
                <w:sz w:val="18"/>
                <w:szCs w:val="18"/>
                <w:lang w:val="en-US" w:eastAsia="zh-CN"/>
              </w:rPr>
            </w:pPr>
            <w:r>
              <w:rPr>
                <w:rFonts w:hint="eastAsia" w:ascii="宋体" w:hAnsi="宋体"/>
                <w:sz w:val="18"/>
                <w:szCs w:val="18"/>
                <w:lang w:val="en-US" w:eastAsia="zh-CN"/>
              </w:rPr>
              <w:t>19</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6AD1F49D">
            <w:pPr>
              <w:jc w:val="center"/>
              <w:rPr>
                <w:rFonts w:hint="eastAsia" w:ascii="宋体" w:hAnsi="宋体"/>
                <w:color w:val="000000"/>
                <w:sz w:val="18"/>
                <w:szCs w:val="18"/>
              </w:rPr>
            </w:pPr>
          </w:p>
        </w:tc>
        <w:tc>
          <w:tcPr>
            <w:tcW w:w="919" w:type="dxa"/>
            <w:tcBorders>
              <w:top w:val="single" w:color="auto" w:sz="4" w:space="0"/>
              <w:left w:val="single" w:color="auto" w:sz="4" w:space="0"/>
              <w:bottom w:val="single" w:color="auto" w:sz="4" w:space="0"/>
              <w:right w:val="single" w:color="auto" w:sz="4" w:space="0"/>
            </w:tcBorders>
          </w:tcPr>
          <w:p w14:paraId="219D16D2">
            <w:pPr>
              <w:rPr>
                <w:rFonts w:hint="eastAsia" w:ascii="宋体" w:hAnsi="宋体"/>
                <w:sz w:val="18"/>
                <w:szCs w:val="18"/>
              </w:rPr>
            </w:pPr>
          </w:p>
          <w:p w14:paraId="3CB21DEF">
            <w:pPr>
              <w:rPr>
                <w:rFonts w:hint="eastAsia" w:ascii="宋体" w:hAnsi="宋体"/>
                <w:sz w:val="18"/>
                <w:szCs w:val="18"/>
              </w:rPr>
            </w:pPr>
          </w:p>
          <w:p w14:paraId="7D6FF188">
            <w:pPr>
              <w:rPr>
                <w:rFonts w:hint="eastAsia" w:ascii="宋体" w:hAnsi="宋体"/>
                <w:sz w:val="18"/>
                <w:szCs w:val="18"/>
              </w:rPr>
            </w:pPr>
          </w:p>
          <w:p w14:paraId="4C110E74">
            <w:pPr>
              <w:rPr>
                <w:rFonts w:hint="eastAsia" w:ascii="宋体" w:hAnsi="宋体"/>
                <w:sz w:val="18"/>
                <w:szCs w:val="18"/>
              </w:rPr>
            </w:pPr>
          </w:p>
          <w:p w14:paraId="05CD93CA">
            <w:pPr>
              <w:rPr>
                <w:rFonts w:hint="eastAsia" w:ascii="宋体" w:hAnsi="宋体"/>
                <w:sz w:val="18"/>
                <w:szCs w:val="18"/>
              </w:rPr>
            </w:pPr>
          </w:p>
          <w:p w14:paraId="03DA87CE">
            <w:pPr>
              <w:rPr>
                <w:rFonts w:hint="eastAsia" w:ascii="宋体" w:hAnsi="宋体"/>
                <w:sz w:val="18"/>
                <w:szCs w:val="18"/>
              </w:rPr>
            </w:pPr>
            <w:r>
              <w:rPr>
                <w:rFonts w:hint="eastAsia" w:ascii="宋体" w:hAnsi="宋体"/>
                <w:sz w:val="18"/>
                <w:szCs w:val="18"/>
              </w:rPr>
              <w:t>仓储与配送管理实务★</w:t>
            </w:r>
          </w:p>
        </w:tc>
        <w:tc>
          <w:tcPr>
            <w:tcW w:w="2415" w:type="dxa"/>
            <w:tcBorders>
              <w:top w:val="single" w:color="auto" w:sz="4" w:space="0"/>
              <w:left w:val="single" w:color="auto" w:sz="4" w:space="0"/>
              <w:bottom w:val="single" w:color="auto" w:sz="4" w:space="0"/>
              <w:right w:val="single" w:color="auto" w:sz="4" w:space="0"/>
            </w:tcBorders>
          </w:tcPr>
          <w:p w14:paraId="191F7F58">
            <w:pPr>
              <w:rPr>
                <w:rFonts w:hint="eastAsia" w:ascii="宋体" w:hAnsi="宋体"/>
                <w:sz w:val="18"/>
                <w:szCs w:val="18"/>
              </w:rPr>
            </w:pPr>
            <w:r>
              <w:rPr>
                <w:rFonts w:hint="eastAsia" w:ascii="宋体" w:hAnsi="宋体"/>
                <w:sz w:val="18"/>
                <w:szCs w:val="18"/>
              </w:rPr>
              <w:t>了解仓储常用设备及养护知识；熟悉仓库规划与布局的相关知识；熟悉物品编码与信息处理；理解进出库组织与作业；了解库内物品的相关特性及保养与维护知识；掌握立体仓库和自动化立体仓库的作业；正确理解仓库分拣作业；掌握成本分析与控制的相关知识；掌握储区安全及防范的要求；能够掌握文明作业、环境保护的相关规定及内容；灵活运用仓储管理实务课程内容进行课内小论文撰写。</w:t>
            </w:r>
          </w:p>
        </w:tc>
        <w:tc>
          <w:tcPr>
            <w:tcW w:w="2155" w:type="dxa"/>
            <w:tcBorders>
              <w:top w:val="single" w:color="auto" w:sz="4" w:space="0"/>
              <w:left w:val="single" w:color="auto" w:sz="4" w:space="0"/>
              <w:bottom w:val="single" w:color="auto" w:sz="4" w:space="0"/>
              <w:right w:val="single" w:color="auto" w:sz="4" w:space="0"/>
            </w:tcBorders>
          </w:tcPr>
          <w:p w14:paraId="6C3B9F77">
            <w:pPr>
              <w:spacing w:line="320" w:lineRule="exact"/>
              <w:rPr>
                <w:rFonts w:hint="eastAsia" w:ascii="宋体" w:hAnsi="宋体"/>
                <w:sz w:val="18"/>
                <w:szCs w:val="18"/>
              </w:rPr>
            </w:pPr>
            <w:r>
              <w:rPr>
                <w:rFonts w:hint="eastAsia" w:ascii="宋体" w:hAnsi="宋体"/>
                <w:sz w:val="18"/>
                <w:szCs w:val="18"/>
              </w:rPr>
              <w:t>仓储业务认知</w:t>
            </w:r>
          </w:p>
          <w:p w14:paraId="747BA339">
            <w:pPr>
              <w:spacing w:line="320" w:lineRule="exact"/>
              <w:rPr>
                <w:rFonts w:hint="eastAsia" w:ascii="宋体" w:hAnsi="宋体"/>
                <w:sz w:val="18"/>
                <w:szCs w:val="18"/>
              </w:rPr>
            </w:pPr>
            <w:r>
              <w:rPr>
                <w:rFonts w:hint="eastAsia" w:ascii="宋体" w:hAnsi="宋体"/>
                <w:sz w:val="18"/>
                <w:szCs w:val="18"/>
              </w:rPr>
              <w:t>库场规划与设施配置</w:t>
            </w:r>
          </w:p>
          <w:p w14:paraId="5458B920">
            <w:pPr>
              <w:spacing w:line="320" w:lineRule="exact"/>
              <w:rPr>
                <w:rFonts w:hint="eastAsia" w:ascii="宋体" w:hAnsi="宋体"/>
                <w:sz w:val="18"/>
                <w:szCs w:val="18"/>
              </w:rPr>
            </w:pPr>
            <w:r>
              <w:rPr>
                <w:rFonts w:hint="eastAsia" w:ascii="宋体" w:hAnsi="宋体"/>
                <w:sz w:val="18"/>
                <w:szCs w:val="18"/>
              </w:rPr>
              <w:t>仓储经营管理</w:t>
            </w:r>
          </w:p>
          <w:p w14:paraId="2C491E60">
            <w:pPr>
              <w:spacing w:line="320" w:lineRule="exact"/>
              <w:rPr>
                <w:rFonts w:hint="eastAsia" w:ascii="宋体" w:hAnsi="宋体"/>
                <w:sz w:val="18"/>
                <w:szCs w:val="18"/>
              </w:rPr>
            </w:pPr>
            <w:r>
              <w:rPr>
                <w:rFonts w:hint="eastAsia" w:ascii="宋体" w:hAnsi="宋体"/>
                <w:sz w:val="18"/>
                <w:szCs w:val="18"/>
              </w:rPr>
              <w:t>货物入库作业</w:t>
            </w:r>
          </w:p>
          <w:p w14:paraId="1D1DBC51">
            <w:pPr>
              <w:spacing w:line="320" w:lineRule="exact"/>
              <w:rPr>
                <w:rFonts w:hint="eastAsia" w:ascii="宋体" w:hAnsi="宋体"/>
                <w:sz w:val="18"/>
                <w:szCs w:val="18"/>
              </w:rPr>
            </w:pPr>
            <w:r>
              <w:rPr>
                <w:rFonts w:hint="eastAsia" w:ascii="宋体" w:hAnsi="宋体"/>
                <w:sz w:val="18"/>
                <w:szCs w:val="18"/>
              </w:rPr>
              <w:t>货物在库养护</w:t>
            </w:r>
          </w:p>
          <w:p w14:paraId="372AAA18">
            <w:pPr>
              <w:spacing w:line="320" w:lineRule="exact"/>
              <w:rPr>
                <w:rFonts w:hint="eastAsia" w:ascii="宋体" w:hAnsi="宋体"/>
                <w:sz w:val="18"/>
                <w:szCs w:val="18"/>
              </w:rPr>
            </w:pPr>
            <w:r>
              <w:rPr>
                <w:rFonts w:hint="eastAsia" w:ascii="宋体" w:hAnsi="宋体"/>
                <w:sz w:val="18"/>
                <w:szCs w:val="18"/>
              </w:rPr>
              <w:t>货物出库作业</w:t>
            </w:r>
          </w:p>
          <w:p w14:paraId="6C304614">
            <w:pPr>
              <w:spacing w:line="320" w:lineRule="exact"/>
              <w:rPr>
                <w:rFonts w:hint="eastAsia" w:ascii="宋体" w:hAnsi="宋体"/>
                <w:sz w:val="18"/>
                <w:szCs w:val="18"/>
              </w:rPr>
            </w:pPr>
            <w:r>
              <w:rPr>
                <w:rFonts w:hint="eastAsia" w:ascii="宋体" w:hAnsi="宋体"/>
                <w:sz w:val="18"/>
                <w:szCs w:val="18"/>
              </w:rPr>
              <w:t>配送业务认知</w:t>
            </w:r>
          </w:p>
          <w:p w14:paraId="6BA4B262">
            <w:pPr>
              <w:spacing w:line="320" w:lineRule="exact"/>
              <w:rPr>
                <w:rFonts w:hint="eastAsia" w:ascii="宋体" w:hAnsi="宋体"/>
                <w:sz w:val="18"/>
                <w:szCs w:val="18"/>
              </w:rPr>
            </w:pPr>
            <w:r>
              <w:rPr>
                <w:rFonts w:hint="eastAsia" w:ascii="宋体" w:hAnsi="宋体"/>
                <w:sz w:val="18"/>
                <w:szCs w:val="18"/>
              </w:rPr>
              <w:t>配送作业</w:t>
            </w:r>
          </w:p>
          <w:p w14:paraId="042CC773">
            <w:pPr>
              <w:spacing w:line="320" w:lineRule="exact"/>
              <w:rPr>
                <w:rFonts w:hint="eastAsia" w:ascii="宋体" w:hAnsi="宋体"/>
                <w:sz w:val="18"/>
                <w:szCs w:val="18"/>
              </w:rPr>
            </w:pPr>
            <w:r>
              <w:rPr>
                <w:rFonts w:hint="eastAsia" w:ascii="宋体" w:hAnsi="宋体"/>
                <w:sz w:val="18"/>
                <w:szCs w:val="18"/>
              </w:rPr>
              <w:t>配送营运管理</w:t>
            </w:r>
          </w:p>
          <w:p w14:paraId="6733EF49">
            <w:pPr>
              <w:spacing w:line="320" w:lineRule="exact"/>
              <w:rPr>
                <w:rFonts w:hint="eastAsia" w:ascii="宋体" w:hAnsi="宋体"/>
                <w:sz w:val="18"/>
                <w:szCs w:val="18"/>
              </w:rPr>
            </w:pPr>
            <w:r>
              <w:rPr>
                <w:rFonts w:hint="eastAsia" w:ascii="宋体" w:hAnsi="宋体"/>
                <w:sz w:val="18"/>
                <w:szCs w:val="18"/>
              </w:rPr>
              <w:t>配送中心规划与设计</w:t>
            </w:r>
          </w:p>
          <w:p w14:paraId="0A0DEEF1">
            <w:pPr>
              <w:rPr>
                <w:rFonts w:hint="eastAsia" w:ascii="宋体" w:hAnsi="宋体"/>
                <w:sz w:val="18"/>
                <w:szCs w:val="18"/>
              </w:rPr>
            </w:pPr>
            <w:r>
              <w:rPr>
                <w:rFonts w:hint="eastAsia" w:ascii="宋体" w:hAnsi="宋体"/>
                <w:sz w:val="18"/>
                <w:szCs w:val="18"/>
              </w:rPr>
              <w:t>配送成本管理</w:t>
            </w:r>
          </w:p>
        </w:tc>
        <w:tc>
          <w:tcPr>
            <w:tcW w:w="2801" w:type="dxa"/>
            <w:tcBorders>
              <w:top w:val="single" w:color="auto" w:sz="4" w:space="0"/>
              <w:left w:val="single" w:color="auto" w:sz="4" w:space="0"/>
              <w:bottom w:val="single" w:color="auto" w:sz="4" w:space="0"/>
              <w:right w:val="single" w:color="auto" w:sz="4" w:space="0"/>
            </w:tcBorders>
          </w:tcPr>
          <w:p w14:paraId="6782DA83">
            <w:pPr>
              <w:rPr>
                <w:rFonts w:hint="eastAsia" w:ascii="宋体" w:hAnsi="宋体"/>
                <w:sz w:val="18"/>
                <w:szCs w:val="18"/>
              </w:rPr>
            </w:pPr>
            <w:r>
              <w:rPr>
                <w:rFonts w:hint="eastAsia" w:ascii="宋体" w:hAnsi="宋体"/>
                <w:sz w:val="18"/>
                <w:szCs w:val="18"/>
              </w:rPr>
              <w:t>理论与实践相结合强调理论知识的学习，使学生掌握仓储与配送管理的基本理论、基本技术方法和实务操作。注重实践操作，通过仿真实训、企业顶岗实习等方式，提升学生的实际操作能力和解决问题的能力。鼓励学生参与案例讨论，培养其分析问题和解决问题的能力。过程评价与结果评价相结合关注学生的学习过程，通过课堂表现、作业完成情况等方式进行过程评价。通过技能考核、期末考试等方式进行结果评价，全面评估学生的学习成果。</w:t>
            </w:r>
          </w:p>
        </w:tc>
      </w:tr>
      <w:tr w14:paraId="659B7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D81A302">
            <w:pPr>
              <w:jc w:val="center"/>
              <w:rPr>
                <w:rFonts w:hint="default" w:ascii="宋体" w:hAnsi="宋体" w:eastAsia="宋体"/>
                <w:sz w:val="18"/>
                <w:szCs w:val="18"/>
                <w:lang w:val="en-US" w:eastAsia="zh-CN"/>
              </w:rPr>
            </w:pPr>
            <w:r>
              <w:rPr>
                <w:rFonts w:hint="eastAsia" w:ascii="宋体" w:hAnsi="宋体"/>
                <w:sz w:val="18"/>
                <w:szCs w:val="18"/>
                <w:lang w:val="en-US" w:eastAsia="zh-CN"/>
              </w:rPr>
              <w:t>20</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5925B6D1">
            <w:pPr>
              <w:jc w:val="center"/>
              <w:rPr>
                <w:rFonts w:hint="eastAsia" w:ascii="宋体" w:hAnsi="宋体"/>
                <w:color w:val="000000"/>
                <w:sz w:val="18"/>
                <w:szCs w:val="18"/>
              </w:rPr>
            </w:pPr>
          </w:p>
        </w:tc>
        <w:tc>
          <w:tcPr>
            <w:tcW w:w="919" w:type="dxa"/>
            <w:tcBorders>
              <w:top w:val="single" w:color="auto" w:sz="4" w:space="0"/>
              <w:left w:val="single" w:color="auto" w:sz="4" w:space="0"/>
              <w:bottom w:val="single" w:color="auto" w:sz="4" w:space="0"/>
              <w:right w:val="single" w:color="auto" w:sz="4" w:space="0"/>
            </w:tcBorders>
          </w:tcPr>
          <w:p w14:paraId="576FF994">
            <w:pPr>
              <w:rPr>
                <w:rFonts w:hint="eastAsia" w:ascii="Times New Roman" w:hAnsi="Times New Roman"/>
                <w:spacing w:val="-20"/>
                <w:sz w:val="18"/>
                <w:szCs w:val="18"/>
              </w:rPr>
            </w:pPr>
          </w:p>
          <w:p w14:paraId="071D5763">
            <w:pPr>
              <w:rPr>
                <w:rFonts w:hint="eastAsia" w:ascii="Times New Roman" w:hAnsi="Times New Roman"/>
                <w:spacing w:val="-20"/>
                <w:sz w:val="18"/>
                <w:szCs w:val="18"/>
              </w:rPr>
            </w:pPr>
          </w:p>
          <w:p w14:paraId="58281A28">
            <w:pPr>
              <w:rPr>
                <w:rFonts w:hint="eastAsia" w:ascii="Times New Roman" w:hAnsi="Times New Roman"/>
                <w:spacing w:val="-20"/>
                <w:sz w:val="18"/>
                <w:szCs w:val="18"/>
              </w:rPr>
            </w:pPr>
          </w:p>
          <w:p w14:paraId="25F3613E">
            <w:pPr>
              <w:rPr>
                <w:rFonts w:hint="eastAsia" w:ascii="Times New Roman" w:hAnsi="Times New Roman"/>
                <w:spacing w:val="-20"/>
                <w:sz w:val="18"/>
                <w:szCs w:val="18"/>
              </w:rPr>
            </w:pPr>
          </w:p>
          <w:p w14:paraId="0DA26B44">
            <w:pPr>
              <w:rPr>
                <w:rFonts w:hint="eastAsia" w:ascii="Times New Roman" w:hAnsi="Times New Roman"/>
                <w:spacing w:val="-20"/>
                <w:sz w:val="18"/>
                <w:szCs w:val="18"/>
              </w:rPr>
            </w:pPr>
          </w:p>
          <w:p w14:paraId="6E3BAD5F">
            <w:pPr>
              <w:rPr>
                <w:rFonts w:hint="eastAsia" w:ascii="宋体" w:hAnsi="宋体"/>
                <w:sz w:val="18"/>
                <w:szCs w:val="18"/>
              </w:rPr>
            </w:pPr>
            <w:r>
              <w:rPr>
                <w:rFonts w:hint="eastAsia" w:ascii="Times New Roman" w:hAnsi="Times New Roman"/>
                <w:spacing w:val="-20"/>
                <w:sz w:val="18"/>
                <w:szCs w:val="18"/>
              </w:rPr>
              <w:t>运输管理实务★</w:t>
            </w:r>
          </w:p>
        </w:tc>
        <w:tc>
          <w:tcPr>
            <w:tcW w:w="2415" w:type="dxa"/>
            <w:tcBorders>
              <w:top w:val="single" w:color="auto" w:sz="4" w:space="0"/>
              <w:left w:val="single" w:color="auto" w:sz="4" w:space="0"/>
              <w:bottom w:val="single" w:color="auto" w:sz="4" w:space="0"/>
              <w:right w:val="single" w:color="auto" w:sz="4" w:space="0"/>
            </w:tcBorders>
          </w:tcPr>
          <w:p w14:paraId="2C7DF77F">
            <w:pPr>
              <w:spacing w:line="320" w:lineRule="exact"/>
            </w:pPr>
            <w:r>
              <w:rPr>
                <w:rFonts w:hint="eastAsia"/>
              </w:rPr>
              <w:t>1、熟悉各种运输方式的技术经济特征；</w:t>
            </w:r>
          </w:p>
          <w:p w14:paraId="493163A3">
            <w:pPr>
              <w:spacing w:line="320" w:lineRule="exact"/>
            </w:pPr>
            <w:r>
              <w:rPr>
                <w:rFonts w:hint="eastAsia"/>
              </w:rPr>
              <w:t>2、熟悉物流运输成本的基本构成和计算方法；</w:t>
            </w:r>
          </w:p>
          <w:p w14:paraId="0BAD63EC">
            <w:pPr>
              <w:spacing w:line="320" w:lineRule="exact"/>
            </w:pPr>
            <w:r>
              <w:rPr>
                <w:rFonts w:hint="eastAsia"/>
              </w:rPr>
              <w:t>3、掌握各种运输单证的填制要求与原则；</w:t>
            </w:r>
          </w:p>
          <w:p w14:paraId="516CE2AA">
            <w:pPr>
              <w:spacing w:line="320" w:lineRule="exact"/>
            </w:pPr>
            <w:r>
              <w:rPr>
                <w:rFonts w:hint="eastAsia"/>
              </w:rPr>
              <w:t>4、掌握货物的分类与特点及其对物流运输的影响；</w:t>
            </w:r>
          </w:p>
          <w:p w14:paraId="1C8B85B4">
            <w:pPr>
              <w:spacing w:line="320" w:lineRule="exact"/>
            </w:pPr>
            <w:r>
              <w:rPr>
                <w:rFonts w:hint="eastAsia"/>
              </w:rPr>
              <w:t>5、掌握集装箱运输、多式联运的组织与管理业务流程；</w:t>
            </w:r>
          </w:p>
          <w:p w14:paraId="51362525">
            <w:pPr>
              <w:spacing w:line="320" w:lineRule="exact"/>
            </w:pPr>
            <w:r>
              <w:rPr>
                <w:rFonts w:hint="eastAsia"/>
              </w:rPr>
              <w:t>6、了解运输合同签订</w:t>
            </w:r>
          </w:p>
          <w:p w14:paraId="039A0BCD">
            <w:pPr>
              <w:ind w:firstLine="360" w:firstLineChars="200"/>
              <w:rPr>
                <w:rFonts w:hint="eastAsia" w:ascii="宋体" w:hAnsi="宋体"/>
                <w:sz w:val="18"/>
                <w:szCs w:val="18"/>
              </w:rPr>
            </w:pPr>
          </w:p>
        </w:tc>
        <w:tc>
          <w:tcPr>
            <w:tcW w:w="2155" w:type="dxa"/>
            <w:tcBorders>
              <w:top w:val="single" w:color="auto" w:sz="4" w:space="0"/>
              <w:left w:val="single" w:color="auto" w:sz="4" w:space="0"/>
              <w:bottom w:val="single" w:color="auto" w:sz="4" w:space="0"/>
              <w:right w:val="single" w:color="auto" w:sz="4" w:space="0"/>
            </w:tcBorders>
          </w:tcPr>
          <w:p w14:paraId="47374FFD">
            <w:pPr>
              <w:spacing w:line="320" w:lineRule="exact"/>
              <w:rPr>
                <w:rFonts w:hint="eastAsia" w:ascii="宋体" w:hAnsi="宋体"/>
                <w:sz w:val="18"/>
                <w:szCs w:val="18"/>
              </w:rPr>
            </w:pPr>
            <w:r>
              <w:rPr>
                <w:rFonts w:hint="eastAsia" w:ascii="宋体" w:hAnsi="宋体"/>
                <w:sz w:val="18"/>
                <w:szCs w:val="18"/>
              </w:rPr>
              <w:t>物流运输基础认知</w:t>
            </w:r>
          </w:p>
          <w:p w14:paraId="401F5605">
            <w:pPr>
              <w:spacing w:line="320" w:lineRule="exact"/>
              <w:rPr>
                <w:rFonts w:hint="eastAsia" w:ascii="宋体" w:hAnsi="宋体"/>
                <w:sz w:val="18"/>
                <w:szCs w:val="18"/>
              </w:rPr>
            </w:pPr>
            <w:r>
              <w:rPr>
                <w:rFonts w:hint="eastAsia" w:ascii="宋体" w:hAnsi="宋体"/>
                <w:sz w:val="18"/>
                <w:szCs w:val="18"/>
              </w:rPr>
              <w:t>物流运输方式管理</w:t>
            </w:r>
          </w:p>
          <w:p w14:paraId="78A13400">
            <w:pPr>
              <w:spacing w:line="320" w:lineRule="exact"/>
              <w:rPr>
                <w:rFonts w:hint="eastAsia" w:ascii="宋体" w:hAnsi="宋体"/>
                <w:sz w:val="18"/>
                <w:szCs w:val="18"/>
              </w:rPr>
            </w:pPr>
            <w:r>
              <w:rPr>
                <w:rFonts w:hint="eastAsia" w:ascii="宋体" w:hAnsi="宋体"/>
                <w:sz w:val="18"/>
                <w:szCs w:val="18"/>
              </w:rPr>
              <w:t>物流运输决策和优化</w:t>
            </w:r>
          </w:p>
          <w:p w14:paraId="64B4537B">
            <w:pPr>
              <w:spacing w:line="320" w:lineRule="exact"/>
              <w:rPr>
                <w:rFonts w:hint="eastAsia" w:ascii="宋体" w:hAnsi="宋体"/>
                <w:sz w:val="18"/>
                <w:szCs w:val="18"/>
              </w:rPr>
            </w:pPr>
            <w:r>
              <w:rPr>
                <w:rFonts w:hint="eastAsia" w:ascii="宋体" w:hAnsi="宋体"/>
                <w:sz w:val="18"/>
                <w:szCs w:val="18"/>
              </w:rPr>
              <w:t>物流运输作业管理</w:t>
            </w:r>
          </w:p>
          <w:p w14:paraId="3ECF2B29">
            <w:pPr>
              <w:spacing w:line="320" w:lineRule="exact"/>
              <w:rPr>
                <w:rFonts w:hint="eastAsia" w:ascii="宋体" w:hAnsi="宋体"/>
                <w:sz w:val="18"/>
                <w:szCs w:val="18"/>
              </w:rPr>
            </w:pPr>
            <w:r>
              <w:rPr>
                <w:rFonts w:hint="eastAsia" w:ascii="宋体" w:hAnsi="宋体"/>
                <w:sz w:val="18"/>
                <w:szCs w:val="18"/>
              </w:rPr>
              <w:t>物流运输承运商管理</w:t>
            </w:r>
          </w:p>
          <w:p w14:paraId="16F06A3D">
            <w:pPr>
              <w:spacing w:line="320" w:lineRule="exact"/>
              <w:rPr>
                <w:rFonts w:hint="eastAsia" w:ascii="宋体" w:hAnsi="宋体"/>
                <w:sz w:val="18"/>
                <w:szCs w:val="18"/>
              </w:rPr>
            </w:pPr>
            <w:r>
              <w:rPr>
                <w:rFonts w:hint="eastAsia" w:ascii="宋体" w:hAnsi="宋体"/>
                <w:sz w:val="18"/>
                <w:szCs w:val="18"/>
              </w:rPr>
              <w:t>物流运输成本管理</w:t>
            </w:r>
          </w:p>
          <w:p w14:paraId="5FFE195B">
            <w:pPr>
              <w:spacing w:line="320" w:lineRule="exact"/>
              <w:rPr>
                <w:rFonts w:hint="eastAsia" w:ascii="宋体" w:hAnsi="宋体"/>
                <w:sz w:val="18"/>
                <w:szCs w:val="18"/>
              </w:rPr>
            </w:pPr>
            <w:r>
              <w:rPr>
                <w:rFonts w:hint="eastAsia" w:ascii="宋体" w:hAnsi="宋体"/>
                <w:sz w:val="18"/>
                <w:szCs w:val="18"/>
              </w:rPr>
              <w:t>物流运输合同与运输纠纷</w:t>
            </w:r>
          </w:p>
          <w:p w14:paraId="0882DB0A">
            <w:pPr>
              <w:rPr>
                <w:rFonts w:hint="eastAsia" w:ascii="宋体" w:hAnsi="宋体"/>
                <w:sz w:val="18"/>
                <w:szCs w:val="18"/>
              </w:rPr>
            </w:pPr>
            <w:r>
              <w:rPr>
                <w:rFonts w:hint="eastAsia" w:ascii="宋体" w:hAnsi="宋体"/>
                <w:sz w:val="18"/>
                <w:szCs w:val="18"/>
              </w:rPr>
              <w:t>物流运输法律法规</w:t>
            </w:r>
          </w:p>
        </w:tc>
        <w:tc>
          <w:tcPr>
            <w:tcW w:w="2801" w:type="dxa"/>
            <w:tcBorders>
              <w:top w:val="single" w:color="auto" w:sz="4" w:space="0"/>
              <w:left w:val="single" w:color="auto" w:sz="4" w:space="0"/>
              <w:bottom w:val="single" w:color="auto" w:sz="4" w:space="0"/>
              <w:right w:val="single" w:color="auto" w:sz="4" w:space="0"/>
            </w:tcBorders>
          </w:tcPr>
          <w:p w14:paraId="4F736513">
            <w:pPr>
              <w:rPr>
                <w:rFonts w:hint="eastAsia" w:ascii="宋体" w:hAnsi="宋体"/>
                <w:sz w:val="18"/>
                <w:szCs w:val="18"/>
              </w:rPr>
            </w:pPr>
            <w:r>
              <w:rPr>
                <w:rFonts w:hint="eastAsia" w:ascii="宋体" w:hAnsi="宋体"/>
                <w:sz w:val="18"/>
                <w:szCs w:val="18"/>
              </w:rPr>
              <w:t>本课程是物流管理专业的专业核心理论课程，是以现代物流运输管理活动作为研究对象，在对物流运输管理的基本原理、功能等做简要介绍的基础上，主要讲解了物流运输管理的运作实务的一门课程。该课程在物流管理专业高技能人才培养中承担了学生具有良好职业道德的、具有物流运输管理理论和实践能力的、具有可持续发展能力培养的作用。</w:t>
            </w:r>
          </w:p>
        </w:tc>
      </w:tr>
      <w:tr w14:paraId="3F39C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83C52C8">
            <w:pPr>
              <w:jc w:val="center"/>
              <w:rPr>
                <w:rFonts w:hint="default" w:ascii="宋体" w:hAnsi="宋体" w:eastAsia="宋体"/>
                <w:sz w:val="18"/>
                <w:szCs w:val="18"/>
                <w:lang w:val="en-US" w:eastAsia="zh-CN"/>
              </w:rPr>
            </w:pPr>
            <w:r>
              <w:rPr>
                <w:rFonts w:hint="eastAsia" w:ascii="宋体" w:hAnsi="宋体"/>
                <w:sz w:val="18"/>
                <w:szCs w:val="18"/>
                <w:lang w:val="en-US" w:eastAsia="zh-CN"/>
              </w:rPr>
              <w:t>21</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3968459E">
            <w:pPr>
              <w:jc w:val="center"/>
              <w:rPr>
                <w:rFonts w:hint="eastAsia" w:ascii="宋体" w:hAnsi="宋体"/>
                <w:color w:val="000000"/>
                <w:sz w:val="18"/>
                <w:szCs w:val="18"/>
              </w:rPr>
            </w:pPr>
          </w:p>
        </w:tc>
        <w:tc>
          <w:tcPr>
            <w:tcW w:w="919" w:type="dxa"/>
            <w:tcBorders>
              <w:top w:val="single" w:color="auto" w:sz="4" w:space="0"/>
              <w:left w:val="single" w:color="auto" w:sz="4" w:space="0"/>
              <w:bottom w:val="single" w:color="auto" w:sz="4" w:space="0"/>
              <w:right w:val="single" w:color="auto" w:sz="4" w:space="0"/>
            </w:tcBorders>
          </w:tcPr>
          <w:p w14:paraId="48A45236">
            <w:pPr>
              <w:rPr>
                <w:rFonts w:hint="eastAsia" w:ascii="Times New Roman" w:hAnsi="Times New Roman"/>
                <w:spacing w:val="-20"/>
                <w:sz w:val="18"/>
                <w:szCs w:val="18"/>
              </w:rPr>
            </w:pPr>
          </w:p>
          <w:p w14:paraId="0279BA81">
            <w:pPr>
              <w:rPr>
                <w:rFonts w:hint="eastAsia" w:ascii="Times New Roman" w:hAnsi="Times New Roman"/>
                <w:spacing w:val="-20"/>
                <w:sz w:val="18"/>
                <w:szCs w:val="18"/>
              </w:rPr>
            </w:pPr>
          </w:p>
          <w:p w14:paraId="344B5D59">
            <w:pPr>
              <w:rPr>
                <w:rFonts w:hint="eastAsia" w:ascii="Times New Roman" w:hAnsi="Times New Roman"/>
                <w:spacing w:val="-20"/>
                <w:sz w:val="18"/>
                <w:szCs w:val="18"/>
              </w:rPr>
            </w:pPr>
          </w:p>
          <w:p w14:paraId="65008D3F">
            <w:pPr>
              <w:rPr>
                <w:rFonts w:hint="eastAsia" w:ascii="Times New Roman" w:hAnsi="Times New Roman"/>
                <w:spacing w:val="-20"/>
                <w:sz w:val="18"/>
                <w:szCs w:val="18"/>
              </w:rPr>
            </w:pPr>
          </w:p>
          <w:p w14:paraId="24A00A0C">
            <w:pPr>
              <w:rPr>
                <w:rFonts w:hint="eastAsia" w:ascii="Times New Roman" w:hAnsi="Times New Roman"/>
                <w:spacing w:val="-20"/>
                <w:sz w:val="18"/>
                <w:szCs w:val="18"/>
              </w:rPr>
            </w:pPr>
          </w:p>
          <w:p w14:paraId="778000B0">
            <w:pPr>
              <w:rPr>
                <w:rFonts w:hint="eastAsia" w:ascii="Times New Roman" w:hAnsi="Times New Roman"/>
                <w:spacing w:val="-20"/>
                <w:sz w:val="18"/>
                <w:szCs w:val="18"/>
              </w:rPr>
            </w:pPr>
          </w:p>
          <w:p w14:paraId="7B8A2483">
            <w:pPr>
              <w:rPr>
                <w:rFonts w:hint="eastAsia" w:ascii="Times New Roman" w:hAnsi="Times New Roman"/>
                <w:spacing w:val="-20"/>
                <w:sz w:val="18"/>
                <w:szCs w:val="18"/>
              </w:rPr>
            </w:pPr>
          </w:p>
          <w:p w14:paraId="34B956E1">
            <w:pPr>
              <w:rPr>
                <w:rFonts w:hint="eastAsia" w:ascii="Times New Roman" w:hAnsi="Times New Roman"/>
                <w:spacing w:val="-20"/>
                <w:sz w:val="18"/>
                <w:szCs w:val="18"/>
              </w:rPr>
            </w:pPr>
          </w:p>
          <w:p w14:paraId="73F2956E">
            <w:pPr>
              <w:rPr>
                <w:rFonts w:hint="eastAsia" w:ascii="Times New Roman" w:hAnsi="Times New Roman"/>
                <w:spacing w:val="-20"/>
                <w:sz w:val="18"/>
                <w:szCs w:val="18"/>
              </w:rPr>
            </w:pPr>
          </w:p>
          <w:p w14:paraId="2FE735DD">
            <w:pPr>
              <w:rPr>
                <w:rFonts w:hint="eastAsia" w:ascii="Times New Roman" w:hAnsi="Times New Roman"/>
                <w:spacing w:val="-20"/>
                <w:sz w:val="18"/>
                <w:szCs w:val="18"/>
              </w:rPr>
            </w:pPr>
          </w:p>
          <w:p w14:paraId="690CD5CC">
            <w:pPr>
              <w:rPr>
                <w:rFonts w:hint="eastAsia" w:ascii="宋体" w:hAnsi="宋体"/>
                <w:sz w:val="18"/>
                <w:szCs w:val="18"/>
              </w:rPr>
            </w:pPr>
            <w:r>
              <w:rPr>
                <w:rFonts w:hint="eastAsia" w:ascii="Times New Roman" w:hAnsi="Times New Roman"/>
                <w:spacing w:val="-20"/>
                <w:sz w:val="18"/>
                <w:szCs w:val="18"/>
              </w:rPr>
              <w:t>国际物流实务★</w:t>
            </w:r>
          </w:p>
        </w:tc>
        <w:tc>
          <w:tcPr>
            <w:tcW w:w="2415" w:type="dxa"/>
            <w:tcBorders>
              <w:top w:val="single" w:color="auto" w:sz="4" w:space="0"/>
              <w:left w:val="single" w:color="auto" w:sz="4" w:space="0"/>
              <w:bottom w:val="single" w:color="auto" w:sz="4" w:space="0"/>
              <w:right w:val="single" w:color="auto" w:sz="4" w:space="0"/>
            </w:tcBorders>
          </w:tcPr>
          <w:p w14:paraId="0C49EC2B">
            <w:pPr>
              <w:spacing w:line="320" w:lineRule="exact"/>
              <w:rPr>
                <w:rFonts w:hint="eastAsia" w:ascii="宋体" w:hAnsi="宋体"/>
                <w:sz w:val="18"/>
                <w:szCs w:val="18"/>
              </w:rPr>
            </w:pPr>
            <w:r>
              <w:rPr>
                <w:rFonts w:hint="eastAsia" w:ascii="宋体" w:hAnsi="宋体"/>
                <w:sz w:val="18"/>
                <w:szCs w:val="18"/>
              </w:rPr>
              <w:t>(1)能熟练描述出国际货运代理服务内容、掌握行业从业规范；</w:t>
            </w:r>
          </w:p>
          <w:p w14:paraId="25BD1994">
            <w:pPr>
              <w:spacing w:line="320" w:lineRule="exact"/>
              <w:rPr>
                <w:rFonts w:hint="eastAsia" w:ascii="宋体" w:hAnsi="宋体"/>
                <w:sz w:val="18"/>
                <w:szCs w:val="18"/>
              </w:rPr>
            </w:pPr>
            <w:r>
              <w:rPr>
                <w:rFonts w:hint="eastAsia" w:ascii="宋体" w:hAnsi="宋体"/>
                <w:sz w:val="18"/>
                <w:szCs w:val="18"/>
              </w:rPr>
              <w:t>(2)能按货运代理流程，处理揽货、订舱、托运、仓储、包装等货代业务；</w:t>
            </w:r>
          </w:p>
          <w:p w14:paraId="3F1FE6FF">
            <w:pPr>
              <w:spacing w:line="320" w:lineRule="exact"/>
              <w:rPr>
                <w:rFonts w:hint="eastAsia" w:ascii="宋体" w:hAnsi="宋体"/>
                <w:sz w:val="18"/>
                <w:szCs w:val="18"/>
              </w:rPr>
            </w:pPr>
            <w:r>
              <w:rPr>
                <w:rFonts w:hint="eastAsia" w:ascii="宋体" w:hAnsi="宋体"/>
                <w:sz w:val="18"/>
                <w:szCs w:val="18"/>
              </w:rPr>
              <w:t>(3)能熟练掌握货物监管、监卸、分拨、中转、集装箱拼箱、拆箱等货代服务技能；</w:t>
            </w:r>
          </w:p>
          <w:p w14:paraId="79048FE1">
            <w:pPr>
              <w:spacing w:line="320" w:lineRule="exact"/>
              <w:rPr>
                <w:rFonts w:hint="eastAsia" w:ascii="宋体" w:hAnsi="宋体"/>
                <w:sz w:val="18"/>
                <w:szCs w:val="18"/>
              </w:rPr>
            </w:pPr>
            <w:r>
              <w:rPr>
                <w:rFonts w:hint="eastAsia" w:ascii="宋体" w:hAnsi="宋体"/>
                <w:sz w:val="18"/>
                <w:szCs w:val="18"/>
              </w:rPr>
              <w:t xml:space="preserve">(4)掌握货物及运输工具报关、报检、报验、保险、运费交付、结算等基本流程及相关单证的缮制方法； </w:t>
            </w:r>
          </w:p>
          <w:p w14:paraId="379695F5">
            <w:pPr>
              <w:spacing w:line="320" w:lineRule="exact"/>
              <w:rPr>
                <w:rFonts w:hint="eastAsia" w:ascii="宋体" w:hAnsi="宋体"/>
                <w:sz w:val="18"/>
                <w:szCs w:val="18"/>
              </w:rPr>
            </w:pPr>
            <w:r>
              <w:rPr>
                <w:rFonts w:hint="eastAsia" w:ascii="宋体" w:hAnsi="宋体"/>
                <w:sz w:val="18"/>
                <w:szCs w:val="18"/>
              </w:rPr>
              <w:t>(5)熟练掌握国际多式联运、集运等货运组织方式方法；</w:t>
            </w:r>
          </w:p>
          <w:p w14:paraId="2141228E">
            <w:pPr>
              <w:ind w:firstLine="360" w:firstLineChars="200"/>
              <w:rPr>
                <w:rFonts w:hint="eastAsia" w:ascii="宋体" w:hAnsi="宋体"/>
                <w:sz w:val="18"/>
                <w:szCs w:val="18"/>
              </w:rPr>
            </w:pPr>
            <w:r>
              <w:rPr>
                <w:rFonts w:hint="eastAsia" w:ascii="宋体" w:hAnsi="宋体"/>
                <w:sz w:val="18"/>
                <w:szCs w:val="18"/>
              </w:rPr>
              <w:t>(6)能熟练掌握货运代理咨询技能及其他国际货运代理业务。</w:t>
            </w:r>
          </w:p>
        </w:tc>
        <w:tc>
          <w:tcPr>
            <w:tcW w:w="2155" w:type="dxa"/>
            <w:tcBorders>
              <w:top w:val="single" w:color="auto" w:sz="4" w:space="0"/>
              <w:left w:val="single" w:color="auto" w:sz="4" w:space="0"/>
              <w:bottom w:val="single" w:color="auto" w:sz="4" w:space="0"/>
              <w:right w:val="single" w:color="auto" w:sz="4" w:space="0"/>
            </w:tcBorders>
          </w:tcPr>
          <w:p w14:paraId="12A5A234">
            <w:pPr>
              <w:spacing w:line="320" w:lineRule="exact"/>
              <w:rPr>
                <w:rFonts w:hint="eastAsia" w:ascii="宋体" w:hAnsi="宋体"/>
                <w:sz w:val="18"/>
                <w:szCs w:val="18"/>
              </w:rPr>
            </w:pPr>
            <w:r>
              <w:rPr>
                <w:rFonts w:ascii="宋体" w:hAnsi="宋体"/>
                <w:sz w:val="18"/>
                <w:szCs w:val="18"/>
              </w:rPr>
              <w:t>合同磋商</w:t>
            </w:r>
          </w:p>
          <w:p w14:paraId="6DBAC479">
            <w:pPr>
              <w:spacing w:line="320" w:lineRule="exact"/>
              <w:rPr>
                <w:rFonts w:hint="eastAsia" w:ascii="宋体" w:hAnsi="宋体"/>
                <w:sz w:val="18"/>
                <w:szCs w:val="18"/>
              </w:rPr>
            </w:pPr>
            <w:r>
              <w:rPr>
                <w:rFonts w:ascii="宋体" w:hAnsi="宋体"/>
                <w:sz w:val="18"/>
                <w:szCs w:val="18"/>
              </w:rPr>
              <w:t>合同标的-商品品质、数量、包装及条款的订立</w:t>
            </w:r>
          </w:p>
          <w:p w14:paraId="01262F6F">
            <w:pPr>
              <w:spacing w:line="320" w:lineRule="exact"/>
              <w:rPr>
                <w:rFonts w:hint="eastAsia" w:ascii="宋体" w:hAnsi="宋体"/>
                <w:sz w:val="18"/>
                <w:szCs w:val="18"/>
              </w:rPr>
            </w:pPr>
            <w:r>
              <w:rPr>
                <w:rFonts w:ascii="宋体" w:hAnsi="宋体"/>
                <w:sz w:val="18"/>
                <w:szCs w:val="18"/>
              </w:rPr>
              <w:t>合同价格及价格条款的订立</w:t>
            </w:r>
          </w:p>
          <w:p w14:paraId="0F6D433B">
            <w:pPr>
              <w:spacing w:line="320" w:lineRule="exact"/>
              <w:rPr>
                <w:rFonts w:hint="eastAsia" w:ascii="宋体" w:hAnsi="宋体"/>
                <w:sz w:val="18"/>
                <w:szCs w:val="18"/>
              </w:rPr>
            </w:pPr>
            <w:r>
              <w:rPr>
                <w:rFonts w:ascii="宋体" w:hAnsi="宋体"/>
                <w:sz w:val="18"/>
                <w:szCs w:val="18"/>
              </w:rPr>
              <w:t>货物运输及运输条款的订立</w:t>
            </w:r>
          </w:p>
          <w:p w14:paraId="606C1BB5">
            <w:pPr>
              <w:spacing w:line="320" w:lineRule="exact"/>
              <w:rPr>
                <w:rFonts w:hint="eastAsia" w:ascii="宋体" w:hAnsi="宋体"/>
                <w:sz w:val="18"/>
                <w:szCs w:val="18"/>
              </w:rPr>
            </w:pPr>
            <w:r>
              <w:rPr>
                <w:rFonts w:ascii="宋体" w:hAnsi="宋体"/>
                <w:sz w:val="18"/>
                <w:szCs w:val="18"/>
              </w:rPr>
              <w:t>运输保险及保险条款订立</w:t>
            </w:r>
          </w:p>
          <w:p w14:paraId="1FE8907D">
            <w:pPr>
              <w:spacing w:line="320" w:lineRule="exact"/>
              <w:rPr>
                <w:rFonts w:hint="eastAsia" w:ascii="宋体" w:hAnsi="宋体"/>
                <w:sz w:val="18"/>
                <w:szCs w:val="18"/>
              </w:rPr>
            </w:pPr>
            <w:r>
              <w:rPr>
                <w:rFonts w:ascii="宋体" w:hAnsi="宋体"/>
                <w:sz w:val="18"/>
                <w:szCs w:val="18"/>
              </w:rPr>
              <w:t>货款结算及支付条款的订立</w:t>
            </w:r>
          </w:p>
          <w:p w14:paraId="0059492D">
            <w:pPr>
              <w:spacing w:line="320" w:lineRule="exact"/>
              <w:rPr>
                <w:rFonts w:hint="eastAsia" w:ascii="宋体" w:hAnsi="宋体"/>
                <w:sz w:val="18"/>
                <w:szCs w:val="18"/>
              </w:rPr>
            </w:pPr>
            <w:r>
              <w:rPr>
                <w:rFonts w:ascii="宋体" w:hAnsi="宋体"/>
                <w:sz w:val="18"/>
                <w:szCs w:val="18"/>
              </w:rPr>
              <w:t>合同次要条款</w:t>
            </w:r>
          </w:p>
          <w:p w14:paraId="626951EB">
            <w:pPr>
              <w:rPr>
                <w:rFonts w:hint="eastAsia" w:ascii="宋体" w:hAnsi="宋体"/>
                <w:sz w:val="18"/>
                <w:szCs w:val="18"/>
              </w:rPr>
            </w:pPr>
            <w:r>
              <w:rPr>
                <w:rFonts w:ascii="宋体" w:hAnsi="宋体"/>
                <w:sz w:val="18"/>
                <w:szCs w:val="18"/>
              </w:rPr>
              <w:t>进出口合同履行</w:t>
            </w:r>
          </w:p>
        </w:tc>
        <w:tc>
          <w:tcPr>
            <w:tcW w:w="2801" w:type="dxa"/>
            <w:tcBorders>
              <w:top w:val="single" w:color="auto" w:sz="4" w:space="0"/>
              <w:left w:val="single" w:color="auto" w:sz="4" w:space="0"/>
              <w:bottom w:val="single" w:color="auto" w:sz="4" w:space="0"/>
              <w:right w:val="single" w:color="auto" w:sz="4" w:space="0"/>
            </w:tcBorders>
          </w:tcPr>
          <w:p w14:paraId="2266D7F2">
            <w:pPr>
              <w:ind w:firstLine="360" w:firstLineChars="200"/>
              <w:rPr>
                <w:rFonts w:hint="eastAsia" w:ascii="宋体" w:hAnsi="宋体"/>
                <w:sz w:val="18"/>
                <w:szCs w:val="18"/>
              </w:rPr>
            </w:pPr>
            <w:r>
              <w:rPr>
                <w:rFonts w:hint="eastAsia" w:ascii="宋体" w:hAnsi="宋体"/>
                <w:sz w:val="18"/>
                <w:szCs w:val="18"/>
              </w:rPr>
              <w:t>本课程是物流管理专业的专业基础课程，课程理论和实践并重，以实践践行理论。课程的前续课程是物流管理概论，商品学，仓储管理等，后续课程是供应链管理和成本管理。该课程由国际货运代理基础、国际货运代理法律、国际海运代理实务、国际航空货运代理实务、国际陆路货运代理实务、国际集装箱多式联运代理实务六大模块组成，具体细分为国际货运代理基础、国际货运代理法律、代理报检与报关、国际海运代理实务、国际航空货运代理实务、国际陆路货运代理实务、国际集装箱及多式联运代理实务、仓储包装流通加工代理实务、货运市场营销、国际货运代理纠纷处理十个领域。每一领域又分成若干个项目。将职业行动领域的工作过程融合在项目训练中。</w:t>
            </w:r>
          </w:p>
        </w:tc>
      </w:tr>
      <w:tr w14:paraId="6EB54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CD85911">
            <w:pPr>
              <w:jc w:val="center"/>
              <w:rPr>
                <w:rFonts w:hint="default" w:ascii="宋体" w:hAnsi="宋体" w:eastAsia="宋体"/>
                <w:sz w:val="18"/>
                <w:szCs w:val="18"/>
                <w:lang w:val="en-US" w:eastAsia="zh-CN"/>
              </w:rPr>
            </w:pPr>
            <w:r>
              <w:rPr>
                <w:rFonts w:hint="eastAsia" w:ascii="宋体" w:hAnsi="宋体"/>
                <w:sz w:val="18"/>
                <w:szCs w:val="18"/>
                <w:lang w:val="en-US" w:eastAsia="zh-CN"/>
              </w:rPr>
              <w:t>22</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72CCA265">
            <w:pPr>
              <w:jc w:val="center"/>
              <w:rPr>
                <w:rFonts w:hint="eastAsia" w:ascii="宋体" w:hAnsi="宋体"/>
                <w:color w:val="000000"/>
                <w:sz w:val="18"/>
                <w:szCs w:val="18"/>
              </w:rPr>
            </w:pPr>
          </w:p>
        </w:tc>
        <w:tc>
          <w:tcPr>
            <w:tcW w:w="919" w:type="dxa"/>
            <w:tcBorders>
              <w:top w:val="single" w:color="auto" w:sz="4" w:space="0"/>
              <w:left w:val="single" w:color="auto" w:sz="4" w:space="0"/>
              <w:bottom w:val="single" w:color="auto" w:sz="4" w:space="0"/>
              <w:right w:val="single" w:color="auto" w:sz="4" w:space="0"/>
            </w:tcBorders>
          </w:tcPr>
          <w:p w14:paraId="01385474">
            <w:pPr>
              <w:rPr>
                <w:rFonts w:hint="eastAsia" w:ascii="宋体" w:hAnsi="宋体"/>
                <w:sz w:val="18"/>
                <w:szCs w:val="18"/>
              </w:rPr>
            </w:pPr>
          </w:p>
          <w:p w14:paraId="74ED1E07">
            <w:pPr>
              <w:rPr>
                <w:rFonts w:hint="eastAsia" w:ascii="宋体" w:hAnsi="宋体"/>
                <w:sz w:val="18"/>
                <w:szCs w:val="18"/>
              </w:rPr>
            </w:pPr>
          </w:p>
          <w:p w14:paraId="774BB9A4">
            <w:pPr>
              <w:rPr>
                <w:rFonts w:hint="eastAsia" w:ascii="宋体" w:hAnsi="宋体"/>
                <w:sz w:val="18"/>
                <w:szCs w:val="18"/>
              </w:rPr>
            </w:pPr>
          </w:p>
          <w:p w14:paraId="7DC983EB">
            <w:pPr>
              <w:rPr>
                <w:rFonts w:hint="eastAsia" w:ascii="宋体" w:hAnsi="宋体"/>
                <w:sz w:val="18"/>
                <w:szCs w:val="18"/>
              </w:rPr>
            </w:pPr>
          </w:p>
          <w:p w14:paraId="4CA086BE">
            <w:pPr>
              <w:rPr>
                <w:rFonts w:hint="eastAsia" w:ascii="宋体" w:hAnsi="宋体"/>
                <w:sz w:val="18"/>
                <w:szCs w:val="18"/>
              </w:rPr>
            </w:pPr>
          </w:p>
          <w:p w14:paraId="4EF07734">
            <w:pPr>
              <w:rPr>
                <w:rFonts w:hint="eastAsia" w:ascii="宋体" w:hAnsi="宋体"/>
                <w:sz w:val="18"/>
                <w:szCs w:val="18"/>
              </w:rPr>
            </w:pPr>
          </w:p>
          <w:p w14:paraId="21EB0156">
            <w:pPr>
              <w:rPr>
                <w:rFonts w:hint="eastAsia" w:ascii="宋体" w:hAnsi="宋体"/>
                <w:sz w:val="18"/>
                <w:szCs w:val="18"/>
              </w:rPr>
            </w:pPr>
          </w:p>
          <w:p w14:paraId="04780F3C">
            <w:pPr>
              <w:rPr>
                <w:rFonts w:hint="eastAsia" w:ascii="宋体" w:hAnsi="宋体"/>
                <w:sz w:val="18"/>
                <w:szCs w:val="18"/>
              </w:rPr>
            </w:pPr>
          </w:p>
          <w:p w14:paraId="4E48D964">
            <w:pPr>
              <w:rPr>
                <w:rFonts w:hint="eastAsia" w:ascii="宋体" w:hAnsi="宋体"/>
                <w:sz w:val="18"/>
                <w:szCs w:val="18"/>
              </w:rPr>
            </w:pPr>
            <w:r>
              <w:rPr>
                <w:rFonts w:hint="eastAsia" w:ascii="宋体" w:hAnsi="宋体"/>
                <w:sz w:val="18"/>
                <w:szCs w:val="18"/>
              </w:rPr>
              <w:t>采购与供应链管理★（</w:t>
            </w:r>
          </w:p>
        </w:tc>
        <w:tc>
          <w:tcPr>
            <w:tcW w:w="2415" w:type="dxa"/>
            <w:tcBorders>
              <w:top w:val="single" w:color="auto" w:sz="4" w:space="0"/>
              <w:left w:val="single" w:color="auto" w:sz="4" w:space="0"/>
              <w:bottom w:val="single" w:color="auto" w:sz="4" w:space="0"/>
              <w:right w:val="single" w:color="auto" w:sz="4" w:space="0"/>
            </w:tcBorders>
          </w:tcPr>
          <w:p w14:paraId="13C2A101">
            <w:pPr>
              <w:rPr>
                <w:rFonts w:hint="eastAsia" w:ascii="宋体" w:hAnsi="宋体"/>
                <w:sz w:val="18"/>
                <w:szCs w:val="18"/>
              </w:rPr>
            </w:pPr>
            <w:r>
              <w:rPr>
                <w:rFonts w:hint="eastAsia" w:ascii="宋体" w:hAnsi="宋体"/>
                <w:sz w:val="18"/>
                <w:szCs w:val="18"/>
              </w:rPr>
              <w:t>掌握采购的概念及一般流程；</w:t>
            </w:r>
          </w:p>
          <w:p w14:paraId="216949CB">
            <w:pPr>
              <w:rPr>
                <w:rFonts w:hint="eastAsia" w:ascii="宋体" w:hAnsi="宋体"/>
                <w:sz w:val="18"/>
                <w:szCs w:val="18"/>
              </w:rPr>
            </w:pPr>
            <w:r>
              <w:rPr>
                <w:rFonts w:hint="eastAsia" w:ascii="宋体" w:hAnsi="宋体"/>
                <w:sz w:val="18"/>
                <w:szCs w:val="18"/>
              </w:rPr>
              <w:t>理解采购的重要性；</w:t>
            </w:r>
          </w:p>
          <w:p w14:paraId="0BFED53A">
            <w:pPr>
              <w:rPr>
                <w:rFonts w:hint="eastAsia" w:ascii="宋体" w:hAnsi="宋体"/>
                <w:sz w:val="18"/>
                <w:szCs w:val="18"/>
              </w:rPr>
            </w:pPr>
            <w:r>
              <w:rPr>
                <w:rFonts w:hint="eastAsia" w:ascii="宋体" w:hAnsi="宋体"/>
                <w:sz w:val="18"/>
                <w:szCs w:val="18"/>
              </w:rPr>
              <w:t>了解采购的组织形式；</w:t>
            </w:r>
          </w:p>
          <w:p w14:paraId="27DEB8C8">
            <w:pPr>
              <w:rPr>
                <w:rFonts w:hint="eastAsia" w:ascii="宋体" w:hAnsi="宋体"/>
                <w:sz w:val="18"/>
                <w:szCs w:val="18"/>
              </w:rPr>
            </w:pPr>
            <w:r>
              <w:rPr>
                <w:rFonts w:hint="eastAsia" w:ascii="宋体" w:hAnsi="宋体"/>
                <w:sz w:val="18"/>
                <w:szCs w:val="18"/>
              </w:rPr>
              <w:t>掌握采购管理流程中的每个环节；</w:t>
            </w:r>
          </w:p>
          <w:p w14:paraId="7DD019EC">
            <w:pPr>
              <w:rPr>
                <w:rFonts w:hint="eastAsia" w:ascii="宋体" w:hAnsi="宋体"/>
                <w:sz w:val="18"/>
                <w:szCs w:val="18"/>
              </w:rPr>
            </w:pPr>
            <w:r>
              <w:rPr>
                <w:rFonts w:hint="eastAsia" w:ascii="宋体" w:hAnsi="宋体"/>
                <w:sz w:val="18"/>
                <w:szCs w:val="18"/>
              </w:rPr>
              <w:t>了解采购需求预测；</w:t>
            </w:r>
          </w:p>
          <w:p w14:paraId="1AE461B0">
            <w:pPr>
              <w:rPr>
                <w:rFonts w:hint="eastAsia" w:ascii="宋体" w:hAnsi="宋体"/>
                <w:sz w:val="18"/>
                <w:szCs w:val="18"/>
              </w:rPr>
            </w:pPr>
            <w:r>
              <w:rPr>
                <w:rFonts w:hint="eastAsia" w:ascii="宋体" w:hAnsi="宋体"/>
                <w:sz w:val="18"/>
                <w:szCs w:val="18"/>
              </w:rPr>
              <w:t>理解采购预算管理；</w:t>
            </w:r>
          </w:p>
          <w:p w14:paraId="03AFDB56">
            <w:pPr>
              <w:rPr>
                <w:rFonts w:hint="eastAsia" w:ascii="宋体" w:hAnsi="宋体"/>
                <w:sz w:val="18"/>
                <w:szCs w:val="18"/>
              </w:rPr>
            </w:pPr>
            <w:r>
              <w:rPr>
                <w:rFonts w:hint="eastAsia" w:ascii="宋体" w:hAnsi="宋体"/>
                <w:sz w:val="18"/>
                <w:szCs w:val="18"/>
              </w:rPr>
              <w:t>了解供应商评估与选择指标的确定；</w:t>
            </w:r>
          </w:p>
          <w:p w14:paraId="3C3F9A41">
            <w:pPr>
              <w:rPr>
                <w:rFonts w:hint="eastAsia" w:ascii="宋体" w:hAnsi="宋体"/>
                <w:sz w:val="18"/>
                <w:szCs w:val="18"/>
              </w:rPr>
            </w:pPr>
            <w:r>
              <w:rPr>
                <w:rFonts w:hint="eastAsia" w:ascii="宋体" w:hAnsi="宋体"/>
                <w:sz w:val="18"/>
                <w:szCs w:val="18"/>
              </w:rPr>
              <w:t>理解供应商关系维护；</w:t>
            </w:r>
          </w:p>
          <w:p w14:paraId="13E549BD">
            <w:pPr>
              <w:rPr>
                <w:rFonts w:hint="eastAsia" w:ascii="宋体" w:hAnsi="宋体"/>
                <w:sz w:val="18"/>
                <w:szCs w:val="18"/>
              </w:rPr>
            </w:pPr>
            <w:r>
              <w:rPr>
                <w:rFonts w:hint="eastAsia" w:ascii="宋体" w:hAnsi="宋体"/>
                <w:sz w:val="18"/>
                <w:szCs w:val="18"/>
              </w:rPr>
              <w:t>了解相关合同法内容；</w:t>
            </w:r>
          </w:p>
          <w:p w14:paraId="49BE0E3A">
            <w:pPr>
              <w:rPr>
                <w:rFonts w:hint="eastAsia" w:ascii="宋体" w:hAnsi="宋体"/>
                <w:sz w:val="18"/>
                <w:szCs w:val="18"/>
              </w:rPr>
            </w:pPr>
            <w:r>
              <w:rPr>
                <w:rFonts w:hint="eastAsia" w:ascii="宋体" w:hAnsi="宋体"/>
                <w:sz w:val="18"/>
                <w:szCs w:val="18"/>
              </w:rPr>
              <w:t>理解各种采购谈判策略；</w:t>
            </w:r>
          </w:p>
          <w:p w14:paraId="01A4C4B8">
            <w:pPr>
              <w:rPr>
                <w:rFonts w:hint="eastAsia" w:ascii="宋体" w:hAnsi="宋体"/>
                <w:sz w:val="18"/>
                <w:szCs w:val="18"/>
              </w:rPr>
            </w:pPr>
            <w:r>
              <w:rPr>
                <w:rFonts w:hint="eastAsia" w:ascii="宋体" w:hAnsi="宋体"/>
                <w:sz w:val="18"/>
                <w:szCs w:val="18"/>
              </w:rPr>
              <w:t>掌握各种支付手段；</w:t>
            </w:r>
          </w:p>
          <w:p w14:paraId="24B062C7">
            <w:pPr>
              <w:rPr>
                <w:rFonts w:hint="eastAsia" w:ascii="宋体" w:hAnsi="宋体"/>
                <w:sz w:val="18"/>
                <w:szCs w:val="18"/>
              </w:rPr>
            </w:pPr>
            <w:r>
              <w:rPr>
                <w:rFonts w:hint="eastAsia" w:ascii="宋体" w:hAnsi="宋体"/>
                <w:sz w:val="18"/>
                <w:szCs w:val="18"/>
              </w:rPr>
              <w:t>了解采购风险管理与绩效评估。</w:t>
            </w:r>
          </w:p>
        </w:tc>
        <w:tc>
          <w:tcPr>
            <w:tcW w:w="2155" w:type="dxa"/>
            <w:tcBorders>
              <w:top w:val="single" w:color="auto" w:sz="4" w:space="0"/>
              <w:left w:val="single" w:color="auto" w:sz="4" w:space="0"/>
              <w:bottom w:val="single" w:color="auto" w:sz="4" w:space="0"/>
              <w:right w:val="single" w:color="auto" w:sz="4" w:space="0"/>
            </w:tcBorders>
          </w:tcPr>
          <w:p w14:paraId="52BC2BED">
            <w:pPr>
              <w:rPr>
                <w:rFonts w:hint="eastAsia" w:ascii="宋体" w:hAnsi="宋体"/>
                <w:sz w:val="18"/>
                <w:szCs w:val="18"/>
              </w:rPr>
            </w:pPr>
            <w:r>
              <w:rPr>
                <w:rFonts w:hint="eastAsia" w:ascii="宋体" w:hAnsi="宋体"/>
                <w:sz w:val="18"/>
                <w:szCs w:val="18"/>
              </w:rPr>
              <w:t>采购管理认知</w:t>
            </w:r>
          </w:p>
          <w:p w14:paraId="69D66D6A">
            <w:pPr>
              <w:rPr>
                <w:rFonts w:hint="eastAsia" w:ascii="宋体" w:hAnsi="宋体"/>
                <w:sz w:val="18"/>
                <w:szCs w:val="18"/>
              </w:rPr>
            </w:pPr>
            <w:r>
              <w:rPr>
                <w:rFonts w:hint="eastAsia" w:ascii="宋体" w:hAnsi="宋体"/>
                <w:sz w:val="18"/>
                <w:szCs w:val="18"/>
              </w:rPr>
              <w:t>采购组织与流程分析</w:t>
            </w:r>
          </w:p>
          <w:p w14:paraId="58DBC6F0">
            <w:pPr>
              <w:rPr>
                <w:rFonts w:hint="eastAsia" w:ascii="宋体" w:hAnsi="宋体"/>
                <w:sz w:val="18"/>
                <w:szCs w:val="18"/>
              </w:rPr>
            </w:pPr>
            <w:r>
              <w:rPr>
                <w:rFonts w:hint="eastAsia" w:ascii="宋体" w:hAnsi="宋体"/>
                <w:sz w:val="18"/>
                <w:szCs w:val="18"/>
              </w:rPr>
              <w:t>采购战略规划</w:t>
            </w:r>
          </w:p>
          <w:p w14:paraId="2C5EA2A6">
            <w:pPr>
              <w:rPr>
                <w:rFonts w:hint="eastAsia" w:ascii="宋体" w:hAnsi="宋体"/>
                <w:sz w:val="18"/>
                <w:szCs w:val="18"/>
              </w:rPr>
            </w:pPr>
            <w:r>
              <w:rPr>
                <w:rFonts w:hint="eastAsia" w:ascii="宋体" w:hAnsi="宋体"/>
                <w:sz w:val="18"/>
                <w:szCs w:val="18"/>
              </w:rPr>
              <w:t>采购计划与预算管理</w:t>
            </w:r>
          </w:p>
          <w:p w14:paraId="5AE30185">
            <w:pPr>
              <w:rPr>
                <w:rFonts w:hint="eastAsia" w:ascii="宋体" w:hAnsi="宋体"/>
                <w:sz w:val="18"/>
                <w:szCs w:val="18"/>
              </w:rPr>
            </w:pPr>
            <w:r>
              <w:rPr>
                <w:rFonts w:hint="eastAsia" w:ascii="宋体" w:hAnsi="宋体"/>
                <w:sz w:val="18"/>
                <w:szCs w:val="18"/>
              </w:rPr>
              <w:t>采购方式选择</w:t>
            </w:r>
          </w:p>
          <w:p w14:paraId="5A46BF25">
            <w:pPr>
              <w:rPr>
                <w:rFonts w:hint="eastAsia" w:ascii="宋体" w:hAnsi="宋体"/>
                <w:sz w:val="18"/>
                <w:szCs w:val="18"/>
              </w:rPr>
            </w:pPr>
            <w:r>
              <w:rPr>
                <w:rFonts w:hint="eastAsia" w:ascii="宋体" w:hAnsi="宋体"/>
                <w:sz w:val="18"/>
                <w:szCs w:val="18"/>
              </w:rPr>
              <w:t>供应商选择与管理</w:t>
            </w:r>
          </w:p>
          <w:p w14:paraId="1FB2BF09">
            <w:pPr>
              <w:rPr>
                <w:rFonts w:hint="eastAsia" w:ascii="宋体" w:hAnsi="宋体"/>
                <w:sz w:val="18"/>
                <w:szCs w:val="18"/>
              </w:rPr>
            </w:pPr>
            <w:r>
              <w:rPr>
                <w:rFonts w:hint="eastAsia" w:ascii="宋体" w:hAnsi="宋体"/>
                <w:sz w:val="18"/>
                <w:szCs w:val="18"/>
              </w:rPr>
              <w:t>采购价格与成本控制</w:t>
            </w:r>
          </w:p>
          <w:p w14:paraId="3373168F">
            <w:pPr>
              <w:rPr>
                <w:rFonts w:hint="eastAsia" w:ascii="宋体" w:hAnsi="宋体"/>
                <w:sz w:val="18"/>
                <w:szCs w:val="18"/>
              </w:rPr>
            </w:pPr>
            <w:r>
              <w:rPr>
                <w:rFonts w:hint="eastAsia" w:ascii="宋体" w:hAnsi="宋体"/>
                <w:sz w:val="18"/>
                <w:szCs w:val="18"/>
              </w:rPr>
              <w:t>采购谈判与合同管理</w:t>
            </w:r>
          </w:p>
        </w:tc>
        <w:tc>
          <w:tcPr>
            <w:tcW w:w="2801" w:type="dxa"/>
            <w:tcBorders>
              <w:top w:val="single" w:color="auto" w:sz="4" w:space="0"/>
              <w:left w:val="single" w:color="auto" w:sz="4" w:space="0"/>
              <w:bottom w:val="single" w:color="auto" w:sz="4" w:space="0"/>
              <w:right w:val="single" w:color="auto" w:sz="4" w:space="0"/>
            </w:tcBorders>
          </w:tcPr>
          <w:p w14:paraId="01EACC43">
            <w:pPr>
              <w:rPr>
                <w:rFonts w:hint="eastAsia" w:ascii="宋体" w:hAnsi="宋体"/>
                <w:sz w:val="18"/>
                <w:szCs w:val="18"/>
              </w:rPr>
            </w:pPr>
            <w:r>
              <w:rPr>
                <w:rFonts w:hint="eastAsia" w:ascii="宋体" w:hAnsi="宋体"/>
                <w:sz w:val="18"/>
                <w:szCs w:val="18"/>
              </w:rPr>
              <w:t>根据行业对物流管理专业人员的职业要求，确定物流管理专业学生职业领域为物流企业管理、采购管理、仓储管理、配送管理、运输管理等主要工作领域，根据工作领域我们可以得出，在采购管理领域，学生初始岗位为采购员，发展或晋升岗位为采购经理人，根据对企业采购员招聘的岗位职责调查得知，大专生在基本的采购员岗位上需要具备的职业核心能力为：供应商管理、采购管理、资料管理。在专业课程体系中，《物流基础》、《MRP管理》是采购管理这门课程的前导课程，通过这些前导课程的学习，学生对采购工作有了初步的认识，掌握了最基本的计划管理方法与手段。</w:t>
            </w:r>
          </w:p>
        </w:tc>
      </w:tr>
      <w:tr w14:paraId="38ECE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85648C4">
            <w:pPr>
              <w:jc w:val="center"/>
              <w:rPr>
                <w:rFonts w:hint="eastAsia" w:ascii="宋体" w:hAnsi="宋体"/>
                <w:sz w:val="18"/>
                <w:szCs w:val="18"/>
              </w:rPr>
            </w:pPr>
          </w:p>
          <w:p w14:paraId="0E2E7D1B">
            <w:pPr>
              <w:jc w:val="center"/>
              <w:rPr>
                <w:rFonts w:hint="eastAsia" w:ascii="宋体" w:hAnsi="宋体"/>
                <w:sz w:val="18"/>
                <w:szCs w:val="18"/>
              </w:rPr>
            </w:pPr>
          </w:p>
          <w:p w14:paraId="753D06B5">
            <w:pPr>
              <w:jc w:val="center"/>
              <w:rPr>
                <w:rFonts w:hint="eastAsia" w:ascii="宋体" w:hAnsi="宋体"/>
                <w:sz w:val="18"/>
                <w:szCs w:val="18"/>
              </w:rPr>
            </w:pPr>
          </w:p>
          <w:p w14:paraId="17ED4B8F">
            <w:pPr>
              <w:jc w:val="center"/>
              <w:rPr>
                <w:rFonts w:hint="eastAsia" w:ascii="宋体" w:hAnsi="宋体"/>
                <w:sz w:val="18"/>
                <w:szCs w:val="18"/>
              </w:rPr>
            </w:pPr>
          </w:p>
          <w:p w14:paraId="251874EF">
            <w:pPr>
              <w:jc w:val="center"/>
              <w:rPr>
                <w:rFonts w:hint="eastAsia" w:ascii="宋体" w:hAnsi="宋体"/>
                <w:sz w:val="18"/>
                <w:szCs w:val="18"/>
              </w:rPr>
            </w:pPr>
          </w:p>
          <w:p w14:paraId="14C38C15">
            <w:pPr>
              <w:jc w:val="center"/>
              <w:rPr>
                <w:rFonts w:hint="eastAsia" w:ascii="宋体" w:hAnsi="宋体"/>
                <w:sz w:val="18"/>
                <w:szCs w:val="18"/>
              </w:rPr>
            </w:pPr>
          </w:p>
          <w:p w14:paraId="0D580530">
            <w:pPr>
              <w:jc w:val="center"/>
              <w:rPr>
                <w:rFonts w:hint="eastAsia" w:ascii="宋体" w:hAnsi="宋体"/>
                <w:sz w:val="18"/>
                <w:szCs w:val="18"/>
              </w:rPr>
            </w:pPr>
          </w:p>
          <w:p w14:paraId="15BDF099">
            <w:pPr>
              <w:jc w:val="center"/>
              <w:rPr>
                <w:rFonts w:hint="default" w:ascii="宋体" w:hAnsi="宋体" w:eastAsia="宋体"/>
                <w:sz w:val="18"/>
                <w:szCs w:val="18"/>
                <w:lang w:val="en-US" w:eastAsia="zh-CN"/>
              </w:rPr>
            </w:pPr>
            <w:r>
              <w:rPr>
                <w:rFonts w:hint="eastAsia" w:ascii="宋体" w:hAnsi="宋体"/>
                <w:sz w:val="18"/>
                <w:szCs w:val="18"/>
                <w:lang w:val="en-US" w:eastAsia="zh-CN"/>
              </w:rPr>
              <w:t>23</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4B485FA0">
            <w:pPr>
              <w:jc w:val="center"/>
              <w:rPr>
                <w:rFonts w:hint="eastAsia" w:ascii="宋体" w:hAnsi="宋体"/>
                <w:color w:val="000000"/>
                <w:sz w:val="18"/>
                <w:szCs w:val="18"/>
              </w:rPr>
            </w:pPr>
          </w:p>
        </w:tc>
        <w:tc>
          <w:tcPr>
            <w:tcW w:w="919" w:type="dxa"/>
            <w:tcBorders>
              <w:top w:val="single" w:color="auto" w:sz="4" w:space="0"/>
              <w:left w:val="single" w:color="auto" w:sz="4" w:space="0"/>
              <w:bottom w:val="single" w:color="auto" w:sz="4" w:space="0"/>
              <w:right w:val="single" w:color="auto" w:sz="4" w:space="0"/>
            </w:tcBorders>
          </w:tcPr>
          <w:p w14:paraId="34EADDFF">
            <w:pPr>
              <w:rPr>
                <w:rFonts w:hint="eastAsia" w:ascii="宋体" w:hAnsi="宋体"/>
                <w:sz w:val="18"/>
                <w:szCs w:val="18"/>
              </w:rPr>
            </w:pPr>
          </w:p>
          <w:p w14:paraId="78F48B7A">
            <w:pPr>
              <w:rPr>
                <w:rFonts w:hint="eastAsia" w:ascii="宋体" w:hAnsi="宋体"/>
                <w:sz w:val="18"/>
                <w:szCs w:val="18"/>
              </w:rPr>
            </w:pPr>
          </w:p>
          <w:p w14:paraId="05A4AC14">
            <w:pPr>
              <w:rPr>
                <w:rFonts w:hint="eastAsia" w:ascii="宋体" w:hAnsi="宋体"/>
                <w:sz w:val="18"/>
                <w:szCs w:val="18"/>
              </w:rPr>
            </w:pPr>
          </w:p>
          <w:p w14:paraId="0D6638A6">
            <w:pPr>
              <w:rPr>
                <w:rFonts w:hint="eastAsia" w:ascii="宋体" w:hAnsi="宋体"/>
                <w:sz w:val="18"/>
                <w:szCs w:val="18"/>
              </w:rPr>
            </w:pPr>
          </w:p>
          <w:p w14:paraId="6E43923C">
            <w:pPr>
              <w:rPr>
                <w:rFonts w:hint="eastAsia" w:ascii="宋体" w:hAnsi="宋体"/>
                <w:sz w:val="18"/>
                <w:szCs w:val="18"/>
              </w:rPr>
            </w:pPr>
          </w:p>
          <w:p w14:paraId="66059AF1">
            <w:pPr>
              <w:rPr>
                <w:rFonts w:hint="eastAsia" w:ascii="宋体" w:hAnsi="宋体"/>
                <w:sz w:val="18"/>
                <w:szCs w:val="18"/>
              </w:rPr>
            </w:pPr>
          </w:p>
          <w:p w14:paraId="1DF473EF">
            <w:pPr>
              <w:rPr>
                <w:rFonts w:hint="eastAsia" w:ascii="宋体" w:hAnsi="宋体"/>
                <w:sz w:val="18"/>
                <w:szCs w:val="18"/>
              </w:rPr>
            </w:pPr>
            <w:r>
              <w:rPr>
                <w:rFonts w:hint="eastAsia" w:ascii="宋体" w:hAnsi="宋体"/>
                <w:sz w:val="18"/>
                <w:szCs w:val="18"/>
              </w:rPr>
              <w:t>物流成本管理★</w:t>
            </w:r>
          </w:p>
        </w:tc>
        <w:tc>
          <w:tcPr>
            <w:tcW w:w="2415" w:type="dxa"/>
            <w:tcBorders>
              <w:top w:val="single" w:color="auto" w:sz="4" w:space="0"/>
              <w:left w:val="single" w:color="auto" w:sz="4" w:space="0"/>
              <w:bottom w:val="single" w:color="auto" w:sz="4" w:space="0"/>
              <w:right w:val="single" w:color="auto" w:sz="4" w:space="0"/>
            </w:tcBorders>
          </w:tcPr>
          <w:p w14:paraId="4B8CABAB">
            <w:pPr>
              <w:rPr>
                <w:rFonts w:hint="eastAsia" w:ascii="宋体" w:hAnsi="宋体"/>
                <w:sz w:val="18"/>
                <w:szCs w:val="18"/>
              </w:rPr>
            </w:pPr>
            <w:r>
              <w:rPr>
                <w:rFonts w:hint="eastAsia" w:ascii="宋体" w:hAnsi="宋体"/>
                <w:sz w:val="18"/>
                <w:szCs w:val="18"/>
              </w:rPr>
              <w:t>1.能熟练描述物流成本管理的内容、控制原则；</w:t>
            </w:r>
          </w:p>
          <w:p w14:paraId="46909B94">
            <w:pPr>
              <w:rPr>
                <w:rFonts w:hint="eastAsia" w:ascii="宋体" w:hAnsi="宋体"/>
                <w:sz w:val="18"/>
                <w:szCs w:val="18"/>
              </w:rPr>
            </w:pPr>
            <w:r>
              <w:rPr>
                <w:rFonts w:hint="eastAsia" w:ascii="宋体" w:hAnsi="宋体"/>
                <w:sz w:val="18"/>
                <w:szCs w:val="18"/>
              </w:rPr>
              <w:t>2.熟练掌握物流成本性态分析与预算管理的基本方法；</w:t>
            </w:r>
          </w:p>
          <w:p w14:paraId="3B11BBD3">
            <w:pPr>
              <w:rPr>
                <w:rFonts w:hint="eastAsia" w:ascii="宋体" w:hAnsi="宋体"/>
                <w:sz w:val="18"/>
                <w:szCs w:val="18"/>
              </w:rPr>
            </w:pPr>
            <w:r>
              <w:rPr>
                <w:rFonts w:hint="eastAsia" w:ascii="宋体" w:hAnsi="宋体"/>
                <w:sz w:val="18"/>
                <w:szCs w:val="18"/>
              </w:rPr>
              <w:t>3.熟练掌握物流责任成本控制基本程序、基本原则及物流责任成本中心绩效评价方法。</w:t>
            </w:r>
          </w:p>
          <w:p w14:paraId="3172553A">
            <w:pPr>
              <w:rPr>
                <w:rFonts w:hint="eastAsia" w:ascii="宋体" w:hAnsi="宋体"/>
                <w:sz w:val="18"/>
                <w:szCs w:val="18"/>
              </w:rPr>
            </w:pPr>
            <w:r>
              <w:rPr>
                <w:rFonts w:hint="eastAsia" w:ascii="宋体" w:hAnsi="宋体"/>
                <w:sz w:val="18"/>
                <w:szCs w:val="18"/>
              </w:rPr>
              <w:t>4.培养学生谦虚、好学的能力，能利用各种信息媒体，获取新知识、新技术；</w:t>
            </w:r>
          </w:p>
          <w:p w14:paraId="2FA91D4D">
            <w:pPr>
              <w:rPr>
                <w:rFonts w:hint="eastAsia" w:ascii="宋体" w:hAnsi="宋体"/>
                <w:sz w:val="18"/>
                <w:szCs w:val="18"/>
              </w:rPr>
            </w:pPr>
            <w:r>
              <w:rPr>
                <w:rFonts w:hint="eastAsia" w:ascii="宋体" w:hAnsi="宋体"/>
                <w:sz w:val="18"/>
                <w:szCs w:val="18"/>
              </w:rPr>
              <w:t>5.培养学生分析问题、解决实际问题的能力；</w:t>
            </w:r>
          </w:p>
          <w:p w14:paraId="160BF518">
            <w:pPr>
              <w:rPr>
                <w:rFonts w:hint="eastAsia" w:ascii="宋体" w:hAnsi="宋体"/>
                <w:sz w:val="18"/>
                <w:szCs w:val="18"/>
              </w:rPr>
            </w:pPr>
            <w:r>
              <w:rPr>
                <w:rFonts w:hint="eastAsia" w:ascii="宋体" w:hAnsi="宋体"/>
                <w:sz w:val="18"/>
                <w:szCs w:val="18"/>
              </w:rPr>
              <w:t>6.熟练掌握各物流功能成本构成、核算、分析基本方法；</w:t>
            </w:r>
          </w:p>
          <w:p w14:paraId="769A1C70">
            <w:pPr>
              <w:rPr>
                <w:rFonts w:hint="eastAsia" w:ascii="宋体" w:hAnsi="宋体"/>
                <w:sz w:val="18"/>
                <w:szCs w:val="18"/>
              </w:rPr>
            </w:pPr>
            <w:r>
              <w:rPr>
                <w:rFonts w:hint="eastAsia" w:ascii="宋体" w:hAnsi="宋体"/>
                <w:sz w:val="18"/>
                <w:szCs w:val="18"/>
              </w:rPr>
              <w:t>7.熟练掌握降低物流成本的途径与方法。</w:t>
            </w:r>
          </w:p>
        </w:tc>
        <w:tc>
          <w:tcPr>
            <w:tcW w:w="2155" w:type="dxa"/>
            <w:tcBorders>
              <w:top w:val="single" w:color="auto" w:sz="4" w:space="0"/>
              <w:left w:val="single" w:color="auto" w:sz="4" w:space="0"/>
              <w:bottom w:val="single" w:color="auto" w:sz="4" w:space="0"/>
              <w:right w:val="single" w:color="auto" w:sz="4" w:space="0"/>
            </w:tcBorders>
          </w:tcPr>
          <w:p w14:paraId="0AEE5D4E">
            <w:pPr>
              <w:ind w:firstLine="360" w:firstLineChars="200"/>
              <w:rPr>
                <w:rFonts w:hint="eastAsia" w:ascii="宋体" w:hAnsi="宋体"/>
                <w:sz w:val="18"/>
                <w:szCs w:val="18"/>
              </w:rPr>
            </w:pPr>
            <w:r>
              <w:rPr>
                <w:rFonts w:hint="eastAsia" w:ascii="宋体" w:hAnsi="宋体"/>
                <w:sz w:val="18"/>
                <w:szCs w:val="18"/>
              </w:rPr>
              <w:t>运输成本管理</w:t>
            </w:r>
          </w:p>
          <w:p w14:paraId="702417CD">
            <w:pPr>
              <w:ind w:firstLine="360" w:firstLineChars="200"/>
              <w:rPr>
                <w:rFonts w:hint="eastAsia" w:ascii="宋体" w:hAnsi="宋体"/>
                <w:sz w:val="18"/>
                <w:szCs w:val="18"/>
              </w:rPr>
            </w:pPr>
            <w:r>
              <w:rPr>
                <w:rFonts w:hint="eastAsia" w:ascii="宋体" w:hAnsi="宋体"/>
                <w:sz w:val="18"/>
                <w:szCs w:val="18"/>
              </w:rPr>
              <w:t>仓储成本管理</w:t>
            </w:r>
          </w:p>
          <w:p w14:paraId="6AD1640C">
            <w:pPr>
              <w:ind w:firstLine="360" w:firstLineChars="200"/>
              <w:rPr>
                <w:rFonts w:hint="eastAsia" w:ascii="宋体" w:hAnsi="宋体"/>
                <w:sz w:val="18"/>
                <w:szCs w:val="18"/>
              </w:rPr>
            </w:pPr>
            <w:r>
              <w:rPr>
                <w:rFonts w:hint="eastAsia" w:ascii="宋体" w:hAnsi="宋体"/>
                <w:sz w:val="18"/>
                <w:szCs w:val="18"/>
              </w:rPr>
              <w:t>包装成本管理</w:t>
            </w:r>
          </w:p>
          <w:p w14:paraId="3672A115">
            <w:pPr>
              <w:ind w:firstLine="360" w:firstLineChars="200"/>
              <w:rPr>
                <w:rFonts w:hint="eastAsia" w:ascii="宋体" w:hAnsi="宋体"/>
                <w:sz w:val="18"/>
                <w:szCs w:val="18"/>
              </w:rPr>
            </w:pPr>
            <w:r>
              <w:rPr>
                <w:rFonts w:hint="eastAsia" w:ascii="宋体" w:hAnsi="宋体"/>
                <w:sz w:val="18"/>
                <w:szCs w:val="18"/>
              </w:rPr>
              <w:t>装卸搬运成本管理</w:t>
            </w:r>
          </w:p>
          <w:p w14:paraId="15FBD18D">
            <w:pPr>
              <w:ind w:firstLine="360" w:firstLineChars="200"/>
              <w:rPr>
                <w:rFonts w:hint="eastAsia" w:ascii="宋体" w:hAnsi="宋体"/>
                <w:sz w:val="18"/>
                <w:szCs w:val="18"/>
              </w:rPr>
            </w:pPr>
            <w:r>
              <w:rPr>
                <w:rFonts w:hint="eastAsia" w:ascii="宋体" w:hAnsi="宋体"/>
                <w:sz w:val="18"/>
                <w:szCs w:val="18"/>
              </w:rPr>
              <w:t>流通加工成本管理</w:t>
            </w:r>
          </w:p>
          <w:p w14:paraId="4C373611">
            <w:pPr>
              <w:ind w:firstLine="360" w:firstLineChars="200"/>
              <w:rPr>
                <w:rFonts w:hint="eastAsia" w:ascii="宋体" w:hAnsi="宋体"/>
                <w:sz w:val="18"/>
                <w:szCs w:val="18"/>
              </w:rPr>
            </w:pPr>
            <w:r>
              <w:rPr>
                <w:rFonts w:hint="eastAsia" w:ascii="宋体" w:hAnsi="宋体"/>
                <w:sz w:val="18"/>
                <w:szCs w:val="18"/>
              </w:rPr>
              <w:t>配送成本管理</w:t>
            </w:r>
          </w:p>
        </w:tc>
        <w:tc>
          <w:tcPr>
            <w:tcW w:w="2801" w:type="dxa"/>
            <w:tcBorders>
              <w:top w:val="single" w:color="auto" w:sz="4" w:space="0"/>
              <w:left w:val="single" w:color="auto" w:sz="4" w:space="0"/>
              <w:bottom w:val="single" w:color="auto" w:sz="4" w:space="0"/>
              <w:right w:val="single" w:color="auto" w:sz="4" w:space="0"/>
            </w:tcBorders>
          </w:tcPr>
          <w:p w14:paraId="3D819EA7">
            <w:pPr>
              <w:rPr>
                <w:rFonts w:hint="eastAsia" w:ascii="宋体" w:hAnsi="宋体"/>
                <w:sz w:val="18"/>
                <w:szCs w:val="18"/>
              </w:rPr>
            </w:pPr>
            <w:r>
              <w:rPr>
                <w:rFonts w:hint="eastAsia" w:ascii="宋体" w:hAnsi="宋体"/>
                <w:sz w:val="18"/>
                <w:szCs w:val="18"/>
              </w:rPr>
              <w:t>物流成本管理的基本理论和方法领域由物流成本管理概述、物流成本性态分析与预算管理、物流作业成本核算、物流标准成本控制、物流责任成本管理五个项目组成；各物流功能成本的管理方法由运输成本管理、仓储成本管理、包装成本管理、装卸搬运成本管理、流通加工成本管理、配送成本管理六个项目组成。课程教学实施将职业行动领域的工作过程融合在项目实训与训练中。</w:t>
            </w:r>
          </w:p>
        </w:tc>
      </w:tr>
      <w:tr w14:paraId="66983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2EEBA21">
            <w:pPr>
              <w:jc w:val="center"/>
              <w:rPr>
                <w:rFonts w:hint="default" w:ascii="宋体" w:hAnsi="宋体" w:eastAsia="宋体"/>
                <w:sz w:val="18"/>
                <w:szCs w:val="18"/>
                <w:lang w:val="en-US" w:eastAsia="zh-CN"/>
              </w:rPr>
            </w:pPr>
            <w:r>
              <w:rPr>
                <w:rFonts w:hint="eastAsia" w:ascii="宋体" w:hAnsi="宋体"/>
                <w:sz w:val="18"/>
                <w:szCs w:val="18"/>
                <w:lang w:val="en-US" w:eastAsia="zh-CN"/>
              </w:rPr>
              <w:t>24</w:t>
            </w:r>
          </w:p>
        </w:tc>
        <w:tc>
          <w:tcPr>
            <w:tcW w:w="709" w:type="dxa"/>
            <w:vMerge w:val="restart"/>
            <w:tcBorders>
              <w:top w:val="single" w:color="auto" w:sz="4" w:space="0"/>
              <w:left w:val="single" w:color="auto" w:sz="4" w:space="0"/>
              <w:right w:val="single" w:color="auto" w:sz="4" w:space="0"/>
            </w:tcBorders>
            <w:vAlign w:val="center"/>
          </w:tcPr>
          <w:p w14:paraId="6E297F85">
            <w:pPr>
              <w:rPr>
                <w:rFonts w:hint="eastAsia" w:ascii="宋体" w:hAnsi="宋体" w:cs="宋体"/>
                <w:sz w:val="18"/>
                <w:szCs w:val="18"/>
              </w:rPr>
            </w:pPr>
            <w:r>
              <w:rPr>
                <w:rFonts w:hint="eastAsia" w:ascii="宋体" w:hAnsi="宋体" w:cs="宋体"/>
                <w:sz w:val="18"/>
                <w:szCs w:val="18"/>
              </w:rPr>
              <w:t>专业</w:t>
            </w:r>
          </w:p>
          <w:p w14:paraId="268D8EF2">
            <w:pPr>
              <w:rPr>
                <w:rFonts w:hint="eastAsia" w:ascii="宋体" w:hAnsi="宋体" w:cs="宋体"/>
                <w:sz w:val="18"/>
                <w:szCs w:val="18"/>
              </w:rPr>
            </w:pPr>
            <w:r>
              <w:rPr>
                <w:rFonts w:hint="eastAsia" w:ascii="宋体" w:hAnsi="宋体" w:cs="宋体"/>
                <w:sz w:val="18"/>
                <w:szCs w:val="18"/>
              </w:rPr>
              <w:t>核心</w:t>
            </w:r>
          </w:p>
          <w:p w14:paraId="4263BCE5">
            <w:pPr>
              <w:rPr>
                <w:rFonts w:hint="eastAsia" w:ascii="宋体" w:hAnsi="宋体" w:cs="宋体"/>
                <w:sz w:val="18"/>
                <w:szCs w:val="18"/>
              </w:rPr>
            </w:pPr>
            <w:r>
              <w:rPr>
                <w:rFonts w:hint="eastAsia" w:ascii="宋体" w:hAnsi="宋体" w:cs="宋体"/>
                <w:sz w:val="18"/>
                <w:szCs w:val="18"/>
              </w:rPr>
              <w:t>课程</w:t>
            </w:r>
          </w:p>
          <w:p w14:paraId="7159E553">
            <w:pPr>
              <w:jc w:val="center"/>
              <w:rPr>
                <w:rFonts w:hint="eastAsia" w:ascii="宋体" w:hAnsi="宋体"/>
                <w:color w:val="000000"/>
                <w:sz w:val="18"/>
                <w:szCs w:val="18"/>
              </w:rPr>
            </w:pPr>
          </w:p>
        </w:tc>
        <w:tc>
          <w:tcPr>
            <w:tcW w:w="919" w:type="dxa"/>
            <w:tcBorders>
              <w:top w:val="single" w:color="auto" w:sz="4" w:space="0"/>
              <w:left w:val="single" w:color="auto" w:sz="4" w:space="0"/>
              <w:bottom w:val="single" w:color="auto" w:sz="4" w:space="0"/>
              <w:right w:val="single" w:color="auto" w:sz="4" w:space="0"/>
            </w:tcBorders>
          </w:tcPr>
          <w:p w14:paraId="785803E5">
            <w:pPr>
              <w:rPr>
                <w:rFonts w:hint="eastAsia" w:ascii="宋体" w:hAnsi="宋体"/>
                <w:sz w:val="18"/>
                <w:szCs w:val="18"/>
              </w:rPr>
            </w:pPr>
          </w:p>
          <w:p w14:paraId="12F1A7AC">
            <w:pPr>
              <w:rPr>
                <w:rFonts w:hint="eastAsia" w:ascii="宋体" w:hAnsi="宋体"/>
                <w:sz w:val="18"/>
                <w:szCs w:val="18"/>
              </w:rPr>
            </w:pPr>
          </w:p>
          <w:p w14:paraId="36E2B054">
            <w:pPr>
              <w:rPr>
                <w:rFonts w:hint="eastAsia" w:ascii="宋体" w:hAnsi="宋体"/>
                <w:sz w:val="18"/>
                <w:szCs w:val="18"/>
              </w:rPr>
            </w:pPr>
          </w:p>
          <w:p w14:paraId="5697D7E1">
            <w:pPr>
              <w:rPr>
                <w:rFonts w:hint="eastAsia" w:ascii="宋体" w:hAnsi="宋体"/>
                <w:sz w:val="18"/>
                <w:szCs w:val="18"/>
              </w:rPr>
            </w:pPr>
          </w:p>
          <w:p w14:paraId="5A4B39C5">
            <w:pPr>
              <w:rPr>
                <w:rFonts w:hint="eastAsia" w:ascii="宋体" w:hAnsi="宋体"/>
                <w:sz w:val="18"/>
                <w:szCs w:val="18"/>
              </w:rPr>
            </w:pPr>
          </w:p>
          <w:p w14:paraId="113BDB10">
            <w:pPr>
              <w:rPr>
                <w:rFonts w:hint="eastAsia" w:ascii="宋体" w:hAnsi="宋体"/>
                <w:sz w:val="18"/>
                <w:szCs w:val="18"/>
              </w:rPr>
            </w:pPr>
          </w:p>
          <w:p w14:paraId="1DE691F8">
            <w:pPr>
              <w:rPr>
                <w:rFonts w:hint="eastAsia" w:ascii="宋体" w:hAnsi="宋体"/>
                <w:sz w:val="18"/>
                <w:szCs w:val="18"/>
              </w:rPr>
            </w:pPr>
            <w:r>
              <w:rPr>
                <w:rFonts w:hint="eastAsia" w:ascii="宋体" w:hAnsi="宋体"/>
                <w:sz w:val="18"/>
                <w:szCs w:val="18"/>
              </w:rPr>
              <w:t>物流企业管理（管理学）</w:t>
            </w:r>
          </w:p>
        </w:tc>
        <w:tc>
          <w:tcPr>
            <w:tcW w:w="2415" w:type="dxa"/>
            <w:tcBorders>
              <w:top w:val="single" w:color="auto" w:sz="4" w:space="0"/>
              <w:left w:val="single" w:color="auto" w:sz="4" w:space="0"/>
              <w:bottom w:val="single" w:color="auto" w:sz="4" w:space="0"/>
              <w:right w:val="single" w:color="auto" w:sz="4" w:space="0"/>
            </w:tcBorders>
          </w:tcPr>
          <w:p w14:paraId="6DE1C218">
            <w:pPr>
              <w:rPr>
                <w:rFonts w:hint="eastAsia" w:ascii="宋体" w:hAnsi="宋体"/>
                <w:sz w:val="18"/>
                <w:szCs w:val="18"/>
              </w:rPr>
            </w:pPr>
            <w:r>
              <w:rPr>
                <w:rFonts w:hint="eastAsia" w:ascii="宋体" w:hAnsi="宋体"/>
                <w:sz w:val="18"/>
                <w:szCs w:val="18"/>
              </w:rPr>
              <w:t>1、认识和理解管理的重要性和普遍性，了解古今中外管理思想的发展，理解古典管理理论和行为科学的内容。</w:t>
            </w:r>
          </w:p>
          <w:p w14:paraId="2504A1A8">
            <w:pPr>
              <w:rPr>
                <w:rFonts w:hint="eastAsia" w:ascii="宋体" w:hAnsi="宋体"/>
                <w:sz w:val="18"/>
                <w:szCs w:val="18"/>
              </w:rPr>
            </w:pPr>
            <w:r>
              <w:rPr>
                <w:rFonts w:hint="eastAsia" w:ascii="宋体" w:hAnsi="宋体"/>
                <w:sz w:val="18"/>
                <w:szCs w:val="18"/>
              </w:rPr>
              <w:t>2、理解并掌握管理的基本原理与方法，掌握管理的计划、组织、领导、控制、创新等职能的基本内涵、要求及科学有效实现的方法。</w:t>
            </w:r>
          </w:p>
          <w:p w14:paraId="2A1F60B5">
            <w:pPr>
              <w:rPr>
                <w:rFonts w:hint="eastAsia" w:ascii="宋体" w:hAnsi="宋体"/>
                <w:sz w:val="18"/>
                <w:szCs w:val="18"/>
              </w:rPr>
            </w:pPr>
            <w:r>
              <w:rPr>
                <w:rFonts w:hint="eastAsia" w:ascii="宋体" w:hAnsi="宋体"/>
                <w:sz w:val="18"/>
                <w:szCs w:val="18"/>
              </w:rPr>
              <w:t>3、运用所学管理知识进行具体的管理案例分析，并能够在学完课程后对管理实践进行考察。</w:t>
            </w:r>
          </w:p>
          <w:p w14:paraId="4D2914A9">
            <w:pPr>
              <w:rPr>
                <w:rFonts w:hint="eastAsia" w:ascii="宋体" w:hAnsi="宋体"/>
                <w:sz w:val="18"/>
                <w:szCs w:val="18"/>
              </w:rPr>
            </w:pPr>
            <w:r>
              <w:rPr>
                <w:rFonts w:hint="eastAsia" w:ascii="宋体" w:hAnsi="宋体"/>
                <w:sz w:val="18"/>
                <w:szCs w:val="18"/>
              </w:rPr>
              <w:t>4、通过管理学知识的学习而真正学会并能够用自己的头脑来思考管理学理论与实践问题。</w:t>
            </w:r>
          </w:p>
        </w:tc>
        <w:tc>
          <w:tcPr>
            <w:tcW w:w="2155" w:type="dxa"/>
            <w:tcBorders>
              <w:top w:val="single" w:color="auto" w:sz="4" w:space="0"/>
              <w:left w:val="single" w:color="auto" w:sz="4" w:space="0"/>
              <w:bottom w:val="single" w:color="auto" w:sz="4" w:space="0"/>
              <w:right w:val="single" w:color="auto" w:sz="4" w:space="0"/>
            </w:tcBorders>
          </w:tcPr>
          <w:p w14:paraId="3C5E6066">
            <w:pPr>
              <w:rPr>
                <w:rFonts w:hint="eastAsia" w:ascii="宋体" w:hAnsi="宋体"/>
                <w:sz w:val="18"/>
                <w:szCs w:val="18"/>
              </w:rPr>
            </w:pPr>
            <w:r>
              <w:rPr>
                <w:rFonts w:hint="eastAsia" w:ascii="宋体" w:hAnsi="宋体"/>
                <w:sz w:val="18"/>
                <w:szCs w:val="18"/>
              </w:rPr>
              <w:t>掌握管理的概念与职能；</w:t>
            </w:r>
          </w:p>
          <w:p w14:paraId="2709DC53">
            <w:pPr>
              <w:rPr>
                <w:rFonts w:hint="eastAsia" w:ascii="宋体" w:hAnsi="宋体"/>
                <w:sz w:val="18"/>
                <w:szCs w:val="18"/>
              </w:rPr>
            </w:pPr>
            <w:r>
              <w:rPr>
                <w:rFonts w:hint="eastAsia" w:ascii="宋体" w:hAnsi="宋体"/>
                <w:sz w:val="18"/>
                <w:szCs w:val="18"/>
              </w:rPr>
              <w:t>掌握管理者的技能与角色；</w:t>
            </w:r>
          </w:p>
          <w:p w14:paraId="1798ACE5">
            <w:pPr>
              <w:rPr>
                <w:rFonts w:hint="eastAsia" w:ascii="宋体" w:hAnsi="宋体"/>
                <w:sz w:val="18"/>
                <w:szCs w:val="18"/>
              </w:rPr>
            </w:pPr>
            <w:r>
              <w:rPr>
                <w:rFonts w:hint="eastAsia" w:ascii="宋体" w:hAnsi="宋体"/>
                <w:sz w:val="18"/>
                <w:szCs w:val="18"/>
              </w:rPr>
              <w:t>掌握管理的原理与方法。</w:t>
            </w:r>
          </w:p>
          <w:p w14:paraId="308B7222">
            <w:pPr>
              <w:rPr>
                <w:rFonts w:hint="eastAsia" w:ascii="宋体" w:hAnsi="宋体"/>
                <w:sz w:val="18"/>
                <w:szCs w:val="18"/>
              </w:rPr>
            </w:pPr>
            <w:r>
              <w:rPr>
                <w:rFonts w:hint="eastAsia" w:ascii="宋体" w:hAnsi="宋体"/>
                <w:sz w:val="18"/>
                <w:szCs w:val="18"/>
              </w:rPr>
              <w:t>理解预测的概念；</w:t>
            </w:r>
          </w:p>
          <w:p w14:paraId="2A69AE43">
            <w:pPr>
              <w:rPr>
                <w:rFonts w:hint="eastAsia" w:ascii="宋体" w:hAnsi="宋体"/>
                <w:sz w:val="18"/>
                <w:szCs w:val="18"/>
              </w:rPr>
            </w:pPr>
            <w:r>
              <w:rPr>
                <w:rFonts w:hint="eastAsia" w:ascii="宋体" w:hAnsi="宋体"/>
                <w:sz w:val="18"/>
                <w:szCs w:val="18"/>
              </w:rPr>
              <w:t>掌握预测的程序与方法。</w:t>
            </w:r>
          </w:p>
          <w:p w14:paraId="4610D7FC">
            <w:pPr>
              <w:rPr>
                <w:rFonts w:hint="eastAsia" w:ascii="宋体" w:hAnsi="宋体"/>
                <w:sz w:val="18"/>
                <w:szCs w:val="18"/>
              </w:rPr>
            </w:pPr>
            <w:r>
              <w:rPr>
                <w:rFonts w:hint="eastAsia" w:ascii="宋体" w:hAnsi="宋体"/>
                <w:sz w:val="18"/>
                <w:szCs w:val="18"/>
              </w:rPr>
              <w:t>掌握计划的程序与方法；</w:t>
            </w:r>
          </w:p>
          <w:p w14:paraId="16D59183">
            <w:pPr>
              <w:rPr>
                <w:rFonts w:hint="eastAsia" w:ascii="宋体" w:hAnsi="宋体"/>
                <w:sz w:val="18"/>
                <w:szCs w:val="18"/>
              </w:rPr>
            </w:pPr>
            <w:r>
              <w:rPr>
                <w:rFonts w:hint="eastAsia" w:ascii="宋体" w:hAnsi="宋体"/>
                <w:sz w:val="18"/>
                <w:szCs w:val="18"/>
              </w:rPr>
              <w:t>掌握目标管理的基本内容和活动过程。</w:t>
            </w:r>
          </w:p>
          <w:p w14:paraId="11220C05">
            <w:pPr>
              <w:rPr>
                <w:rFonts w:hint="eastAsia" w:ascii="宋体" w:hAnsi="宋体"/>
                <w:sz w:val="18"/>
                <w:szCs w:val="18"/>
              </w:rPr>
            </w:pPr>
            <w:r>
              <w:rPr>
                <w:rFonts w:hint="eastAsia" w:ascii="宋体" w:hAnsi="宋体"/>
                <w:sz w:val="18"/>
                <w:szCs w:val="18"/>
              </w:rPr>
              <w:t>掌握领导者与管理者的区别；</w:t>
            </w:r>
          </w:p>
          <w:p w14:paraId="71A18CB6">
            <w:pPr>
              <w:rPr>
                <w:rFonts w:hint="eastAsia" w:ascii="宋体" w:hAnsi="宋体"/>
                <w:sz w:val="18"/>
                <w:szCs w:val="18"/>
              </w:rPr>
            </w:pPr>
            <w:r>
              <w:rPr>
                <w:rFonts w:hint="eastAsia" w:ascii="宋体" w:hAnsi="宋体"/>
                <w:sz w:val="18"/>
                <w:szCs w:val="18"/>
              </w:rPr>
              <w:t>掌握领导理论</w:t>
            </w:r>
          </w:p>
          <w:p w14:paraId="1BC7CEA1">
            <w:pPr>
              <w:rPr>
                <w:rFonts w:hint="eastAsia" w:ascii="宋体" w:hAnsi="宋体"/>
                <w:sz w:val="18"/>
                <w:szCs w:val="18"/>
              </w:rPr>
            </w:pPr>
            <w:r>
              <w:rPr>
                <w:rFonts w:hint="eastAsia" w:ascii="宋体" w:hAnsi="宋体"/>
                <w:sz w:val="18"/>
                <w:szCs w:val="18"/>
              </w:rPr>
              <w:t>掌握创新理论与技能。</w:t>
            </w:r>
          </w:p>
          <w:p w14:paraId="2D3578F8">
            <w:pPr>
              <w:rPr>
                <w:rFonts w:hint="eastAsia" w:ascii="宋体" w:hAnsi="宋体"/>
                <w:sz w:val="18"/>
                <w:szCs w:val="18"/>
              </w:rPr>
            </w:pPr>
          </w:p>
        </w:tc>
        <w:tc>
          <w:tcPr>
            <w:tcW w:w="2801" w:type="dxa"/>
            <w:tcBorders>
              <w:top w:val="single" w:color="auto" w:sz="4" w:space="0"/>
              <w:left w:val="single" w:color="auto" w:sz="4" w:space="0"/>
              <w:bottom w:val="single" w:color="auto" w:sz="4" w:space="0"/>
              <w:right w:val="single" w:color="auto" w:sz="4" w:space="0"/>
            </w:tcBorders>
          </w:tcPr>
          <w:p w14:paraId="07DCCB25">
            <w:pPr>
              <w:rPr>
                <w:rFonts w:hint="eastAsia" w:ascii="宋体" w:hAnsi="宋体"/>
                <w:sz w:val="18"/>
                <w:szCs w:val="18"/>
              </w:rPr>
            </w:pPr>
            <w:r>
              <w:rPr>
                <w:rFonts w:hint="eastAsia" w:ascii="宋体" w:hAnsi="宋体"/>
                <w:sz w:val="18"/>
                <w:szCs w:val="18"/>
              </w:rPr>
              <w:t>能熟练运用计划的程序与方法；能运用目标管理分析和解释企业的管理行为。能根据提供的材料识别或绘制组织结构图。能运用领导理论分析和解释企业有关领导问题。能运用激励理论分析和解释企业有关激励问题。能正确掌握沟通的方法，清楚如何克服沟通障碍。能正确掌握控制的方法，清楚如何进行有效控制。能根据企业面临的问题进行一定的管理创新。</w:t>
            </w:r>
          </w:p>
        </w:tc>
      </w:tr>
      <w:tr w14:paraId="1FD44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9AD3B66">
            <w:pPr>
              <w:jc w:val="center"/>
              <w:rPr>
                <w:rFonts w:hint="default" w:ascii="宋体" w:hAnsi="宋体" w:eastAsia="宋体"/>
                <w:sz w:val="18"/>
                <w:szCs w:val="18"/>
                <w:lang w:val="en-US" w:eastAsia="zh-CN"/>
              </w:rPr>
            </w:pPr>
            <w:r>
              <w:rPr>
                <w:rFonts w:hint="eastAsia" w:ascii="宋体" w:hAnsi="宋体"/>
                <w:sz w:val="18"/>
                <w:szCs w:val="18"/>
                <w:lang w:val="en-US" w:eastAsia="zh-CN"/>
              </w:rPr>
              <w:t>25</w:t>
            </w:r>
          </w:p>
        </w:tc>
        <w:tc>
          <w:tcPr>
            <w:tcW w:w="709" w:type="dxa"/>
            <w:vMerge w:val="continue"/>
            <w:tcBorders>
              <w:top w:val="single" w:color="auto" w:sz="4" w:space="0"/>
              <w:left w:val="single" w:color="auto" w:sz="4" w:space="0"/>
              <w:right w:val="single" w:color="auto" w:sz="4" w:space="0"/>
            </w:tcBorders>
            <w:vAlign w:val="center"/>
          </w:tcPr>
          <w:p w14:paraId="6A9FE4EA">
            <w:pPr>
              <w:rPr>
                <w:rFonts w:hint="eastAsia" w:ascii="宋体" w:hAnsi="宋体" w:cs="宋体"/>
                <w:sz w:val="18"/>
                <w:szCs w:val="18"/>
              </w:rPr>
            </w:pPr>
          </w:p>
        </w:tc>
        <w:tc>
          <w:tcPr>
            <w:tcW w:w="919" w:type="dxa"/>
            <w:tcBorders>
              <w:top w:val="single" w:color="auto" w:sz="4" w:space="0"/>
              <w:left w:val="single" w:color="auto" w:sz="4" w:space="0"/>
              <w:bottom w:val="single" w:color="auto" w:sz="4" w:space="0"/>
              <w:right w:val="single" w:color="auto" w:sz="4" w:space="0"/>
            </w:tcBorders>
          </w:tcPr>
          <w:p w14:paraId="44303C23">
            <w:pPr>
              <w:rPr>
                <w:rFonts w:hint="eastAsia" w:ascii="宋体" w:hAnsi="宋体"/>
                <w:sz w:val="18"/>
                <w:szCs w:val="18"/>
              </w:rPr>
            </w:pPr>
          </w:p>
          <w:p w14:paraId="7A85742E">
            <w:pPr>
              <w:rPr>
                <w:rFonts w:hint="eastAsia" w:ascii="宋体" w:hAnsi="宋体"/>
                <w:sz w:val="18"/>
                <w:szCs w:val="18"/>
              </w:rPr>
            </w:pPr>
          </w:p>
          <w:p w14:paraId="30B16466">
            <w:pPr>
              <w:rPr>
                <w:rFonts w:hint="eastAsia" w:ascii="宋体" w:hAnsi="宋体"/>
                <w:sz w:val="18"/>
                <w:szCs w:val="18"/>
              </w:rPr>
            </w:pPr>
          </w:p>
          <w:p w14:paraId="7F32DC1B">
            <w:pPr>
              <w:rPr>
                <w:rFonts w:hint="eastAsia" w:ascii="宋体" w:hAnsi="宋体"/>
                <w:sz w:val="18"/>
                <w:szCs w:val="18"/>
              </w:rPr>
            </w:pPr>
          </w:p>
          <w:p w14:paraId="5B5E6988">
            <w:pPr>
              <w:rPr>
                <w:rFonts w:hint="eastAsia" w:ascii="宋体" w:hAnsi="宋体"/>
                <w:sz w:val="18"/>
                <w:szCs w:val="18"/>
              </w:rPr>
            </w:pPr>
            <w:r>
              <w:rPr>
                <w:rFonts w:hint="eastAsia" w:ascii="宋体" w:hAnsi="宋体"/>
                <w:sz w:val="18"/>
                <w:szCs w:val="18"/>
              </w:rPr>
              <w:t>物流法规</w:t>
            </w:r>
          </w:p>
        </w:tc>
        <w:tc>
          <w:tcPr>
            <w:tcW w:w="2415" w:type="dxa"/>
            <w:tcBorders>
              <w:top w:val="single" w:color="auto" w:sz="4" w:space="0"/>
              <w:left w:val="single" w:color="auto" w:sz="4" w:space="0"/>
              <w:bottom w:val="single" w:color="auto" w:sz="4" w:space="0"/>
              <w:right w:val="single" w:color="auto" w:sz="4" w:space="0"/>
            </w:tcBorders>
          </w:tcPr>
          <w:p w14:paraId="55E48E6C">
            <w:pPr>
              <w:rPr>
                <w:rFonts w:hint="eastAsia" w:ascii="宋体" w:hAnsi="宋体"/>
                <w:sz w:val="18"/>
                <w:szCs w:val="18"/>
              </w:rPr>
            </w:pPr>
            <w:r>
              <w:rPr>
                <w:rFonts w:hint="eastAsia" w:ascii="宋体" w:hAnsi="宋体"/>
                <w:sz w:val="18"/>
                <w:szCs w:val="18"/>
              </w:rPr>
              <w:t>（1）运用所学内容能正确选用经济纠纷的解决途径。</w:t>
            </w:r>
          </w:p>
          <w:p w14:paraId="59F3D534">
            <w:pPr>
              <w:rPr>
                <w:rFonts w:hint="eastAsia" w:ascii="宋体" w:hAnsi="宋体"/>
                <w:sz w:val="18"/>
                <w:szCs w:val="18"/>
              </w:rPr>
            </w:pPr>
            <w:r>
              <w:rPr>
                <w:rFonts w:hint="eastAsia" w:ascii="宋体" w:hAnsi="宋体"/>
                <w:sz w:val="18"/>
                <w:szCs w:val="18"/>
              </w:rPr>
              <w:t>（2）运用合同法解决合同订立、履行、解除中的法律问题。</w:t>
            </w:r>
          </w:p>
          <w:p w14:paraId="01F3A741">
            <w:pPr>
              <w:rPr>
                <w:rFonts w:hint="eastAsia" w:ascii="宋体" w:hAnsi="宋体"/>
                <w:sz w:val="18"/>
                <w:szCs w:val="18"/>
              </w:rPr>
            </w:pPr>
            <w:r>
              <w:rPr>
                <w:rFonts w:hint="eastAsia" w:ascii="宋体" w:hAnsi="宋体"/>
                <w:sz w:val="18"/>
                <w:szCs w:val="18"/>
              </w:rPr>
              <w:t>（3）运用所学解决物流环节中的法律问题。</w:t>
            </w:r>
          </w:p>
          <w:p w14:paraId="7A70109E">
            <w:pPr>
              <w:rPr>
                <w:rFonts w:hint="eastAsia" w:ascii="宋体" w:hAnsi="宋体"/>
                <w:sz w:val="18"/>
                <w:szCs w:val="18"/>
              </w:rPr>
            </w:pPr>
            <w:r>
              <w:rPr>
                <w:rFonts w:hint="eastAsia" w:ascii="宋体" w:hAnsi="宋体"/>
                <w:sz w:val="18"/>
                <w:szCs w:val="18"/>
              </w:rPr>
              <w:t>（4）运用所学解决物流保险中的法律问题。</w:t>
            </w:r>
          </w:p>
          <w:p w14:paraId="2A616F8F">
            <w:pPr>
              <w:rPr>
                <w:rFonts w:hint="eastAsia" w:ascii="宋体" w:hAnsi="宋体"/>
                <w:sz w:val="18"/>
                <w:szCs w:val="18"/>
              </w:rPr>
            </w:pPr>
            <w:r>
              <w:rPr>
                <w:rFonts w:hint="eastAsia" w:ascii="宋体" w:hAnsi="宋体"/>
                <w:sz w:val="18"/>
                <w:szCs w:val="18"/>
              </w:rPr>
              <w:t>（5）理解工作任务的能力；</w:t>
            </w:r>
          </w:p>
          <w:p w14:paraId="48D85553">
            <w:pPr>
              <w:rPr>
                <w:rFonts w:hint="eastAsia" w:ascii="宋体" w:hAnsi="宋体"/>
                <w:sz w:val="18"/>
                <w:szCs w:val="18"/>
              </w:rPr>
            </w:pPr>
            <w:r>
              <w:rPr>
                <w:rFonts w:hint="eastAsia" w:ascii="宋体" w:hAnsi="宋体"/>
                <w:sz w:val="18"/>
                <w:szCs w:val="18"/>
              </w:rPr>
              <w:t>（6）制定工作计划的能力；</w:t>
            </w:r>
          </w:p>
          <w:p w14:paraId="2D4A6571">
            <w:pPr>
              <w:rPr>
                <w:rFonts w:hint="eastAsia" w:ascii="宋体" w:hAnsi="宋体"/>
                <w:sz w:val="18"/>
                <w:szCs w:val="18"/>
              </w:rPr>
            </w:pPr>
            <w:r>
              <w:rPr>
                <w:rFonts w:hint="eastAsia" w:ascii="宋体" w:hAnsi="宋体"/>
                <w:sz w:val="18"/>
                <w:szCs w:val="18"/>
              </w:rPr>
              <w:t>（7）解决经济纠纷的能力；</w:t>
            </w:r>
          </w:p>
          <w:p w14:paraId="215EDF08">
            <w:pPr>
              <w:rPr>
                <w:rFonts w:hint="eastAsia" w:ascii="宋体" w:hAnsi="宋体"/>
                <w:sz w:val="18"/>
                <w:szCs w:val="18"/>
              </w:rPr>
            </w:pPr>
            <w:r>
              <w:rPr>
                <w:rFonts w:hint="eastAsia" w:ascii="宋体" w:hAnsi="宋体"/>
                <w:sz w:val="18"/>
                <w:szCs w:val="18"/>
              </w:rPr>
              <w:t>（8）数据分析与处理的能力；</w:t>
            </w:r>
          </w:p>
          <w:p w14:paraId="364497B2">
            <w:pPr>
              <w:rPr>
                <w:rFonts w:hint="eastAsia" w:ascii="宋体" w:hAnsi="宋体"/>
                <w:sz w:val="18"/>
                <w:szCs w:val="18"/>
              </w:rPr>
            </w:pPr>
            <w:r>
              <w:rPr>
                <w:rFonts w:hint="eastAsia" w:ascii="宋体" w:hAnsi="宋体"/>
                <w:sz w:val="18"/>
                <w:szCs w:val="18"/>
              </w:rPr>
              <w:t>（9）总结工作结果的能力。</w:t>
            </w:r>
          </w:p>
        </w:tc>
        <w:tc>
          <w:tcPr>
            <w:tcW w:w="2155" w:type="dxa"/>
            <w:tcBorders>
              <w:top w:val="single" w:color="auto" w:sz="4" w:space="0"/>
              <w:left w:val="single" w:color="auto" w:sz="4" w:space="0"/>
              <w:bottom w:val="single" w:color="auto" w:sz="4" w:space="0"/>
              <w:right w:val="single" w:color="auto" w:sz="4" w:space="0"/>
            </w:tcBorders>
          </w:tcPr>
          <w:p w14:paraId="36A6F26C">
            <w:pPr>
              <w:rPr>
                <w:rFonts w:hint="eastAsia" w:ascii="宋体" w:hAnsi="宋体"/>
                <w:sz w:val="18"/>
                <w:szCs w:val="18"/>
              </w:rPr>
            </w:pPr>
            <w:r>
              <w:rPr>
                <w:rFonts w:hint="eastAsia" w:ascii="宋体" w:hAnsi="宋体"/>
                <w:sz w:val="18"/>
                <w:szCs w:val="18"/>
              </w:rPr>
              <w:t>法的概念、渊源及法的相关概念</w:t>
            </w:r>
          </w:p>
          <w:p w14:paraId="5873072C">
            <w:pPr>
              <w:rPr>
                <w:rFonts w:hint="eastAsia" w:ascii="宋体" w:hAnsi="宋体"/>
                <w:sz w:val="18"/>
                <w:szCs w:val="18"/>
              </w:rPr>
            </w:pPr>
            <w:r>
              <w:rPr>
                <w:rFonts w:hint="eastAsia" w:ascii="宋体" w:hAnsi="宋体"/>
                <w:sz w:val="18"/>
                <w:szCs w:val="18"/>
              </w:rPr>
              <w:t>物流法规法的概念、渊源、体系。</w:t>
            </w:r>
          </w:p>
          <w:p w14:paraId="1942D6A9">
            <w:pPr>
              <w:rPr>
                <w:rFonts w:hint="eastAsia" w:ascii="宋体" w:hAnsi="宋体"/>
                <w:sz w:val="18"/>
                <w:szCs w:val="18"/>
              </w:rPr>
            </w:pPr>
            <w:r>
              <w:rPr>
                <w:rFonts w:hint="eastAsia" w:ascii="宋体" w:hAnsi="宋体"/>
                <w:sz w:val="18"/>
                <w:szCs w:val="18"/>
              </w:rPr>
              <w:t>物流法律关系的概念、构成与法律责任的概念及形式。</w:t>
            </w:r>
          </w:p>
          <w:p w14:paraId="3713E000">
            <w:pPr>
              <w:rPr>
                <w:rFonts w:hint="eastAsia" w:ascii="宋体" w:hAnsi="宋体"/>
                <w:sz w:val="18"/>
                <w:szCs w:val="18"/>
              </w:rPr>
            </w:pPr>
            <w:r>
              <w:rPr>
                <w:rFonts w:hint="eastAsia" w:ascii="宋体" w:hAnsi="宋体"/>
                <w:sz w:val="18"/>
                <w:szCs w:val="18"/>
              </w:rPr>
              <w:t>合同的概念、特征、分类</w:t>
            </w:r>
          </w:p>
          <w:p w14:paraId="3A66F841">
            <w:pPr>
              <w:rPr>
                <w:rFonts w:hint="eastAsia" w:ascii="宋体" w:hAnsi="宋体"/>
                <w:sz w:val="18"/>
                <w:szCs w:val="18"/>
              </w:rPr>
            </w:pPr>
            <w:r>
              <w:rPr>
                <w:rFonts w:hint="eastAsia" w:ascii="宋体" w:hAnsi="宋体"/>
                <w:sz w:val="18"/>
                <w:szCs w:val="18"/>
              </w:rPr>
              <w:t>合同的订立与效力认定。</w:t>
            </w:r>
          </w:p>
          <w:p w14:paraId="19374DAE">
            <w:pPr>
              <w:rPr>
                <w:rFonts w:hint="eastAsia" w:ascii="宋体" w:hAnsi="宋体"/>
                <w:sz w:val="18"/>
                <w:szCs w:val="18"/>
              </w:rPr>
            </w:pPr>
            <w:r>
              <w:rPr>
                <w:rFonts w:hint="eastAsia" w:ascii="宋体" w:hAnsi="宋体"/>
                <w:sz w:val="18"/>
                <w:szCs w:val="18"/>
              </w:rPr>
              <w:t>合同的履行、担保</w:t>
            </w:r>
          </w:p>
          <w:p w14:paraId="66FAFF25">
            <w:pPr>
              <w:rPr>
                <w:rFonts w:hint="eastAsia" w:ascii="宋体" w:hAnsi="宋体"/>
                <w:sz w:val="18"/>
                <w:szCs w:val="18"/>
              </w:rPr>
            </w:pPr>
            <w:r>
              <w:rPr>
                <w:rFonts w:hint="eastAsia" w:ascii="宋体" w:hAnsi="宋体"/>
                <w:sz w:val="18"/>
                <w:szCs w:val="18"/>
              </w:rPr>
              <w:t>合同的变更、转让、终止与常见合同的法律规定</w:t>
            </w:r>
          </w:p>
          <w:p w14:paraId="390BEFCD">
            <w:pPr>
              <w:rPr>
                <w:rFonts w:hint="eastAsia" w:ascii="宋体" w:hAnsi="宋体"/>
                <w:sz w:val="18"/>
                <w:szCs w:val="18"/>
              </w:rPr>
            </w:pPr>
            <w:r>
              <w:rPr>
                <w:rFonts w:hint="eastAsia" w:ascii="宋体" w:hAnsi="宋体"/>
                <w:sz w:val="18"/>
                <w:szCs w:val="18"/>
              </w:rPr>
              <w:t>物流运输合同及权利义务。</w:t>
            </w:r>
          </w:p>
          <w:p w14:paraId="11188DB0">
            <w:pPr>
              <w:rPr>
                <w:rFonts w:hint="eastAsia" w:ascii="宋体" w:hAnsi="宋体"/>
                <w:sz w:val="18"/>
                <w:szCs w:val="18"/>
              </w:rPr>
            </w:pPr>
            <w:r>
              <w:rPr>
                <w:rFonts w:hint="eastAsia" w:ascii="宋体" w:hAnsi="宋体"/>
                <w:sz w:val="18"/>
                <w:szCs w:val="18"/>
              </w:rPr>
              <w:t>仓储合同及权利义务</w:t>
            </w:r>
          </w:p>
          <w:p w14:paraId="19A1382D">
            <w:pPr>
              <w:rPr>
                <w:rFonts w:hint="eastAsia" w:ascii="宋体" w:hAnsi="宋体"/>
                <w:sz w:val="18"/>
                <w:szCs w:val="18"/>
              </w:rPr>
            </w:pPr>
            <w:r>
              <w:rPr>
                <w:rFonts w:hint="eastAsia" w:ascii="宋体" w:hAnsi="宋体"/>
                <w:sz w:val="18"/>
                <w:szCs w:val="18"/>
              </w:rPr>
              <w:t>装卸搬运法律法规</w:t>
            </w:r>
          </w:p>
          <w:p w14:paraId="522856CE">
            <w:pPr>
              <w:rPr>
                <w:rFonts w:hint="eastAsia" w:ascii="宋体" w:hAnsi="宋体"/>
                <w:sz w:val="18"/>
                <w:szCs w:val="18"/>
              </w:rPr>
            </w:pPr>
            <w:r>
              <w:rPr>
                <w:rFonts w:hint="eastAsia" w:ascii="宋体" w:hAnsi="宋体"/>
                <w:sz w:val="18"/>
                <w:szCs w:val="18"/>
              </w:rPr>
              <w:t>物流包装法律法规</w:t>
            </w:r>
          </w:p>
          <w:p w14:paraId="0838E199">
            <w:pPr>
              <w:rPr>
                <w:rFonts w:hint="eastAsia" w:ascii="宋体" w:hAnsi="宋体"/>
                <w:sz w:val="18"/>
                <w:szCs w:val="18"/>
              </w:rPr>
            </w:pPr>
            <w:r>
              <w:rPr>
                <w:rFonts w:hint="eastAsia" w:ascii="宋体" w:hAnsi="宋体"/>
                <w:sz w:val="18"/>
                <w:szCs w:val="18"/>
              </w:rPr>
              <w:t>流通加工法律法规</w:t>
            </w:r>
          </w:p>
          <w:p w14:paraId="00FE81EE">
            <w:pPr>
              <w:rPr>
                <w:rFonts w:hint="eastAsia" w:ascii="宋体" w:hAnsi="宋体"/>
                <w:sz w:val="18"/>
                <w:szCs w:val="18"/>
              </w:rPr>
            </w:pPr>
            <w:r>
              <w:rPr>
                <w:rFonts w:hint="eastAsia" w:ascii="宋体" w:hAnsi="宋体"/>
                <w:sz w:val="18"/>
                <w:szCs w:val="18"/>
              </w:rPr>
              <w:t>报关报检法律法规</w:t>
            </w:r>
          </w:p>
          <w:p w14:paraId="748CA8E6">
            <w:pPr>
              <w:rPr>
                <w:rFonts w:hint="eastAsia" w:ascii="宋体" w:hAnsi="宋体"/>
                <w:sz w:val="18"/>
                <w:szCs w:val="18"/>
              </w:rPr>
            </w:pPr>
            <w:r>
              <w:rPr>
                <w:rFonts w:hint="eastAsia" w:ascii="宋体" w:hAnsi="宋体"/>
                <w:sz w:val="18"/>
                <w:szCs w:val="18"/>
              </w:rPr>
              <w:t>保险的含义与特征、海上、陆上、航空货物运输保险的一般条款。</w:t>
            </w:r>
          </w:p>
          <w:p w14:paraId="5782F7F4">
            <w:pPr>
              <w:rPr>
                <w:rFonts w:hint="eastAsia" w:ascii="宋体" w:hAnsi="宋体"/>
                <w:sz w:val="18"/>
                <w:szCs w:val="18"/>
              </w:rPr>
            </w:pPr>
            <w:r>
              <w:rPr>
                <w:rFonts w:hint="eastAsia" w:ascii="宋体" w:hAnsi="宋体"/>
                <w:sz w:val="18"/>
                <w:szCs w:val="18"/>
              </w:rPr>
              <w:t>海上货物运输保险法律法规</w:t>
            </w:r>
          </w:p>
          <w:p w14:paraId="5CF896F9">
            <w:pPr>
              <w:rPr>
                <w:rFonts w:hint="eastAsia" w:ascii="宋体" w:hAnsi="宋体"/>
                <w:sz w:val="18"/>
                <w:szCs w:val="18"/>
              </w:rPr>
            </w:pPr>
            <w:r>
              <w:rPr>
                <w:rFonts w:hint="eastAsia" w:ascii="宋体" w:hAnsi="宋体"/>
                <w:sz w:val="18"/>
                <w:szCs w:val="18"/>
              </w:rPr>
              <w:t>航空货物运输保险法律法规</w:t>
            </w:r>
          </w:p>
        </w:tc>
        <w:tc>
          <w:tcPr>
            <w:tcW w:w="2801" w:type="dxa"/>
            <w:tcBorders>
              <w:top w:val="single" w:color="auto" w:sz="4" w:space="0"/>
              <w:left w:val="single" w:color="auto" w:sz="4" w:space="0"/>
              <w:bottom w:val="single" w:color="auto" w:sz="4" w:space="0"/>
              <w:right w:val="single" w:color="auto" w:sz="4" w:space="0"/>
            </w:tcBorders>
          </w:tcPr>
          <w:p w14:paraId="5C5C36F4">
            <w:pPr>
              <w:rPr>
                <w:rFonts w:hint="eastAsia" w:ascii="宋体" w:hAnsi="宋体"/>
                <w:sz w:val="18"/>
                <w:szCs w:val="18"/>
              </w:rPr>
            </w:pPr>
            <w:r>
              <w:rPr>
                <w:rFonts w:hint="eastAsia" w:ascii="宋体" w:hAnsi="宋体"/>
                <w:sz w:val="18"/>
                <w:szCs w:val="18"/>
              </w:rPr>
              <w:t>（1）有强烈的事业心、高度的责任感和正直的品质；</w:t>
            </w:r>
          </w:p>
          <w:p w14:paraId="0916A79B">
            <w:pPr>
              <w:rPr>
                <w:rFonts w:hint="eastAsia" w:ascii="宋体" w:hAnsi="宋体"/>
                <w:sz w:val="18"/>
                <w:szCs w:val="18"/>
              </w:rPr>
            </w:pPr>
            <w:r>
              <w:rPr>
                <w:rFonts w:hint="eastAsia" w:ascii="宋体" w:hAnsi="宋体"/>
                <w:sz w:val="18"/>
                <w:szCs w:val="18"/>
              </w:rPr>
              <w:t>(2) 讲诚信，遵守职业道德法规；</w:t>
            </w:r>
          </w:p>
          <w:p w14:paraId="600BD430">
            <w:pPr>
              <w:rPr>
                <w:rFonts w:hint="eastAsia" w:ascii="宋体" w:hAnsi="宋体"/>
                <w:sz w:val="18"/>
                <w:szCs w:val="18"/>
              </w:rPr>
            </w:pPr>
            <w:r>
              <w:rPr>
                <w:rFonts w:hint="eastAsia" w:ascii="宋体" w:hAnsi="宋体"/>
                <w:sz w:val="18"/>
                <w:szCs w:val="18"/>
              </w:rPr>
              <w:t>(3) 具有团队合作的精神；</w:t>
            </w:r>
          </w:p>
          <w:p w14:paraId="13B2A020">
            <w:pPr>
              <w:rPr>
                <w:rFonts w:hint="eastAsia" w:ascii="宋体" w:hAnsi="宋体"/>
                <w:sz w:val="18"/>
                <w:szCs w:val="18"/>
              </w:rPr>
            </w:pPr>
            <w:r>
              <w:rPr>
                <w:rFonts w:hint="eastAsia" w:ascii="宋体" w:hAnsi="宋体"/>
                <w:sz w:val="18"/>
                <w:szCs w:val="18"/>
              </w:rPr>
              <w:t>(4) 思维严谨，工作踏实和勤奋努力；</w:t>
            </w:r>
          </w:p>
          <w:p w14:paraId="0FEFF11D">
            <w:pPr>
              <w:rPr>
                <w:rFonts w:hint="eastAsia" w:ascii="宋体" w:hAnsi="宋体"/>
                <w:sz w:val="18"/>
                <w:szCs w:val="18"/>
              </w:rPr>
            </w:pPr>
            <w:r>
              <w:rPr>
                <w:rFonts w:hint="eastAsia" w:ascii="宋体" w:hAnsi="宋体"/>
                <w:sz w:val="18"/>
                <w:szCs w:val="18"/>
              </w:rPr>
              <w:t>(5) 有良好的沟通协调能力，有较好的语言表达能力。</w:t>
            </w:r>
          </w:p>
        </w:tc>
      </w:tr>
      <w:tr w14:paraId="15F0F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0459568">
            <w:pPr>
              <w:jc w:val="center"/>
              <w:rPr>
                <w:rFonts w:hint="default" w:ascii="宋体" w:hAnsi="宋体" w:eastAsia="宋体"/>
                <w:sz w:val="18"/>
                <w:szCs w:val="18"/>
                <w:lang w:val="en-US" w:eastAsia="zh-CN"/>
              </w:rPr>
            </w:pPr>
            <w:r>
              <w:rPr>
                <w:rFonts w:hint="eastAsia" w:ascii="宋体" w:hAnsi="宋体"/>
                <w:sz w:val="18"/>
                <w:szCs w:val="18"/>
                <w:lang w:val="en-US" w:eastAsia="zh-CN"/>
              </w:rPr>
              <w:t>26</w:t>
            </w:r>
          </w:p>
        </w:tc>
        <w:tc>
          <w:tcPr>
            <w:tcW w:w="709" w:type="dxa"/>
            <w:vMerge w:val="continue"/>
            <w:tcBorders>
              <w:top w:val="single" w:color="auto" w:sz="4" w:space="0"/>
              <w:left w:val="single" w:color="auto" w:sz="4" w:space="0"/>
              <w:right w:val="single" w:color="auto" w:sz="4" w:space="0"/>
            </w:tcBorders>
            <w:vAlign w:val="center"/>
          </w:tcPr>
          <w:p w14:paraId="26FFFED9">
            <w:pPr>
              <w:rPr>
                <w:rFonts w:hint="eastAsia" w:ascii="宋体" w:hAnsi="宋体" w:cs="宋体"/>
                <w:sz w:val="18"/>
                <w:szCs w:val="18"/>
              </w:rPr>
            </w:pPr>
          </w:p>
        </w:tc>
        <w:tc>
          <w:tcPr>
            <w:tcW w:w="919" w:type="dxa"/>
            <w:tcBorders>
              <w:top w:val="single" w:color="auto" w:sz="4" w:space="0"/>
              <w:left w:val="single" w:color="auto" w:sz="4" w:space="0"/>
              <w:bottom w:val="single" w:color="auto" w:sz="4" w:space="0"/>
              <w:right w:val="single" w:color="auto" w:sz="4" w:space="0"/>
            </w:tcBorders>
          </w:tcPr>
          <w:p w14:paraId="232B2811">
            <w:pPr>
              <w:rPr>
                <w:rFonts w:hint="eastAsia" w:ascii="宋体" w:hAnsi="宋体"/>
                <w:sz w:val="18"/>
                <w:szCs w:val="18"/>
              </w:rPr>
            </w:pPr>
          </w:p>
          <w:p w14:paraId="1B73E934">
            <w:pPr>
              <w:rPr>
                <w:rFonts w:hint="eastAsia" w:ascii="宋体" w:hAnsi="宋体"/>
                <w:sz w:val="18"/>
                <w:szCs w:val="18"/>
              </w:rPr>
            </w:pPr>
          </w:p>
          <w:p w14:paraId="50DD0B6B">
            <w:pPr>
              <w:rPr>
                <w:rFonts w:hint="eastAsia" w:ascii="宋体" w:hAnsi="宋体"/>
                <w:sz w:val="18"/>
                <w:szCs w:val="18"/>
              </w:rPr>
            </w:pPr>
          </w:p>
          <w:p w14:paraId="13B9874D">
            <w:pPr>
              <w:rPr>
                <w:rFonts w:hint="eastAsia" w:ascii="宋体" w:hAnsi="宋体"/>
                <w:sz w:val="18"/>
                <w:szCs w:val="18"/>
              </w:rPr>
            </w:pPr>
          </w:p>
          <w:p w14:paraId="4BA169A2">
            <w:pPr>
              <w:rPr>
                <w:rFonts w:hint="eastAsia" w:ascii="宋体" w:hAnsi="宋体"/>
                <w:sz w:val="18"/>
                <w:szCs w:val="18"/>
              </w:rPr>
            </w:pPr>
          </w:p>
          <w:p w14:paraId="22DB87F1">
            <w:pPr>
              <w:rPr>
                <w:rFonts w:hint="eastAsia" w:ascii="宋体" w:hAnsi="宋体"/>
                <w:sz w:val="18"/>
                <w:szCs w:val="18"/>
              </w:rPr>
            </w:pPr>
          </w:p>
          <w:p w14:paraId="1F3418F3">
            <w:pPr>
              <w:rPr>
                <w:rFonts w:hint="eastAsia" w:ascii="宋体" w:hAnsi="宋体"/>
                <w:sz w:val="18"/>
                <w:szCs w:val="18"/>
              </w:rPr>
            </w:pPr>
          </w:p>
          <w:p w14:paraId="2FAED0E8">
            <w:pPr>
              <w:rPr>
                <w:rFonts w:hint="eastAsia" w:ascii="宋体" w:hAnsi="宋体"/>
                <w:sz w:val="18"/>
                <w:szCs w:val="18"/>
              </w:rPr>
            </w:pPr>
          </w:p>
          <w:p w14:paraId="49C8F9CE">
            <w:pPr>
              <w:rPr>
                <w:rFonts w:hint="eastAsia" w:ascii="宋体" w:hAnsi="宋体"/>
                <w:sz w:val="18"/>
                <w:szCs w:val="18"/>
              </w:rPr>
            </w:pPr>
          </w:p>
          <w:p w14:paraId="7BE2F8F9">
            <w:pPr>
              <w:rPr>
                <w:rFonts w:hint="eastAsia" w:ascii="宋体" w:hAnsi="宋体"/>
                <w:sz w:val="18"/>
                <w:szCs w:val="18"/>
              </w:rPr>
            </w:pPr>
          </w:p>
          <w:p w14:paraId="053C0B01">
            <w:pPr>
              <w:rPr>
                <w:rFonts w:hint="eastAsia" w:ascii="宋体" w:hAnsi="宋体"/>
                <w:sz w:val="18"/>
                <w:szCs w:val="18"/>
              </w:rPr>
            </w:pPr>
          </w:p>
          <w:p w14:paraId="1A9A4C4B">
            <w:pPr>
              <w:rPr>
                <w:rFonts w:hint="eastAsia" w:ascii="宋体" w:hAnsi="宋体"/>
                <w:sz w:val="18"/>
                <w:szCs w:val="18"/>
              </w:rPr>
            </w:pPr>
            <w:r>
              <w:rPr>
                <w:rFonts w:hint="eastAsia" w:ascii="宋体" w:hAnsi="宋体"/>
                <w:sz w:val="18"/>
                <w:szCs w:val="18"/>
              </w:rPr>
              <w:t>市场营销</w:t>
            </w:r>
          </w:p>
        </w:tc>
        <w:tc>
          <w:tcPr>
            <w:tcW w:w="2415" w:type="dxa"/>
            <w:tcBorders>
              <w:top w:val="single" w:color="auto" w:sz="4" w:space="0"/>
              <w:left w:val="single" w:color="auto" w:sz="4" w:space="0"/>
              <w:bottom w:val="single" w:color="auto" w:sz="4" w:space="0"/>
              <w:right w:val="single" w:color="auto" w:sz="4" w:space="0"/>
            </w:tcBorders>
          </w:tcPr>
          <w:p w14:paraId="542E1027">
            <w:pPr>
              <w:pStyle w:val="67"/>
              <w:ind w:firstLine="0" w:firstLineChars="0"/>
              <w:rPr>
                <w:rFonts w:hint="eastAsia" w:ascii="宋体" w:hAnsi="宋体"/>
                <w:sz w:val="18"/>
                <w:szCs w:val="18"/>
              </w:rPr>
            </w:pPr>
            <w:r>
              <w:rPr>
                <w:rFonts w:hint="eastAsia" w:ascii="宋体" w:hAnsi="宋体"/>
                <w:sz w:val="18"/>
                <w:szCs w:val="18"/>
              </w:rPr>
              <w:t>（1）掌握市场营销的基本概念、原理和方法；</w:t>
            </w:r>
          </w:p>
          <w:p w14:paraId="4AD6CE3A">
            <w:pPr>
              <w:pStyle w:val="67"/>
              <w:ind w:firstLine="0" w:firstLineChars="0"/>
              <w:rPr>
                <w:rFonts w:hint="eastAsia" w:ascii="宋体" w:hAnsi="宋体"/>
                <w:sz w:val="18"/>
                <w:szCs w:val="18"/>
              </w:rPr>
            </w:pPr>
            <w:r>
              <w:rPr>
                <w:rFonts w:ascii="宋体" w:hAnsi="宋体"/>
                <w:sz w:val="18"/>
                <w:szCs w:val="18"/>
              </w:rPr>
              <w:t>（</w:t>
            </w:r>
            <w:r>
              <w:rPr>
                <w:rFonts w:hint="eastAsia" w:ascii="宋体" w:hAnsi="宋体"/>
                <w:sz w:val="18"/>
                <w:szCs w:val="18"/>
              </w:rPr>
              <w:t>2</w:t>
            </w:r>
            <w:r>
              <w:rPr>
                <w:rFonts w:ascii="宋体" w:hAnsi="宋体"/>
                <w:sz w:val="18"/>
                <w:szCs w:val="18"/>
              </w:rPr>
              <w:t>）</w:t>
            </w:r>
            <w:r>
              <w:rPr>
                <w:rFonts w:hint="eastAsia" w:ascii="宋体" w:hAnsi="宋体"/>
                <w:sz w:val="18"/>
                <w:szCs w:val="18"/>
              </w:rPr>
              <w:t>熟悉市场营销的各个环节和流程；</w:t>
            </w:r>
          </w:p>
          <w:p w14:paraId="24960284">
            <w:pPr>
              <w:rPr>
                <w:rFonts w:hint="eastAsia" w:ascii="宋体" w:hAnsi="宋体"/>
                <w:sz w:val="18"/>
                <w:szCs w:val="18"/>
              </w:rPr>
            </w:pPr>
            <w:r>
              <w:rPr>
                <w:rFonts w:hint="eastAsia" w:ascii="宋体" w:hAnsi="宋体"/>
                <w:sz w:val="18"/>
                <w:szCs w:val="18"/>
              </w:rPr>
              <w:t>（3）掌握市场环境分析的方法和工具；</w:t>
            </w:r>
          </w:p>
          <w:p w14:paraId="1B0983FF">
            <w:pPr>
              <w:rPr>
                <w:rFonts w:hint="eastAsia" w:ascii="宋体" w:hAnsi="宋体"/>
                <w:sz w:val="18"/>
                <w:szCs w:val="18"/>
              </w:rPr>
            </w:pPr>
            <w:r>
              <w:rPr>
                <w:rFonts w:hint="eastAsia" w:ascii="宋体" w:hAnsi="宋体"/>
                <w:sz w:val="18"/>
                <w:szCs w:val="18"/>
              </w:rPr>
              <w:t>（4）掌握市场细分、目标市场选择和市场定位的方法；</w:t>
            </w:r>
          </w:p>
          <w:p w14:paraId="355458C7">
            <w:pPr>
              <w:rPr>
                <w:rFonts w:hint="eastAsia" w:ascii="宋体" w:hAnsi="宋体"/>
                <w:sz w:val="18"/>
                <w:szCs w:val="18"/>
              </w:rPr>
            </w:pPr>
            <w:r>
              <w:rPr>
                <w:rFonts w:hint="eastAsia" w:ascii="宋体" w:hAnsi="宋体"/>
                <w:sz w:val="18"/>
                <w:szCs w:val="18"/>
              </w:rPr>
              <w:t>（5）掌握产品策略、价格策略、渠道策略和促销策略等市场营销组合策略的制定和实施；</w:t>
            </w:r>
          </w:p>
          <w:p w14:paraId="69244054">
            <w:pPr>
              <w:rPr>
                <w:rFonts w:hint="eastAsia" w:ascii="宋体" w:hAnsi="宋体"/>
                <w:sz w:val="18"/>
                <w:szCs w:val="18"/>
              </w:rPr>
            </w:pPr>
            <w:r>
              <w:rPr>
                <w:rFonts w:hint="eastAsia" w:ascii="宋体" w:hAnsi="宋体"/>
                <w:sz w:val="18"/>
                <w:szCs w:val="18"/>
              </w:rPr>
              <w:t>（6）培养学生运用市场营销知识进行市场分析和决策的能力；</w:t>
            </w:r>
          </w:p>
          <w:p w14:paraId="5B463A98">
            <w:pPr>
              <w:rPr>
                <w:rFonts w:hint="eastAsia" w:ascii="宋体" w:hAnsi="宋体"/>
                <w:sz w:val="18"/>
                <w:szCs w:val="18"/>
              </w:rPr>
            </w:pPr>
            <w:r>
              <w:rPr>
                <w:rFonts w:hint="eastAsia" w:ascii="宋体" w:hAnsi="宋体"/>
                <w:sz w:val="18"/>
                <w:szCs w:val="18"/>
              </w:rPr>
              <w:t>（7）培养学生市场营销策划和执行、调研和数据分析能力；</w:t>
            </w:r>
          </w:p>
        </w:tc>
        <w:tc>
          <w:tcPr>
            <w:tcW w:w="2155" w:type="dxa"/>
            <w:tcBorders>
              <w:top w:val="single" w:color="auto" w:sz="4" w:space="0"/>
              <w:left w:val="single" w:color="auto" w:sz="4" w:space="0"/>
              <w:bottom w:val="single" w:color="auto" w:sz="4" w:space="0"/>
              <w:right w:val="single" w:color="auto" w:sz="4" w:space="0"/>
            </w:tcBorders>
          </w:tcPr>
          <w:p w14:paraId="321B0FE1">
            <w:pPr>
              <w:rPr>
                <w:rFonts w:hint="eastAsia" w:ascii="宋体" w:hAnsi="宋体"/>
                <w:sz w:val="18"/>
                <w:szCs w:val="18"/>
              </w:rPr>
            </w:pPr>
            <w:r>
              <w:rPr>
                <w:rFonts w:hint="eastAsia" w:ascii="宋体" w:hAnsi="宋体"/>
                <w:sz w:val="18"/>
                <w:szCs w:val="18"/>
              </w:rPr>
              <w:t>1.市场营销与市场</w:t>
            </w:r>
          </w:p>
          <w:p w14:paraId="00A66659">
            <w:pPr>
              <w:rPr>
                <w:rFonts w:hint="eastAsia" w:ascii="宋体" w:hAnsi="宋体"/>
                <w:sz w:val="18"/>
                <w:szCs w:val="18"/>
              </w:rPr>
            </w:pPr>
            <w:r>
              <w:rPr>
                <w:rFonts w:hint="eastAsia" w:ascii="宋体" w:hAnsi="宋体"/>
                <w:sz w:val="18"/>
                <w:szCs w:val="18"/>
              </w:rPr>
              <w:t>2.市场营销形成与发展</w:t>
            </w:r>
          </w:p>
          <w:p w14:paraId="40BB7467">
            <w:pPr>
              <w:rPr>
                <w:rFonts w:hint="eastAsia" w:ascii="宋体" w:hAnsi="宋体"/>
                <w:sz w:val="18"/>
                <w:szCs w:val="18"/>
              </w:rPr>
            </w:pPr>
            <w:r>
              <w:rPr>
                <w:rFonts w:hint="eastAsia" w:ascii="宋体" w:hAnsi="宋体"/>
                <w:sz w:val="18"/>
                <w:szCs w:val="18"/>
              </w:rPr>
              <w:t>3.市场营销研究内容</w:t>
            </w:r>
          </w:p>
          <w:p w14:paraId="397E7923">
            <w:pPr>
              <w:rPr>
                <w:rFonts w:hint="eastAsia" w:ascii="宋体" w:hAnsi="宋体"/>
                <w:sz w:val="18"/>
                <w:szCs w:val="18"/>
              </w:rPr>
            </w:pPr>
            <w:r>
              <w:rPr>
                <w:rFonts w:hint="eastAsia" w:ascii="宋体" w:hAnsi="宋体"/>
                <w:sz w:val="18"/>
                <w:szCs w:val="18"/>
              </w:rPr>
              <w:t>4.市场营销管理及哲学</w:t>
            </w:r>
          </w:p>
          <w:p w14:paraId="213AE467">
            <w:pPr>
              <w:rPr>
                <w:rFonts w:hint="eastAsia" w:ascii="宋体" w:hAnsi="宋体"/>
                <w:sz w:val="18"/>
                <w:szCs w:val="18"/>
              </w:rPr>
            </w:pPr>
            <w:r>
              <w:rPr>
                <w:rFonts w:hint="eastAsia" w:ascii="宋体" w:hAnsi="宋体"/>
                <w:sz w:val="18"/>
                <w:szCs w:val="18"/>
              </w:rPr>
              <w:t>1.市场营销环境含义</w:t>
            </w:r>
          </w:p>
          <w:p w14:paraId="0DCBF00C">
            <w:pPr>
              <w:rPr>
                <w:rFonts w:hint="eastAsia" w:ascii="宋体" w:hAnsi="宋体"/>
                <w:sz w:val="18"/>
                <w:szCs w:val="18"/>
              </w:rPr>
            </w:pPr>
            <w:r>
              <w:rPr>
                <w:rFonts w:hint="eastAsia" w:ascii="宋体" w:hAnsi="宋体"/>
                <w:sz w:val="18"/>
                <w:szCs w:val="18"/>
              </w:rPr>
              <w:t>2.宏观市场营销环境</w:t>
            </w:r>
          </w:p>
          <w:p w14:paraId="4802889B">
            <w:pPr>
              <w:rPr>
                <w:rFonts w:hint="eastAsia" w:ascii="宋体" w:hAnsi="宋体"/>
                <w:sz w:val="18"/>
                <w:szCs w:val="18"/>
              </w:rPr>
            </w:pPr>
            <w:r>
              <w:rPr>
                <w:rFonts w:hint="eastAsia" w:ascii="宋体" w:hAnsi="宋体"/>
                <w:sz w:val="18"/>
                <w:szCs w:val="18"/>
              </w:rPr>
              <w:t>3.微观市场营销环境</w:t>
            </w:r>
          </w:p>
          <w:p w14:paraId="63A4214C">
            <w:pPr>
              <w:rPr>
                <w:rFonts w:hint="eastAsia" w:ascii="宋体" w:hAnsi="宋体"/>
                <w:sz w:val="18"/>
                <w:szCs w:val="18"/>
              </w:rPr>
            </w:pPr>
            <w:r>
              <w:rPr>
                <w:rFonts w:hint="eastAsia" w:ascii="宋体" w:hAnsi="宋体"/>
                <w:sz w:val="18"/>
                <w:szCs w:val="18"/>
              </w:rPr>
              <w:t>4.环境分析与营销对策</w:t>
            </w:r>
          </w:p>
          <w:p w14:paraId="0A79E435">
            <w:pPr>
              <w:rPr>
                <w:rFonts w:hint="eastAsia" w:ascii="宋体" w:hAnsi="宋体"/>
                <w:sz w:val="18"/>
                <w:szCs w:val="18"/>
              </w:rPr>
            </w:pPr>
            <w:r>
              <w:rPr>
                <w:rFonts w:hint="eastAsia" w:ascii="宋体" w:hAnsi="宋体"/>
                <w:sz w:val="18"/>
                <w:szCs w:val="18"/>
              </w:rPr>
              <w:t>1.消费者市场含义</w:t>
            </w:r>
          </w:p>
          <w:p w14:paraId="5E6270BE">
            <w:pPr>
              <w:rPr>
                <w:rFonts w:hint="eastAsia" w:ascii="宋体" w:hAnsi="宋体"/>
                <w:sz w:val="18"/>
                <w:szCs w:val="18"/>
              </w:rPr>
            </w:pPr>
            <w:r>
              <w:rPr>
                <w:rFonts w:hint="eastAsia" w:ascii="宋体" w:hAnsi="宋体"/>
                <w:sz w:val="18"/>
                <w:szCs w:val="18"/>
              </w:rPr>
              <w:t>2.消费者购买环境因素</w:t>
            </w:r>
          </w:p>
          <w:p w14:paraId="7C76B33E">
            <w:pPr>
              <w:rPr>
                <w:rFonts w:hint="eastAsia" w:ascii="宋体" w:hAnsi="宋体"/>
                <w:sz w:val="18"/>
                <w:szCs w:val="18"/>
              </w:rPr>
            </w:pPr>
            <w:r>
              <w:rPr>
                <w:rFonts w:hint="eastAsia" w:ascii="宋体" w:hAnsi="宋体"/>
                <w:sz w:val="18"/>
                <w:szCs w:val="18"/>
              </w:rPr>
              <w:t>3.影响消费者的个体因素</w:t>
            </w:r>
          </w:p>
          <w:p w14:paraId="3AABEF9B">
            <w:pPr>
              <w:rPr>
                <w:rFonts w:hint="eastAsia" w:ascii="宋体" w:hAnsi="宋体"/>
                <w:sz w:val="18"/>
                <w:szCs w:val="18"/>
              </w:rPr>
            </w:pPr>
            <w:r>
              <w:rPr>
                <w:rFonts w:hint="eastAsia" w:ascii="宋体" w:hAnsi="宋体"/>
                <w:sz w:val="18"/>
                <w:szCs w:val="18"/>
              </w:rPr>
              <w:t>4.消费者购买决策过程</w:t>
            </w:r>
          </w:p>
          <w:p w14:paraId="2C43BE05">
            <w:pPr>
              <w:rPr>
                <w:rFonts w:hint="eastAsia" w:ascii="宋体" w:hAnsi="宋体"/>
                <w:sz w:val="18"/>
                <w:szCs w:val="18"/>
              </w:rPr>
            </w:pPr>
            <w:r>
              <w:rPr>
                <w:rFonts w:hint="eastAsia" w:ascii="宋体" w:hAnsi="宋体"/>
                <w:sz w:val="18"/>
                <w:szCs w:val="18"/>
              </w:rPr>
              <w:t>1.组织市场的类型</w:t>
            </w:r>
          </w:p>
          <w:p w14:paraId="43F19A08">
            <w:pPr>
              <w:rPr>
                <w:rFonts w:hint="eastAsia" w:ascii="宋体" w:hAnsi="宋体"/>
                <w:sz w:val="18"/>
                <w:szCs w:val="18"/>
              </w:rPr>
            </w:pPr>
            <w:r>
              <w:rPr>
                <w:rFonts w:hint="eastAsia" w:ascii="宋体" w:hAnsi="宋体"/>
                <w:sz w:val="18"/>
                <w:szCs w:val="18"/>
              </w:rPr>
              <w:t>2.组织市场的购买行为</w:t>
            </w:r>
          </w:p>
          <w:p w14:paraId="681F99F1">
            <w:pPr>
              <w:rPr>
                <w:rFonts w:hint="eastAsia" w:ascii="宋体" w:hAnsi="宋体"/>
                <w:sz w:val="18"/>
                <w:szCs w:val="18"/>
              </w:rPr>
            </w:pPr>
            <w:r>
              <w:rPr>
                <w:rFonts w:hint="eastAsia" w:ascii="宋体" w:hAnsi="宋体"/>
                <w:sz w:val="18"/>
                <w:szCs w:val="18"/>
              </w:rPr>
              <w:t>3.非营利组织市场</w:t>
            </w:r>
          </w:p>
          <w:p w14:paraId="068FCE51">
            <w:pPr>
              <w:rPr>
                <w:rFonts w:hint="eastAsia" w:ascii="宋体" w:hAnsi="宋体"/>
                <w:sz w:val="18"/>
                <w:szCs w:val="18"/>
              </w:rPr>
            </w:pPr>
            <w:r>
              <w:rPr>
                <w:rFonts w:hint="eastAsia" w:ascii="宋体" w:hAnsi="宋体"/>
                <w:sz w:val="18"/>
                <w:szCs w:val="18"/>
              </w:rPr>
              <w:t>4.客户关系管理</w:t>
            </w:r>
          </w:p>
          <w:p w14:paraId="09A2294B">
            <w:pPr>
              <w:rPr>
                <w:rFonts w:hint="eastAsia" w:ascii="宋体" w:hAnsi="宋体"/>
                <w:sz w:val="18"/>
                <w:szCs w:val="18"/>
              </w:rPr>
            </w:pPr>
            <w:r>
              <w:rPr>
                <w:rFonts w:hint="eastAsia" w:ascii="宋体" w:hAnsi="宋体"/>
                <w:sz w:val="18"/>
                <w:szCs w:val="18"/>
              </w:rPr>
              <w:t>1.市场营销信息系统</w:t>
            </w:r>
          </w:p>
          <w:p w14:paraId="1E74E1D6">
            <w:pPr>
              <w:rPr>
                <w:rFonts w:hint="eastAsia" w:ascii="宋体" w:hAnsi="宋体"/>
                <w:sz w:val="18"/>
                <w:szCs w:val="18"/>
              </w:rPr>
            </w:pPr>
            <w:r>
              <w:rPr>
                <w:rFonts w:hint="eastAsia" w:ascii="宋体" w:hAnsi="宋体"/>
                <w:sz w:val="18"/>
                <w:szCs w:val="18"/>
              </w:rPr>
              <w:t>2.市场营销调研</w:t>
            </w:r>
          </w:p>
          <w:p w14:paraId="11EA4EE3">
            <w:pPr>
              <w:rPr>
                <w:rFonts w:hint="eastAsia" w:ascii="宋体" w:hAnsi="宋体"/>
                <w:sz w:val="18"/>
                <w:szCs w:val="18"/>
              </w:rPr>
            </w:pPr>
            <w:r>
              <w:rPr>
                <w:rFonts w:hint="eastAsia" w:ascii="宋体" w:hAnsi="宋体"/>
                <w:sz w:val="18"/>
                <w:szCs w:val="18"/>
              </w:rPr>
              <w:t>3.市场需求的测量与预测</w:t>
            </w:r>
          </w:p>
          <w:p w14:paraId="6C9524B1">
            <w:pPr>
              <w:rPr>
                <w:rFonts w:hint="eastAsia" w:ascii="宋体" w:hAnsi="宋体"/>
                <w:sz w:val="18"/>
                <w:szCs w:val="18"/>
              </w:rPr>
            </w:pPr>
            <w:r>
              <w:rPr>
                <w:rFonts w:hint="eastAsia" w:ascii="宋体" w:hAnsi="宋体"/>
                <w:sz w:val="18"/>
                <w:szCs w:val="18"/>
              </w:rPr>
              <w:t>1.企业战略</w:t>
            </w:r>
          </w:p>
          <w:p w14:paraId="64B30804">
            <w:pPr>
              <w:rPr>
                <w:rFonts w:hint="eastAsia" w:ascii="宋体" w:hAnsi="宋体"/>
                <w:sz w:val="18"/>
                <w:szCs w:val="18"/>
              </w:rPr>
            </w:pPr>
            <w:r>
              <w:rPr>
                <w:rFonts w:hint="eastAsia" w:ascii="宋体" w:hAnsi="宋体"/>
                <w:sz w:val="18"/>
                <w:szCs w:val="18"/>
              </w:rPr>
              <w:t>2.企业战略目标</w:t>
            </w:r>
          </w:p>
          <w:p w14:paraId="738E4D43">
            <w:pPr>
              <w:rPr>
                <w:rFonts w:hint="eastAsia" w:ascii="宋体" w:hAnsi="宋体"/>
                <w:sz w:val="18"/>
                <w:szCs w:val="18"/>
              </w:rPr>
            </w:pPr>
            <w:r>
              <w:rPr>
                <w:rFonts w:hint="eastAsia" w:ascii="宋体" w:hAnsi="宋体"/>
                <w:sz w:val="18"/>
                <w:szCs w:val="18"/>
              </w:rPr>
              <w:t>3.战略业务单位</w:t>
            </w:r>
          </w:p>
          <w:p w14:paraId="488DC4DC">
            <w:pPr>
              <w:rPr>
                <w:rFonts w:hint="eastAsia" w:ascii="宋体" w:hAnsi="宋体"/>
                <w:sz w:val="18"/>
                <w:szCs w:val="18"/>
              </w:rPr>
            </w:pPr>
            <w:r>
              <w:rPr>
                <w:rFonts w:hint="eastAsia" w:ascii="宋体" w:hAnsi="宋体"/>
                <w:sz w:val="18"/>
                <w:szCs w:val="18"/>
              </w:rPr>
              <w:t>1.竞争者分析</w:t>
            </w:r>
          </w:p>
          <w:p w14:paraId="4762CF34">
            <w:pPr>
              <w:rPr>
                <w:rFonts w:hint="eastAsia" w:ascii="宋体" w:hAnsi="宋体"/>
                <w:sz w:val="18"/>
                <w:szCs w:val="18"/>
              </w:rPr>
            </w:pPr>
            <w:r>
              <w:rPr>
                <w:rFonts w:hint="eastAsia" w:ascii="宋体" w:hAnsi="宋体"/>
                <w:sz w:val="18"/>
                <w:szCs w:val="18"/>
              </w:rPr>
              <w:t>2.市场领导者战略</w:t>
            </w:r>
          </w:p>
          <w:p w14:paraId="01C42CD8">
            <w:pPr>
              <w:rPr>
                <w:rFonts w:hint="eastAsia" w:ascii="宋体" w:hAnsi="宋体"/>
                <w:sz w:val="18"/>
                <w:szCs w:val="18"/>
              </w:rPr>
            </w:pPr>
            <w:r>
              <w:rPr>
                <w:rFonts w:hint="eastAsia" w:ascii="宋体" w:hAnsi="宋体"/>
                <w:sz w:val="18"/>
                <w:szCs w:val="18"/>
              </w:rPr>
              <w:t>3.市场挑战者战略</w:t>
            </w:r>
          </w:p>
          <w:p w14:paraId="0D98C9B9">
            <w:pPr>
              <w:rPr>
                <w:rFonts w:hint="eastAsia" w:ascii="宋体" w:hAnsi="宋体"/>
                <w:sz w:val="18"/>
                <w:szCs w:val="18"/>
              </w:rPr>
            </w:pPr>
            <w:r>
              <w:rPr>
                <w:rFonts w:hint="eastAsia" w:ascii="宋体" w:hAnsi="宋体"/>
                <w:sz w:val="18"/>
                <w:szCs w:val="18"/>
              </w:rPr>
              <w:t>4.市场追随者战略</w:t>
            </w:r>
          </w:p>
          <w:p w14:paraId="770165D9">
            <w:pPr>
              <w:rPr>
                <w:rFonts w:hint="eastAsia" w:ascii="宋体" w:hAnsi="宋体"/>
                <w:sz w:val="18"/>
                <w:szCs w:val="18"/>
              </w:rPr>
            </w:pPr>
            <w:r>
              <w:rPr>
                <w:rFonts w:hint="eastAsia" w:ascii="宋体" w:hAnsi="宋体"/>
                <w:sz w:val="18"/>
                <w:szCs w:val="18"/>
              </w:rPr>
              <w:t>1.市场细分</w:t>
            </w:r>
          </w:p>
          <w:p w14:paraId="7C895264">
            <w:pPr>
              <w:rPr>
                <w:rFonts w:hint="eastAsia" w:ascii="宋体" w:hAnsi="宋体"/>
                <w:sz w:val="18"/>
                <w:szCs w:val="18"/>
              </w:rPr>
            </w:pPr>
            <w:r>
              <w:rPr>
                <w:rFonts w:hint="eastAsia" w:ascii="宋体" w:hAnsi="宋体"/>
                <w:sz w:val="18"/>
                <w:szCs w:val="18"/>
              </w:rPr>
              <w:t>2.目标市场</w:t>
            </w:r>
          </w:p>
          <w:p w14:paraId="433E2FC8">
            <w:pPr>
              <w:rPr>
                <w:rFonts w:hint="eastAsia" w:ascii="宋体" w:hAnsi="宋体"/>
                <w:sz w:val="18"/>
                <w:szCs w:val="18"/>
              </w:rPr>
            </w:pPr>
            <w:r>
              <w:rPr>
                <w:rFonts w:hint="eastAsia" w:ascii="宋体" w:hAnsi="宋体"/>
                <w:sz w:val="18"/>
                <w:szCs w:val="18"/>
              </w:rPr>
              <w:t>3.市场定位</w:t>
            </w:r>
          </w:p>
          <w:p w14:paraId="1CA3C545">
            <w:pPr>
              <w:rPr>
                <w:rFonts w:hint="eastAsia" w:ascii="宋体" w:hAnsi="宋体"/>
                <w:sz w:val="18"/>
                <w:szCs w:val="18"/>
              </w:rPr>
            </w:pPr>
            <w:r>
              <w:rPr>
                <w:rFonts w:hint="eastAsia" w:ascii="宋体" w:hAnsi="宋体"/>
                <w:sz w:val="18"/>
                <w:szCs w:val="18"/>
              </w:rPr>
              <w:t>1.影响定价的主要因素</w:t>
            </w:r>
          </w:p>
          <w:p w14:paraId="52CB5CE4">
            <w:pPr>
              <w:rPr>
                <w:rFonts w:hint="eastAsia" w:ascii="宋体" w:hAnsi="宋体"/>
                <w:sz w:val="18"/>
                <w:szCs w:val="18"/>
              </w:rPr>
            </w:pPr>
            <w:r>
              <w:rPr>
                <w:rFonts w:hint="eastAsia" w:ascii="宋体" w:hAnsi="宋体"/>
                <w:sz w:val="18"/>
                <w:szCs w:val="18"/>
              </w:rPr>
              <w:t>2.定价的一般方法</w:t>
            </w:r>
          </w:p>
          <w:p w14:paraId="1B19B4AE">
            <w:pPr>
              <w:rPr>
                <w:rFonts w:hint="eastAsia" w:ascii="宋体" w:hAnsi="宋体"/>
                <w:sz w:val="18"/>
                <w:szCs w:val="18"/>
              </w:rPr>
            </w:pPr>
            <w:r>
              <w:rPr>
                <w:rFonts w:hint="eastAsia" w:ascii="宋体" w:hAnsi="宋体"/>
                <w:sz w:val="18"/>
                <w:szCs w:val="18"/>
              </w:rPr>
              <w:t>3.定价的基本策略</w:t>
            </w:r>
          </w:p>
        </w:tc>
        <w:tc>
          <w:tcPr>
            <w:tcW w:w="2801" w:type="dxa"/>
            <w:tcBorders>
              <w:top w:val="single" w:color="auto" w:sz="4" w:space="0"/>
              <w:left w:val="single" w:color="auto" w:sz="4" w:space="0"/>
              <w:bottom w:val="single" w:color="auto" w:sz="4" w:space="0"/>
              <w:right w:val="single" w:color="auto" w:sz="4" w:space="0"/>
            </w:tcBorders>
          </w:tcPr>
          <w:p w14:paraId="0720E4D2">
            <w:pPr>
              <w:rPr>
                <w:rFonts w:hint="eastAsia" w:ascii="宋体" w:hAnsi="宋体"/>
                <w:sz w:val="18"/>
                <w:szCs w:val="18"/>
              </w:rPr>
            </w:pPr>
            <w:r>
              <w:rPr>
                <w:rFonts w:hint="eastAsia" w:ascii="宋体" w:hAnsi="宋体"/>
                <w:sz w:val="18"/>
                <w:szCs w:val="18"/>
              </w:rPr>
              <w:t>本课程以研究市场行为为主线，以工作过程为导向，以公司运营的实际工作任务为驱动，调动学生的学习积极性。鉴于对专业课程以及学生整体水平的综合考虑，课程设计走项目化的市场营销路线，即从培养产品营销理念入手，打破以知识传授为主要特征的传统学科模式，以企业产品营销计划制订的工作顺序为逻辑主轴组织教学过程，将市场营销环境分析、企业消费者购买行为分析、市场营销调研、目标市场决策、产品策略、价格策略、渠道策略、促销沟通策略串联起来，灵活运用模块化案例教学，多角度向学生传授知识。</w:t>
            </w:r>
          </w:p>
        </w:tc>
      </w:tr>
      <w:tr w14:paraId="06532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B77E27E">
            <w:pPr>
              <w:jc w:val="center"/>
              <w:rPr>
                <w:rFonts w:hint="default" w:ascii="宋体" w:hAnsi="宋体" w:eastAsia="宋体"/>
                <w:sz w:val="18"/>
                <w:szCs w:val="18"/>
                <w:lang w:val="en-US" w:eastAsia="zh-CN"/>
              </w:rPr>
            </w:pPr>
            <w:r>
              <w:rPr>
                <w:rFonts w:hint="eastAsia" w:ascii="宋体" w:hAnsi="宋体"/>
                <w:sz w:val="18"/>
                <w:szCs w:val="18"/>
                <w:lang w:val="en-US" w:eastAsia="zh-CN"/>
              </w:rPr>
              <w:t>27</w:t>
            </w:r>
          </w:p>
        </w:tc>
        <w:tc>
          <w:tcPr>
            <w:tcW w:w="709" w:type="dxa"/>
            <w:vMerge w:val="continue"/>
            <w:tcBorders>
              <w:top w:val="single" w:color="auto" w:sz="4" w:space="0"/>
              <w:left w:val="single" w:color="auto" w:sz="4" w:space="0"/>
              <w:right w:val="single" w:color="auto" w:sz="4" w:space="0"/>
            </w:tcBorders>
            <w:vAlign w:val="center"/>
          </w:tcPr>
          <w:p w14:paraId="4AF2C048">
            <w:pPr>
              <w:rPr>
                <w:rFonts w:hint="eastAsia" w:ascii="宋体" w:hAnsi="宋体" w:cs="宋体"/>
                <w:sz w:val="18"/>
                <w:szCs w:val="18"/>
              </w:rPr>
            </w:pPr>
          </w:p>
        </w:tc>
        <w:tc>
          <w:tcPr>
            <w:tcW w:w="919" w:type="dxa"/>
            <w:tcBorders>
              <w:top w:val="single" w:color="auto" w:sz="4" w:space="0"/>
              <w:left w:val="single" w:color="auto" w:sz="4" w:space="0"/>
              <w:bottom w:val="single" w:color="auto" w:sz="4" w:space="0"/>
              <w:right w:val="single" w:color="auto" w:sz="4" w:space="0"/>
            </w:tcBorders>
          </w:tcPr>
          <w:p w14:paraId="3D30ECC0">
            <w:pPr>
              <w:rPr>
                <w:rFonts w:hint="eastAsia" w:ascii="宋体" w:hAnsi="宋体"/>
                <w:sz w:val="18"/>
                <w:szCs w:val="18"/>
              </w:rPr>
            </w:pPr>
          </w:p>
          <w:p w14:paraId="6A5B5FCB">
            <w:pPr>
              <w:rPr>
                <w:rFonts w:hint="eastAsia" w:ascii="宋体" w:hAnsi="宋体"/>
                <w:sz w:val="18"/>
                <w:szCs w:val="18"/>
              </w:rPr>
            </w:pPr>
          </w:p>
          <w:p w14:paraId="06CBB68D">
            <w:pPr>
              <w:rPr>
                <w:rFonts w:hint="eastAsia" w:ascii="宋体" w:hAnsi="宋体"/>
                <w:sz w:val="18"/>
                <w:szCs w:val="18"/>
              </w:rPr>
            </w:pPr>
          </w:p>
          <w:p w14:paraId="372C4E41">
            <w:pPr>
              <w:rPr>
                <w:rFonts w:hint="eastAsia" w:ascii="宋体" w:hAnsi="宋体"/>
                <w:sz w:val="18"/>
                <w:szCs w:val="18"/>
              </w:rPr>
            </w:pPr>
          </w:p>
          <w:p w14:paraId="39AAF8B7">
            <w:pPr>
              <w:rPr>
                <w:rFonts w:hint="eastAsia" w:ascii="宋体" w:hAnsi="宋体"/>
                <w:sz w:val="18"/>
                <w:szCs w:val="18"/>
              </w:rPr>
            </w:pPr>
          </w:p>
          <w:p w14:paraId="0F845A5E">
            <w:pPr>
              <w:rPr>
                <w:rFonts w:hint="eastAsia" w:ascii="宋体" w:hAnsi="宋体"/>
                <w:sz w:val="18"/>
                <w:szCs w:val="18"/>
              </w:rPr>
            </w:pPr>
          </w:p>
          <w:p w14:paraId="12728E2D">
            <w:pPr>
              <w:rPr>
                <w:rFonts w:hint="eastAsia" w:ascii="宋体" w:hAnsi="宋体"/>
                <w:sz w:val="18"/>
                <w:szCs w:val="18"/>
              </w:rPr>
            </w:pPr>
          </w:p>
          <w:p w14:paraId="0CD42F31">
            <w:pPr>
              <w:rPr>
                <w:rFonts w:hint="eastAsia" w:ascii="宋体" w:hAnsi="宋体"/>
                <w:sz w:val="18"/>
                <w:szCs w:val="18"/>
              </w:rPr>
            </w:pPr>
          </w:p>
          <w:p w14:paraId="746EF24F">
            <w:pPr>
              <w:rPr>
                <w:rFonts w:hint="eastAsia" w:ascii="宋体" w:hAnsi="宋体"/>
                <w:sz w:val="18"/>
                <w:szCs w:val="18"/>
              </w:rPr>
            </w:pPr>
          </w:p>
          <w:p w14:paraId="5EA00BED">
            <w:pPr>
              <w:rPr>
                <w:rFonts w:hint="eastAsia" w:ascii="宋体" w:hAnsi="宋体"/>
                <w:sz w:val="18"/>
                <w:szCs w:val="18"/>
              </w:rPr>
            </w:pPr>
          </w:p>
          <w:p w14:paraId="47DEA378">
            <w:pPr>
              <w:rPr>
                <w:rFonts w:hint="eastAsia" w:ascii="宋体" w:hAnsi="宋体"/>
                <w:sz w:val="18"/>
                <w:szCs w:val="18"/>
              </w:rPr>
            </w:pPr>
            <w:r>
              <w:rPr>
                <w:rFonts w:hint="eastAsia" w:ascii="宋体" w:hAnsi="宋体"/>
                <w:sz w:val="18"/>
                <w:szCs w:val="18"/>
              </w:rPr>
              <w:t>物流运筹学</w:t>
            </w:r>
          </w:p>
        </w:tc>
        <w:tc>
          <w:tcPr>
            <w:tcW w:w="2415" w:type="dxa"/>
            <w:tcBorders>
              <w:top w:val="single" w:color="auto" w:sz="4" w:space="0"/>
              <w:left w:val="single" w:color="auto" w:sz="4" w:space="0"/>
              <w:bottom w:val="single" w:color="auto" w:sz="4" w:space="0"/>
              <w:right w:val="single" w:color="auto" w:sz="4" w:space="0"/>
            </w:tcBorders>
          </w:tcPr>
          <w:p w14:paraId="4473F96E">
            <w:pPr>
              <w:rPr>
                <w:rFonts w:hint="eastAsia" w:ascii="宋体" w:hAnsi="宋体"/>
                <w:sz w:val="18"/>
                <w:szCs w:val="18"/>
              </w:rPr>
            </w:pPr>
            <w:r>
              <w:rPr>
                <w:rFonts w:hint="eastAsia" w:ascii="宋体" w:hAnsi="宋体"/>
                <w:sz w:val="18"/>
                <w:szCs w:val="18"/>
              </w:rPr>
              <w:t>通过本课程的学习，使学生对运筹学的基本概念、基本理论和基本方法有较深入的理解，在此基础上具备初步应用线性代数的能力，为后续课程的学习奠定必要的基础。同时通过运筹学中基本概念的建立，基本理论的证明，基本方法的运用，培养学生的抽象思维能力、逻辑推理能力。</w:t>
            </w:r>
          </w:p>
          <w:p w14:paraId="4C9FD971">
            <w:pPr>
              <w:rPr>
                <w:rFonts w:hint="eastAsia" w:ascii="宋体" w:hAnsi="宋体"/>
                <w:sz w:val="18"/>
                <w:szCs w:val="18"/>
              </w:rPr>
            </w:pPr>
            <w:r>
              <w:rPr>
                <w:rFonts w:hint="eastAsia" w:ascii="宋体" w:hAnsi="宋体"/>
                <w:sz w:val="18"/>
                <w:szCs w:val="18"/>
              </w:rPr>
              <w:t>1.了解《运筹学》这门学科的性质、地位和独立价值。知道这门学科的研究范围、应用领域、研究方法、学科进展和未来方向；</w:t>
            </w:r>
          </w:p>
          <w:p w14:paraId="49D3D5E5">
            <w:pPr>
              <w:rPr>
                <w:rFonts w:hint="eastAsia" w:ascii="宋体" w:hAnsi="宋体"/>
                <w:sz w:val="18"/>
                <w:szCs w:val="18"/>
              </w:rPr>
            </w:pPr>
            <w:r>
              <w:rPr>
                <w:rFonts w:hint="eastAsia" w:ascii="宋体" w:hAnsi="宋体"/>
                <w:sz w:val="18"/>
                <w:szCs w:val="18"/>
              </w:rPr>
              <w:t>2.理解这门学科的主要概念、基本原理和基本方法；</w:t>
            </w:r>
          </w:p>
          <w:p w14:paraId="5DAA5F78">
            <w:pPr>
              <w:rPr>
                <w:rFonts w:hint="eastAsia" w:ascii="宋体" w:hAnsi="宋体"/>
                <w:sz w:val="18"/>
                <w:szCs w:val="18"/>
              </w:rPr>
            </w:pPr>
            <w:r>
              <w:rPr>
                <w:rFonts w:hint="eastAsia" w:ascii="宋体" w:hAnsi="宋体"/>
                <w:sz w:val="18"/>
                <w:szCs w:val="18"/>
              </w:rPr>
              <w:t>3.掌握一些具体的方法与技术，如单纯形法、对偶单纯形法、修正单纯形法等解决线性规划问题。</w:t>
            </w:r>
          </w:p>
          <w:p w14:paraId="67E55770">
            <w:pPr>
              <w:pStyle w:val="2"/>
              <w:ind w:firstLine="420"/>
              <w:rPr>
                <w:rFonts w:hint="eastAsia"/>
                <w:lang w:val="en-US"/>
              </w:rPr>
            </w:pPr>
          </w:p>
        </w:tc>
        <w:tc>
          <w:tcPr>
            <w:tcW w:w="2155" w:type="dxa"/>
            <w:tcBorders>
              <w:top w:val="single" w:color="auto" w:sz="4" w:space="0"/>
              <w:left w:val="single" w:color="auto" w:sz="4" w:space="0"/>
              <w:bottom w:val="single" w:color="auto" w:sz="4" w:space="0"/>
              <w:right w:val="single" w:color="auto" w:sz="4" w:space="0"/>
            </w:tcBorders>
          </w:tcPr>
          <w:p w14:paraId="4AA000FB">
            <w:pPr>
              <w:rPr>
                <w:rFonts w:hint="eastAsia" w:ascii="宋体" w:hAnsi="宋体"/>
                <w:sz w:val="18"/>
                <w:szCs w:val="18"/>
              </w:rPr>
            </w:pPr>
            <w:r>
              <w:rPr>
                <w:rFonts w:hint="eastAsia" w:ascii="宋体" w:hAnsi="宋体"/>
                <w:sz w:val="18"/>
                <w:szCs w:val="18"/>
              </w:rPr>
              <w:t>线性规划问题</w:t>
            </w:r>
          </w:p>
          <w:p w14:paraId="59515245">
            <w:pPr>
              <w:rPr>
                <w:rFonts w:hint="eastAsia" w:ascii="宋体" w:hAnsi="宋体"/>
                <w:sz w:val="18"/>
                <w:szCs w:val="18"/>
              </w:rPr>
            </w:pPr>
            <w:r>
              <w:rPr>
                <w:rFonts w:hint="eastAsia" w:ascii="宋体" w:hAnsi="宋体"/>
                <w:sz w:val="18"/>
                <w:szCs w:val="18"/>
              </w:rPr>
              <w:t>单纯形法</w:t>
            </w:r>
          </w:p>
          <w:p w14:paraId="3FE62D46">
            <w:pPr>
              <w:rPr>
                <w:rFonts w:hint="eastAsia" w:ascii="宋体" w:hAnsi="宋体"/>
                <w:sz w:val="18"/>
                <w:szCs w:val="18"/>
              </w:rPr>
            </w:pPr>
            <w:r>
              <w:rPr>
                <w:rFonts w:hint="eastAsia" w:ascii="宋体" w:hAnsi="宋体"/>
                <w:sz w:val="18"/>
                <w:szCs w:val="18"/>
              </w:rPr>
              <w:t>整数规划</w:t>
            </w:r>
          </w:p>
          <w:p w14:paraId="471E738A">
            <w:pPr>
              <w:rPr>
                <w:rFonts w:hint="eastAsia" w:ascii="宋体" w:hAnsi="宋体"/>
                <w:sz w:val="18"/>
                <w:szCs w:val="18"/>
              </w:rPr>
            </w:pPr>
            <w:r>
              <w:rPr>
                <w:rFonts w:hint="eastAsia" w:ascii="宋体" w:hAnsi="宋体"/>
                <w:sz w:val="18"/>
                <w:szCs w:val="18"/>
              </w:rPr>
              <w:t>最小元素法</w:t>
            </w:r>
          </w:p>
          <w:p w14:paraId="5A9B4B94">
            <w:pPr>
              <w:rPr>
                <w:rFonts w:hint="eastAsia" w:ascii="宋体" w:hAnsi="宋体"/>
                <w:sz w:val="18"/>
                <w:szCs w:val="18"/>
              </w:rPr>
            </w:pPr>
            <w:r>
              <w:rPr>
                <w:rFonts w:hint="eastAsia" w:ascii="宋体" w:hAnsi="宋体"/>
                <w:sz w:val="18"/>
                <w:szCs w:val="18"/>
              </w:rPr>
              <w:t>表上作业法</w:t>
            </w:r>
          </w:p>
          <w:p w14:paraId="1DBF6D00">
            <w:pPr>
              <w:rPr>
                <w:rFonts w:hint="eastAsia" w:ascii="宋体" w:hAnsi="宋体"/>
                <w:sz w:val="18"/>
                <w:szCs w:val="18"/>
              </w:rPr>
            </w:pPr>
            <w:r>
              <w:rPr>
                <w:rFonts w:hint="eastAsia" w:ascii="宋体" w:hAnsi="宋体"/>
                <w:sz w:val="18"/>
                <w:szCs w:val="18"/>
              </w:rPr>
              <w:t>图与网络</w:t>
            </w:r>
          </w:p>
        </w:tc>
        <w:tc>
          <w:tcPr>
            <w:tcW w:w="2801" w:type="dxa"/>
            <w:tcBorders>
              <w:top w:val="single" w:color="auto" w:sz="4" w:space="0"/>
              <w:left w:val="single" w:color="auto" w:sz="4" w:space="0"/>
              <w:bottom w:val="single" w:color="auto" w:sz="4" w:space="0"/>
              <w:right w:val="single" w:color="auto" w:sz="4" w:space="0"/>
            </w:tcBorders>
          </w:tcPr>
          <w:p w14:paraId="62FD7881">
            <w:pPr>
              <w:rPr>
                <w:rFonts w:hint="eastAsia" w:ascii="宋体" w:hAnsi="宋体"/>
                <w:sz w:val="18"/>
                <w:szCs w:val="18"/>
              </w:rPr>
            </w:pPr>
            <w:r>
              <w:rPr>
                <w:rFonts w:hint="eastAsia" w:ascii="宋体" w:hAnsi="宋体"/>
                <w:sz w:val="18"/>
                <w:szCs w:val="18"/>
              </w:rPr>
              <w:t>本课程取得良好的教学效果需要注重课程教学的整个过程和每个细节.本文将《管理运筹学》教学系统作为研究对象,从系统的角度阐述了教学系统的结构、各子系统和基础模块的功能及它们之间的相互关系,并以心理学和美学作为《管理运筹学》课程教学系统的工程技术内容,分析了直觉思维在教学中的作用,即将学生的思维向前、向后延伸,强调了在课堂教学中要注意科学与美的融合与成功教学法等问题.培养学生实际应用的能力，掌握有效的学习方法，增强自主学习能力，提高综合文化素养；为他们提升就业竞争力及今后的可持续发展打下良好的基础。</w:t>
            </w:r>
          </w:p>
        </w:tc>
      </w:tr>
      <w:tr w14:paraId="4D3F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EEF42D3">
            <w:pPr>
              <w:jc w:val="center"/>
              <w:rPr>
                <w:rFonts w:hint="default" w:ascii="宋体" w:hAnsi="宋体" w:eastAsia="宋体"/>
                <w:sz w:val="18"/>
                <w:szCs w:val="18"/>
                <w:lang w:val="en-US" w:eastAsia="zh-CN"/>
              </w:rPr>
            </w:pPr>
            <w:r>
              <w:rPr>
                <w:rFonts w:hint="eastAsia" w:ascii="宋体" w:hAnsi="宋体"/>
                <w:sz w:val="18"/>
                <w:szCs w:val="18"/>
                <w:lang w:val="en-US" w:eastAsia="zh-CN"/>
              </w:rPr>
              <w:t>28</w:t>
            </w:r>
          </w:p>
        </w:tc>
        <w:tc>
          <w:tcPr>
            <w:tcW w:w="709" w:type="dxa"/>
            <w:vMerge w:val="continue"/>
            <w:tcBorders>
              <w:left w:val="single" w:color="auto" w:sz="4" w:space="0"/>
              <w:right w:val="single" w:color="auto" w:sz="4" w:space="0"/>
            </w:tcBorders>
            <w:vAlign w:val="center"/>
          </w:tcPr>
          <w:p w14:paraId="349185C5">
            <w:pPr>
              <w:jc w:val="center"/>
              <w:rPr>
                <w:rFonts w:hint="eastAsia" w:ascii="宋体" w:hAnsi="宋体"/>
                <w:color w:val="000000"/>
                <w:sz w:val="18"/>
                <w:szCs w:val="18"/>
              </w:rPr>
            </w:pPr>
          </w:p>
        </w:tc>
        <w:tc>
          <w:tcPr>
            <w:tcW w:w="919" w:type="dxa"/>
            <w:tcBorders>
              <w:top w:val="single" w:color="auto" w:sz="4" w:space="0"/>
              <w:left w:val="single" w:color="auto" w:sz="4" w:space="0"/>
              <w:bottom w:val="single" w:color="auto" w:sz="4" w:space="0"/>
              <w:right w:val="single" w:color="auto" w:sz="4" w:space="0"/>
            </w:tcBorders>
          </w:tcPr>
          <w:p w14:paraId="30965A24">
            <w:pPr>
              <w:ind w:firstLine="540" w:firstLineChars="300"/>
              <w:rPr>
                <w:rFonts w:hint="eastAsia" w:ascii="宋体" w:hAnsi="宋体"/>
                <w:sz w:val="18"/>
                <w:szCs w:val="18"/>
              </w:rPr>
            </w:pPr>
            <w:r>
              <w:rPr>
                <w:rFonts w:hint="eastAsia" w:ascii="宋体" w:hAnsi="宋体"/>
                <w:sz w:val="18"/>
                <w:szCs w:val="18"/>
              </w:rPr>
              <w:t xml:space="preserve"> </w:t>
            </w:r>
          </w:p>
          <w:p w14:paraId="1D0FB7B2">
            <w:pPr>
              <w:ind w:firstLine="540" w:firstLineChars="300"/>
              <w:rPr>
                <w:rFonts w:hint="eastAsia" w:ascii="宋体" w:hAnsi="宋体"/>
                <w:sz w:val="18"/>
                <w:szCs w:val="18"/>
              </w:rPr>
            </w:pPr>
          </w:p>
          <w:p w14:paraId="080CDD20">
            <w:pPr>
              <w:ind w:firstLine="540" w:firstLineChars="300"/>
              <w:rPr>
                <w:rFonts w:hint="eastAsia" w:ascii="宋体" w:hAnsi="宋体"/>
                <w:sz w:val="18"/>
                <w:szCs w:val="18"/>
              </w:rPr>
            </w:pPr>
          </w:p>
          <w:p w14:paraId="4C812406">
            <w:pPr>
              <w:ind w:firstLine="540" w:firstLineChars="300"/>
              <w:rPr>
                <w:rFonts w:hint="eastAsia" w:ascii="宋体" w:hAnsi="宋体"/>
                <w:sz w:val="18"/>
                <w:szCs w:val="18"/>
              </w:rPr>
            </w:pPr>
          </w:p>
          <w:p w14:paraId="054B3ACA">
            <w:pPr>
              <w:rPr>
                <w:rFonts w:hint="eastAsia" w:ascii="宋体" w:hAnsi="宋体"/>
                <w:sz w:val="18"/>
                <w:szCs w:val="18"/>
              </w:rPr>
            </w:pPr>
            <w:r>
              <w:rPr>
                <w:rFonts w:hint="eastAsia" w:ascii="宋体" w:hAnsi="宋体"/>
                <w:sz w:val="18"/>
                <w:szCs w:val="18"/>
              </w:rPr>
              <w:t>物流信息技术与应用</w:t>
            </w:r>
          </w:p>
        </w:tc>
        <w:tc>
          <w:tcPr>
            <w:tcW w:w="2415" w:type="dxa"/>
            <w:tcBorders>
              <w:top w:val="single" w:color="auto" w:sz="4" w:space="0"/>
              <w:left w:val="single" w:color="auto" w:sz="4" w:space="0"/>
              <w:bottom w:val="single" w:color="auto" w:sz="4" w:space="0"/>
              <w:right w:val="single" w:color="auto" w:sz="4" w:space="0"/>
            </w:tcBorders>
          </w:tcPr>
          <w:p w14:paraId="5CF78CB0">
            <w:pPr>
              <w:spacing w:line="320" w:lineRule="exact"/>
              <w:rPr>
                <w:rFonts w:hint="eastAsia" w:ascii="宋体" w:hAnsi="宋体"/>
                <w:sz w:val="18"/>
                <w:szCs w:val="18"/>
              </w:rPr>
            </w:pPr>
            <w:r>
              <w:rPr>
                <w:rFonts w:hint="eastAsia" w:ascii="宋体" w:hAnsi="宋体"/>
                <w:sz w:val="18"/>
                <w:szCs w:val="18"/>
              </w:rPr>
              <w:t>（1）了解物流企业信息化的现状和存在问题；</w:t>
            </w:r>
          </w:p>
          <w:p w14:paraId="08EFD254">
            <w:pPr>
              <w:spacing w:line="320" w:lineRule="exact"/>
              <w:rPr>
                <w:rFonts w:hint="eastAsia" w:ascii="宋体" w:hAnsi="宋体"/>
                <w:sz w:val="18"/>
                <w:szCs w:val="18"/>
              </w:rPr>
            </w:pPr>
            <w:r>
              <w:rPr>
                <w:rFonts w:hint="eastAsia" w:ascii="宋体" w:hAnsi="宋体"/>
                <w:sz w:val="18"/>
                <w:szCs w:val="18"/>
              </w:rPr>
              <w:t>（2）会协助项目组实施物流企业信息化；</w:t>
            </w:r>
          </w:p>
          <w:p w14:paraId="65114E4B">
            <w:pPr>
              <w:spacing w:line="320" w:lineRule="exact"/>
              <w:rPr>
                <w:rFonts w:hint="eastAsia" w:ascii="宋体" w:hAnsi="宋体"/>
                <w:sz w:val="18"/>
                <w:szCs w:val="18"/>
              </w:rPr>
            </w:pPr>
            <w:r>
              <w:rPr>
                <w:rFonts w:hint="eastAsia" w:ascii="宋体" w:hAnsi="宋体"/>
                <w:sz w:val="18"/>
                <w:szCs w:val="18"/>
              </w:rPr>
              <w:t>（3）会在各类企业中使用条码；</w:t>
            </w:r>
          </w:p>
          <w:p w14:paraId="65294FF9">
            <w:pPr>
              <w:spacing w:line="320" w:lineRule="exact"/>
              <w:rPr>
                <w:rFonts w:hint="eastAsia" w:ascii="宋体" w:hAnsi="宋体"/>
                <w:sz w:val="18"/>
                <w:szCs w:val="18"/>
              </w:rPr>
            </w:pPr>
            <w:r>
              <w:rPr>
                <w:rFonts w:hint="eastAsia" w:ascii="宋体" w:hAnsi="宋体"/>
                <w:sz w:val="18"/>
                <w:szCs w:val="18"/>
              </w:rPr>
              <w:t>（4）会使用RFID手持终端进行入库、盘点、出库管理；</w:t>
            </w:r>
          </w:p>
          <w:p w14:paraId="2EC47AE3">
            <w:pPr>
              <w:spacing w:line="320" w:lineRule="exact"/>
              <w:rPr>
                <w:rFonts w:hint="eastAsia" w:ascii="宋体" w:hAnsi="宋体"/>
                <w:sz w:val="18"/>
                <w:szCs w:val="18"/>
              </w:rPr>
            </w:pPr>
            <w:r>
              <w:rPr>
                <w:rFonts w:hint="eastAsia" w:ascii="宋体" w:hAnsi="宋体"/>
                <w:sz w:val="18"/>
                <w:szCs w:val="18"/>
              </w:rPr>
              <w:t>（5）在物流软件系统中完成日常业务操作；</w:t>
            </w:r>
          </w:p>
          <w:p w14:paraId="5C07597E">
            <w:pPr>
              <w:spacing w:line="320" w:lineRule="exact"/>
              <w:rPr>
                <w:rFonts w:hint="eastAsia" w:ascii="宋体" w:hAnsi="宋体"/>
                <w:sz w:val="18"/>
                <w:szCs w:val="18"/>
              </w:rPr>
            </w:pPr>
            <w:r>
              <w:rPr>
                <w:rFonts w:hint="eastAsia" w:ascii="宋体" w:hAnsi="宋体"/>
                <w:sz w:val="18"/>
                <w:szCs w:val="18"/>
              </w:rPr>
              <w:t>（6）会调试和管理运输部门的GPS监控软件；</w:t>
            </w:r>
          </w:p>
          <w:p w14:paraId="7474BB47">
            <w:pPr>
              <w:jc w:val="center"/>
              <w:rPr>
                <w:rFonts w:hint="eastAsia" w:ascii="宋体" w:hAnsi="宋体"/>
                <w:sz w:val="18"/>
                <w:szCs w:val="18"/>
              </w:rPr>
            </w:pPr>
            <w:r>
              <w:rPr>
                <w:rFonts w:hint="eastAsia" w:ascii="宋体" w:hAnsi="宋体"/>
                <w:sz w:val="18"/>
                <w:szCs w:val="18"/>
              </w:rPr>
              <w:t>（7）会在电子商务网站上完成网络交易。</w:t>
            </w:r>
          </w:p>
        </w:tc>
        <w:tc>
          <w:tcPr>
            <w:tcW w:w="2155" w:type="dxa"/>
            <w:tcBorders>
              <w:top w:val="single" w:color="auto" w:sz="4" w:space="0"/>
              <w:left w:val="single" w:color="auto" w:sz="4" w:space="0"/>
              <w:bottom w:val="single" w:color="auto" w:sz="4" w:space="0"/>
              <w:right w:val="single" w:color="auto" w:sz="4" w:space="0"/>
            </w:tcBorders>
          </w:tcPr>
          <w:p w14:paraId="3782AB96">
            <w:pPr>
              <w:rPr>
                <w:rFonts w:hint="eastAsia" w:ascii="宋体" w:hAnsi="宋体"/>
                <w:sz w:val="18"/>
                <w:szCs w:val="18"/>
              </w:rPr>
            </w:pPr>
          </w:p>
          <w:p w14:paraId="44A64E17">
            <w:pPr>
              <w:rPr>
                <w:rFonts w:hint="eastAsia" w:ascii="宋体" w:hAnsi="宋体"/>
                <w:sz w:val="18"/>
                <w:szCs w:val="18"/>
              </w:rPr>
            </w:pPr>
            <w:r>
              <w:rPr>
                <w:rFonts w:hint="eastAsia" w:ascii="宋体" w:hAnsi="宋体"/>
                <w:sz w:val="18"/>
                <w:szCs w:val="18"/>
              </w:rPr>
              <w:t>物流信息技术概论</w:t>
            </w:r>
          </w:p>
          <w:p w14:paraId="18C7E1D5">
            <w:pPr>
              <w:rPr>
                <w:rFonts w:hint="eastAsia" w:ascii="宋体" w:hAnsi="宋体"/>
                <w:sz w:val="18"/>
                <w:szCs w:val="18"/>
              </w:rPr>
            </w:pPr>
            <w:r>
              <w:rPr>
                <w:rFonts w:hint="eastAsia" w:ascii="宋体" w:hAnsi="宋体"/>
                <w:sz w:val="18"/>
                <w:szCs w:val="18"/>
              </w:rPr>
              <w:t>数据库管理和网络技术</w:t>
            </w:r>
          </w:p>
          <w:p w14:paraId="735BD3BA">
            <w:pPr>
              <w:rPr>
                <w:rFonts w:hint="eastAsia" w:ascii="宋体" w:hAnsi="宋体"/>
                <w:sz w:val="18"/>
                <w:szCs w:val="18"/>
              </w:rPr>
            </w:pPr>
            <w:r>
              <w:rPr>
                <w:rFonts w:hint="eastAsia" w:ascii="宋体" w:hAnsi="宋体"/>
                <w:sz w:val="18"/>
                <w:szCs w:val="18"/>
              </w:rPr>
              <w:t>物流管理信息系统</w:t>
            </w:r>
          </w:p>
          <w:p w14:paraId="2BF5EDB4">
            <w:pPr>
              <w:rPr>
                <w:rFonts w:hint="eastAsia" w:ascii="宋体" w:hAnsi="宋体"/>
                <w:sz w:val="18"/>
                <w:szCs w:val="18"/>
              </w:rPr>
            </w:pPr>
            <w:r>
              <w:rPr>
                <w:rFonts w:hint="eastAsia" w:ascii="宋体" w:hAnsi="宋体"/>
                <w:sz w:val="18"/>
                <w:szCs w:val="18"/>
              </w:rPr>
              <w:t>物流条形码技术</w:t>
            </w:r>
          </w:p>
          <w:p w14:paraId="67CF33C9">
            <w:pPr>
              <w:rPr>
                <w:rFonts w:hint="eastAsia" w:ascii="宋体" w:hAnsi="宋体"/>
                <w:sz w:val="18"/>
                <w:szCs w:val="18"/>
              </w:rPr>
            </w:pPr>
            <w:r>
              <w:rPr>
                <w:rFonts w:hint="eastAsia" w:ascii="宋体" w:hAnsi="宋体"/>
                <w:sz w:val="18"/>
                <w:szCs w:val="18"/>
              </w:rPr>
              <w:t>物流EDI技术</w:t>
            </w:r>
          </w:p>
          <w:p w14:paraId="1769A5A2">
            <w:pPr>
              <w:rPr>
                <w:rFonts w:hint="eastAsia" w:ascii="宋体" w:hAnsi="宋体"/>
                <w:sz w:val="18"/>
                <w:szCs w:val="18"/>
              </w:rPr>
            </w:pPr>
            <w:r>
              <w:rPr>
                <w:rFonts w:hint="eastAsia" w:ascii="宋体" w:hAnsi="宋体"/>
                <w:sz w:val="18"/>
                <w:szCs w:val="18"/>
              </w:rPr>
              <w:t>GIS和GPS技术</w:t>
            </w:r>
          </w:p>
          <w:p w14:paraId="0AD0511A">
            <w:pPr>
              <w:rPr>
                <w:rFonts w:hint="eastAsia" w:ascii="宋体" w:hAnsi="宋体"/>
                <w:sz w:val="18"/>
                <w:szCs w:val="18"/>
              </w:rPr>
            </w:pPr>
            <w:r>
              <w:rPr>
                <w:rFonts w:hint="eastAsia" w:ascii="宋体" w:hAnsi="宋体"/>
                <w:sz w:val="18"/>
                <w:szCs w:val="18"/>
              </w:rPr>
              <w:t>智能运输系统</w:t>
            </w:r>
          </w:p>
        </w:tc>
        <w:tc>
          <w:tcPr>
            <w:tcW w:w="2801" w:type="dxa"/>
            <w:tcBorders>
              <w:top w:val="single" w:color="auto" w:sz="4" w:space="0"/>
              <w:left w:val="single" w:color="auto" w:sz="4" w:space="0"/>
              <w:bottom w:val="single" w:color="auto" w:sz="4" w:space="0"/>
              <w:right w:val="single" w:color="auto" w:sz="4" w:space="0"/>
            </w:tcBorders>
          </w:tcPr>
          <w:p w14:paraId="003C6240">
            <w:pPr>
              <w:rPr>
                <w:rFonts w:hint="eastAsia" w:ascii="宋体" w:hAnsi="宋体"/>
                <w:sz w:val="18"/>
                <w:szCs w:val="18"/>
              </w:rPr>
            </w:pPr>
          </w:p>
          <w:p w14:paraId="7F31F48E">
            <w:pPr>
              <w:ind w:firstLine="360" w:firstLineChars="200"/>
              <w:rPr>
                <w:rFonts w:hint="eastAsia" w:ascii="宋体" w:hAnsi="宋体"/>
                <w:sz w:val="18"/>
                <w:szCs w:val="18"/>
              </w:rPr>
            </w:pPr>
            <w:r>
              <w:rPr>
                <w:rFonts w:hint="eastAsia" w:ascii="宋体" w:hAnsi="宋体"/>
                <w:sz w:val="18"/>
                <w:szCs w:val="18"/>
              </w:rPr>
              <w:t>本课程按照第三方物流企业如何满足客户需求为主线，详细介绍了各种改善物流业务操作的信息技术。其中详细介绍了各种技术特点和解决的问题：</w:t>
            </w:r>
          </w:p>
          <w:p w14:paraId="1D2254F6">
            <w:pPr>
              <w:ind w:firstLine="360" w:firstLineChars="200"/>
              <w:rPr>
                <w:rFonts w:hint="eastAsia" w:ascii="宋体" w:hAnsi="宋体"/>
                <w:sz w:val="18"/>
                <w:szCs w:val="18"/>
              </w:rPr>
            </w:pPr>
            <w:r>
              <w:rPr>
                <w:rFonts w:hint="eastAsia" w:ascii="宋体" w:hAnsi="宋体"/>
                <w:sz w:val="18"/>
                <w:szCs w:val="18"/>
              </w:rPr>
              <w:t>1) 条码解决数据重复输入问题；2) 数据库解决存储问题；3) 计算机和网络、信息系统解决数据的加工和传输；4) EDI解决单证和数据传输；5）GPS/GIS解决定位、信息查询；6) RFID解决小范围内追踪以及不接触扫描；7) 电子商务解决交易问题。</w:t>
            </w:r>
          </w:p>
        </w:tc>
      </w:tr>
      <w:tr w14:paraId="499F0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BCB1A58">
            <w:pPr>
              <w:jc w:val="center"/>
              <w:rPr>
                <w:rFonts w:hint="default" w:ascii="宋体" w:hAnsi="宋体" w:eastAsia="宋体"/>
                <w:sz w:val="18"/>
                <w:szCs w:val="18"/>
                <w:lang w:val="en-US" w:eastAsia="zh-CN"/>
              </w:rPr>
            </w:pPr>
            <w:r>
              <w:rPr>
                <w:rFonts w:hint="eastAsia" w:ascii="宋体" w:hAnsi="宋体"/>
                <w:sz w:val="18"/>
                <w:szCs w:val="18"/>
                <w:lang w:val="en-US" w:eastAsia="zh-CN"/>
              </w:rPr>
              <w:t>29</w:t>
            </w:r>
          </w:p>
        </w:tc>
        <w:tc>
          <w:tcPr>
            <w:tcW w:w="709" w:type="dxa"/>
            <w:vMerge w:val="continue"/>
            <w:tcBorders>
              <w:left w:val="single" w:color="auto" w:sz="4" w:space="0"/>
              <w:right w:val="single" w:color="auto" w:sz="4" w:space="0"/>
            </w:tcBorders>
            <w:vAlign w:val="center"/>
          </w:tcPr>
          <w:p w14:paraId="6FF36BC3">
            <w:pPr>
              <w:jc w:val="center"/>
              <w:rPr>
                <w:rFonts w:hint="eastAsia" w:ascii="宋体" w:hAnsi="宋体"/>
                <w:color w:val="000000"/>
                <w:sz w:val="18"/>
                <w:szCs w:val="18"/>
              </w:rPr>
            </w:pPr>
          </w:p>
        </w:tc>
        <w:tc>
          <w:tcPr>
            <w:tcW w:w="919" w:type="dxa"/>
            <w:tcBorders>
              <w:top w:val="single" w:color="auto" w:sz="4" w:space="0"/>
              <w:left w:val="single" w:color="auto" w:sz="4" w:space="0"/>
              <w:bottom w:val="single" w:color="auto" w:sz="4" w:space="0"/>
              <w:right w:val="single" w:color="auto" w:sz="4" w:space="0"/>
            </w:tcBorders>
          </w:tcPr>
          <w:p w14:paraId="30211633">
            <w:pPr>
              <w:rPr>
                <w:rFonts w:hint="eastAsia" w:ascii="宋体" w:hAnsi="宋体"/>
                <w:sz w:val="18"/>
                <w:szCs w:val="18"/>
              </w:rPr>
            </w:pPr>
          </w:p>
          <w:p w14:paraId="5B0023F4">
            <w:pPr>
              <w:rPr>
                <w:rFonts w:hint="eastAsia" w:ascii="宋体" w:hAnsi="宋体"/>
                <w:sz w:val="18"/>
                <w:szCs w:val="18"/>
              </w:rPr>
            </w:pPr>
          </w:p>
          <w:p w14:paraId="69EB07EC">
            <w:pPr>
              <w:rPr>
                <w:rFonts w:hint="eastAsia" w:ascii="宋体" w:hAnsi="宋体"/>
                <w:sz w:val="18"/>
                <w:szCs w:val="18"/>
              </w:rPr>
            </w:pPr>
          </w:p>
          <w:p w14:paraId="6E3AD13B">
            <w:pPr>
              <w:rPr>
                <w:rFonts w:hint="eastAsia" w:ascii="宋体" w:hAnsi="宋体"/>
                <w:sz w:val="18"/>
                <w:szCs w:val="18"/>
              </w:rPr>
            </w:pPr>
          </w:p>
          <w:p w14:paraId="414F2222">
            <w:pPr>
              <w:rPr>
                <w:rFonts w:hint="eastAsia" w:ascii="宋体" w:hAnsi="宋体"/>
                <w:sz w:val="18"/>
                <w:szCs w:val="18"/>
              </w:rPr>
            </w:pPr>
          </w:p>
          <w:p w14:paraId="21699A2F">
            <w:pPr>
              <w:rPr>
                <w:rFonts w:hint="eastAsia" w:ascii="宋体" w:hAnsi="宋体"/>
                <w:sz w:val="18"/>
                <w:szCs w:val="18"/>
              </w:rPr>
            </w:pPr>
          </w:p>
          <w:p w14:paraId="396DD544">
            <w:pPr>
              <w:rPr>
                <w:rFonts w:hint="eastAsia" w:ascii="宋体" w:hAnsi="宋体"/>
                <w:sz w:val="18"/>
                <w:szCs w:val="18"/>
              </w:rPr>
            </w:pPr>
          </w:p>
          <w:p w14:paraId="08843EE1">
            <w:pPr>
              <w:rPr>
                <w:rFonts w:hint="eastAsia" w:ascii="宋体" w:hAnsi="宋体"/>
                <w:sz w:val="18"/>
                <w:szCs w:val="18"/>
              </w:rPr>
            </w:pPr>
          </w:p>
          <w:p w14:paraId="1EDB0097">
            <w:pPr>
              <w:rPr>
                <w:rFonts w:hint="eastAsia" w:ascii="宋体" w:hAnsi="宋体"/>
                <w:sz w:val="18"/>
                <w:szCs w:val="18"/>
              </w:rPr>
            </w:pPr>
          </w:p>
          <w:p w14:paraId="631FA301">
            <w:pPr>
              <w:rPr>
                <w:rFonts w:hint="eastAsia" w:ascii="宋体" w:hAnsi="宋体"/>
                <w:sz w:val="18"/>
                <w:szCs w:val="18"/>
              </w:rPr>
            </w:pPr>
          </w:p>
          <w:p w14:paraId="12BC5A8A">
            <w:pPr>
              <w:rPr>
                <w:rFonts w:hint="eastAsia" w:ascii="宋体" w:hAnsi="宋体"/>
                <w:sz w:val="18"/>
                <w:szCs w:val="18"/>
              </w:rPr>
            </w:pPr>
          </w:p>
          <w:p w14:paraId="1D2AEB40">
            <w:pPr>
              <w:rPr>
                <w:rFonts w:hint="eastAsia" w:ascii="宋体" w:hAnsi="宋体"/>
                <w:sz w:val="18"/>
                <w:szCs w:val="18"/>
              </w:rPr>
            </w:pPr>
          </w:p>
          <w:p w14:paraId="0C46C1F9">
            <w:pPr>
              <w:rPr>
                <w:rFonts w:hint="eastAsia" w:ascii="宋体" w:hAnsi="宋体"/>
                <w:sz w:val="18"/>
                <w:szCs w:val="18"/>
              </w:rPr>
            </w:pPr>
          </w:p>
          <w:p w14:paraId="12E3D758">
            <w:pPr>
              <w:rPr>
                <w:rFonts w:hint="eastAsia" w:ascii="宋体" w:hAnsi="宋体"/>
                <w:sz w:val="18"/>
                <w:szCs w:val="18"/>
              </w:rPr>
            </w:pPr>
          </w:p>
          <w:p w14:paraId="0135E231">
            <w:pPr>
              <w:rPr>
                <w:rFonts w:hint="eastAsia" w:ascii="宋体" w:hAnsi="宋体"/>
                <w:sz w:val="18"/>
                <w:szCs w:val="18"/>
              </w:rPr>
            </w:pPr>
          </w:p>
          <w:p w14:paraId="1DB6A5D3">
            <w:pPr>
              <w:rPr>
                <w:rFonts w:hint="eastAsia" w:ascii="宋体" w:hAnsi="宋体"/>
                <w:sz w:val="18"/>
                <w:szCs w:val="18"/>
              </w:rPr>
            </w:pPr>
          </w:p>
          <w:p w14:paraId="3D18698B">
            <w:pPr>
              <w:rPr>
                <w:rFonts w:hint="eastAsia" w:ascii="宋体" w:hAnsi="宋体"/>
                <w:sz w:val="18"/>
                <w:szCs w:val="18"/>
              </w:rPr>
            </w:pPr>
            <w:r>
              <w:rPr>
                <w:rFonts w:hint="eastAsia" w:ascii="宋体" w:hAnsi="宋体"/>
                <w:sz w:val="18"/>
                <w:szCs w:val="18"/>
              </w:rPr>
              <w:t>第三方物流★</w:t>
            </w:r>
          </w:p>
        </w:tc>
        <w:tc>
          <w:tcPr>
            <w:tcW w:w="2415" w:type="dxa"/>
            <w:tcBorders>
              <w:top w:val="single" w:color="auto" w:sz="4" w:space="0"/>
              <w:left w:val="single" w:color="auto" w:sz="4" w:space="0"/>
              <w:bottom w:val="single" w:color="auto" w:sz="4" w:space="0"/>
              <w:right w:val="single" w:color="auto" w:sz="4" w:space="0"/>
            </w:tcBorders>
            <w:vAlign w:val="center"/>
          </w:tcPr>
          <w:p w14:paraId="730217D1">
            <w:pPr>
              <w:ind w:firstLine="360" w:firstLineChars="200"/>
              <w:rPr>
                <w:rFonts w:hint="eastAsia" w:ascii="宋体" w:hAnsi="宋体"/>
                <w:sz w:val="18"/>
                <w:szCs w:val="18"/>
              </w:rPr>
            </w:pPr>
            <w:r>
              <w:rPr>
                <w:rFonts w:hint="eastAsia" w:ascii="宋体" w:hAnsi="宋体"/>
                <w:sz w:val="18"/>
                <w:szCs w:val="18"/>
              </w:rPr>
              <w:t>⑴掌握第三方物流的基本概念、第三方物流的特点、第三方物流的价值及其经济学分析，了解第三方物流的产生与发展；</w:t>
            </w:r>
          </w:p>
          <w:p w14:paraId="441C72B0">
            <w:pPr>
              <w:ind w:firstLine="360" w:firstLineChars="200"/>
              <w:rPr>
                <w:rFonts w:hint="eastAsia" w:ascii="宋体" w:hAnsi="宋体"/>
                <w:sz w:val="18"/>
                <w:szCs w:val="18"/>
              </w:rPr>
            </w:pPr>
            <w:r>
              <w:rPr>
                <w:rFonts w:hint="eastAsia" w:ascii="宋体" w:hAnsi="宋体"/>
                <w:sz w:val="18"/>
                <w:szCs w:val="18"/>
              </w:rPr>
              <w:t>⑵了解第三方物流包括现行市场需求主体与需求内容、需求客体与服务内容；掌握第三方物流市场开发与定位；</w:t>
            </w:r>
          </w:p>
          <w:p w14:paraId="39AA406A">
            <w:pPr>
              <w:ind w:firstLine="360" w:firstLineChars="200"/>
              <w:rPr>
                <w:rFonts w:hint="eastAsia" w:ascii="宋体" w:hAnsi="宋体"/>
                <w:sz w:val="18"/>
                <w:szCs w:val="18"/>
              </w:rPr>
            </w:pPr>
            <w:r>
              <w:rPr>
                <w:rFonts w:hint="eastAsia" w:ascii="宋体" w:hAnsi="宋体"/>
                <w:sz w:val="18"/>
                <w:szCs w:val="18"/>
              </w:rPr>
              <w:t>⑶了解第三方物流服务项目洽谈，掌握第三方物流服务项目招投标，及第三方物流服务供应商的选择与评估等；</w:t>
            </w:r>
          </w:p>
          <w:p w14:paraId="006A8F7C">
            <w:pPr>
              <w:ind w:firstLine="360" w:firstLineChars="200"/>
              <w:rPr>
                <w:rFonts w:hint="eastAsia" w:ascii="宋体" w:hAnsi="宋体"/>
                <w:sz w:val="18"/>
                <w:szCs w:val="18"/>
              </w:rPr>
            </w:pPr>
            <w:r>
              <w:rPr>
                <w:rFonts w:hint="eastAsia" w:ascii="宋体" w:hAnsi="宋体"/>
                <w:sz w:val="18"/>
                <w:szCs w:val="18"/>
              </w:rPr>
              <w:t>⑷掌握第三方物流业务运作模式及基本的业务流程与管理，包括第三方物流运输管理、第三方物流仓储配送管理；</w:t>
            </w:r>
          </w:p>
          <w:p w14:paraId="31865E82">
            <w:pPr>
              <w:ind w:firstLine="360" w:firstLineChars="200"/>
              <w:rPr>
                <w:rFonts w:hint="eastAsia" w:ascii="宋体" w:hAnsi="宋体"/>
                <w:sz w:val="18"/>
                <w:szCs w:val="18"/>
              </w:rPr>
            </w:pPr>
            <w:r>
              <w:rPr>
                <w:rFonts w:hint="eastAsia" w:ascii="宋体" w:hAnsi="宋体"/>
                <w:sz w:val="18"/>
                <w:szCs w:val="18"/>
              </w:rPr>
              <w:t>⑸掌握第三方物流合同管理，包括合同的订立、履行、更改和解除及第三方物流服务合同纠纷的解决等；</w:t>
            </w:r>
          </w:p>
          <w:p w14:paraId="165105B5">
            <w:pPr>
              <w:ind w:firstLine="360" w:firstLineChars="200"/>
              <w:rPr>
                <w:rFonts w:hint="eastAsia" w:ascii="宋体" w:hAnsi="宋体"/>
                <w:sz w:val="18"/>
                <w:szCs w:val="18"/>
              </w:rPr>
            </w:pPr>
            <w:r>
              <w:rPr>
                <w:rFonts w:hint="eastAsia" w:ascii="宋体" w:hAnsi="宋体"/>
                <w:sz w:val="18"/>
                <w:szCs w:val="18"/>
              </w:rPr>
              <w:t>⑹掌握第三方物流系统规划的基本原理、设计的一般程序、第三方物流系统评价及第三方物流企业组织结构设计与分析；</w:t>
            </w:r>
          </w:p>
          <w:p w14:paraId="0C3AFFAA">
            <w:pPr>
              <w:ind w:firstLine="360" w:firstLineChars="200"/>
              <w:rPr>
                <w:rFonts w:hint="eastAsia" w:ascii="宋体" w:hAnsi="宋体"/>
                <w:sz w:val="18"/>
                <w:szCs w:val="18"/>
              </w:rPr>
            </w:pPr>
            <w:r>
              <w:rPr>
                <w:rFonts w:hint="eastAsia" w:ascii="宋体" w:hAnsi="宋体"/>
                <w:sz w:val="18"/>
                <w:szCs w:val="18"/>
              </w:rPr>
              <w:t>⑺掌握第三方物流信息系统的建设、第三方物流信息技术的应用；</w:t>
            </w:r>
          </w:p>
          <w:p w14:paraId="18200A0F">
            <w:pPr>
              <w:ind w:firstLine="360" w:firstLineChars="200"/>
              <w:rPr>
                <w:rFonts w:hint="eastAsia" w:ascii="宋体" w:hAnsi="宋体"/>
                <w:sz w:val="18"/>
                <w:szCs w:val="18"/>
              </w:rPr>
            </w:pPr>
            <w:r>
              <w:rPr>
                <w:rFonts w:hint="eastAsia" w:ascii="宋体" w:hAnsi="宋体"/>
                <w:sz w:val="18"/>
                <w:szCs w:val="18"/>
              </w:rPr>
              <w:t>⑻掌握第三方物流与电子商务的关系、电子商务环境下的第三方物流等；</w:t>
            </w:r>
          </w:p>
        </w:tc>
        <w:tc>
          <w:tcPr>
            <w:tcW w:w="2155" w:type="dxa"/>
            <w:tcBorders>
              <w:top w:val="single" w:color="auto" w:sz="4" w:space="0"/>
              <w:left w:val="single" w:color="auto" w:sz="4" w:space="0"/>
              <w:bottom w:val="single" w:color="auto" w:sz="4" w:space="0"/>
              <w:right w:val="single" w:color="auto" w:sz="4" w:space="0"/>
            </w:tcBorders>
          </w:tcPr>
          <w:p w14:paraId="126B75F9">
            <w:pPr>
              <w:jc w:val="left"/>
              <w:rPr>
                <w:rFonts w:hint="eastAsia" w:ascii="宋体" w:hAnsi="宋体"/>
                <w:sz w:val="18"/>
                <w:szCs w:val="18"/>
              </w:rPr>
            </w:pPr>
            <w:r>
              <w:rPr>
                <w:rFonts w:hint="eastAsia" w:ascii="宋体" w:hAnsi="宋体"/>
                <w:sz w:val="18"/>
                <w:szCs w:val="18"/>
              </w:rPr>
              <w:t>第三方物流概述</w:t>
            </w:r>
          </w:p>
          <w:p w14:paraId="6E04A2DA">
            <w:pPr>
              <w:jc w:val="left"/>
              <w:rPr>
                <w:rFonts w:hint="eastAsia" w:ascii="宋体" w:hAnsi="宋体"/>
                <w:sz w:val="18"/>
                <w:szCs w:val="18"/>
              </w:rPr>
            </w:pPr>
            <w:r>
              <w:rPr>
                <w:rFonts w:hint="eastAsia" w:ascii="宋体" w:hAnsi="宋体"/>
                <w:sz w:val="18"/>
                <w:szCs w:val="18"/>
              </w:rPr>
              <w:t>第三方物流市场</w:t>
            </w:r>
          </w:p>
          <w:p w14:paraId="4092CFBC">
            <w:pPr>
              <w:jc w:val="left"/>
              <w:rPr>
                <w:rFonts w:hint="eastAsia" w:ascii="宋体" w:hAnsi="宋体"/>
                <w:sz w:val="18"/>
                <w:szCs w:val="18"/>
              </w:rPr>
            </w:pPr>
            <w:r>
              <w:rPr>
                <w:rFonts w:hint="eastAsia" w:ascii="宋体" w:hAnsi="宋体"/>
                <w:sz w:val="18"/>
                <w:szCs w:val="18"/>
              </w:rPr>
              <w:t xml:space="preserve">第三方物流服务项目招标投标 </w:t>
            </w:r>
          </w:p>
          <w:p w14:paraId="7BDA0E3E">
            <w:pPr>
              <w:jc w:val="left"/>
              <w:rPr>
                <w:rFonts w:hint="eastAsia" w:ascii="宋体" w:hAnsi="宋体"/>
                <w:sz w:val="18"/>
                <w:szCs w:val="18"/>
              </w:rPr>
            </w:pPr>
            <w:r>
              <w:rPr>
                <w:rFonts w:hint="eastAsia" w:ascii="宋体" w:hAnsi="宋体"/>
                <w:sz w:val="18"/>
                <w:szCs w:val="18"/>
              </w:rPr>
              <w:t>第三方物流系统</w:t>
            </w:r>
          </w:p>
          <w:p w14:paraId="3A8CF76B">
            <w:pPr>
              <w:jc w:val="left"/>
              <w:rPr>
                <w:rFonts w:hint="eastAsia" w:ascii="宋体" w:hAnsi="宋体"/>
                <w:sz w:val="18"/>
                <w:szCs w:val="18"/>
              </w:rPr>
            </w:pPr>
            <w:r>
              <w:rPr>
                <w:rFonts w:hint="eastAsia" w:ascii="宋体" w:hAnsi="宋体"/>
                <w:sz w:val="18"/>
                <w:szCs w:val="18"/>
              </w:rPr>
              <w:t>第三方物流业务管理</w:t>
            </w:r>
          </w:p>
          <w:p w14:paraId="22C83B8E">
            <w:pPr>
              <w:jc w:val="left"/>
              <w:rPr>
                <w:rFonts w:hint="eastAsia" w:ascii="宋体" w:hAnsi="宋体"/>
                <w:sz w:val="18"/>
                <w:szCs w:val="18"/>
              </w:rPr>
            </w:pPr>
            <w:r>
              <w:rPr>
                <w:rFonts w:hint="eastAsia" w:ascii="宋体" w:hAnsi="宋体"/>
                <w:sz w:val="18"/>
                <w:szCs w:val="18"/>
              </w:rPr>
              <w:t>第三方物流合同管理</w:t>
            </w:r>
          </w:p>
          <w:p w14:paraId="69F7C9F1">
            <w:pPr>
              <w:jc w:val="left"/>
              <w:rPr>
                <w:rFonts w:hint="eastAsia" w:ascii="宋体" w:hAnsi="宋体"/>
                <w:sz w:val="18"/>
                <w:szCs w:val="18"/>
              </w:rPr>
            </w:pPr>
            <w:r>
              <w:rPr>
                <w:rFonts w:hint="eastAsia" w:ascii="宋体" w:hAnsi="宋体"/>
                <w:sz w:val="18"/>
                <w:szCs w:val="18"/>
              </w:rPr>
              <w:t>第三方物流信息系统</w:t>
            </w:r>
          </w:p>
          <w:p w14:paraId="2DEC4995">
            <w:pPr>
              <w:jc w:val="left"/>
              <w:rPr>
                <w:rFonts w:hint="eastAsia" w:ascii="宋体" w:hAnsi="宋体"/>
                <w:sz w:val="18"/>
                <w:szCs w:val="18"/>
              </w:rPr>
            </w:pPr>
            <w:r>
              <w:rPr>
                <w:rFonts w:hint="eastAsia" w:ascii="宋体" w:hAnsi="宋体"/>
                <w:sz w:val="18"/>
                <w:szCs w:val="18"/>
              </w:rPr>
              <w:t>第三方物流与电子商务</w:t>
            </w:r>
          </w:p>
          <w:p w14:paraId="78762E06">
            <w:pPr>
              <w:jc w:val="left"/>
              <w:rPr>
                <w:rFonts w:hint="eastAsia" w:ascii="宋体" w:hAnsi="宋体"/>
                <w:sz w:val="18"/>
                <w:szCs w:val="18"/>
              </w:rPr>
            </w:pPr>
            <w:r>
              <w:rPr>
                <w:rFonts w:hint="eastAsia" w:ascii="宋体" w:hAnsi="宋体"/>
                <w:sz w:val="18"/>
                <w:szCs w:val="18"/>
              </w:rPr>
              <w:t>第三方物流与电子商务</w:t>
            </w:r>
          </w:p>
          <w:p w14:paraId="50AC2DD1">
            <w:pPr>
              <w:pStyle w:val="67"/>
              <w:numPr>
                <w:ilvl w:val="0"/>
                <w:numId w:val="2"/>
              </w:numPr>
              <w:ind w:firstLineChars="0"/>
              <w:jc w:val="left"/>
              <w:rPr>
                <w:rFonts w:hint="eastAsia" w:ascii="宋体" w:hAnsi="宋体"/>
                <w:sz w:val="18"/>
                <w:szCs w:val="18"/>
              </w:rPr>
            </w:pPr>
            <w:r>
              <w:rPr>
                <w:rFonts w:hint="eastAsia" w:ascii="宋体" w:hAnsi="宋体"/>
                <w:sz w:val="18"/>
                <w:szCs w:val="18"/>
              </w:rPr>
              <w:t xml:space="preserve">第三方物流企业发展战略 </w:t>
            </w:r>
          </w:p>
        </w:tc>
        <w:tc>
          <w:tcPr>
            <w:tcW w:w="2801" w:type="dxa"/>
            <w:tcBorders>
              <w:top w:val="single" w:color="auto" w:sz="4" w:space="0"/>
              <w:left w:val="single" w:color="auto" w:sz="4" w:space="0"/>
              <w:bottom w:val="single" w:color="auto" w:sz="4" w:space="0"/>
              <w:right w:val="single" w:color="auto" w:sz="4" w:space="0"/>
            </w:tcBorders>
          </w:tcPr>
          <w:p w14:paraId="4850A561">
            <w:pPr>
              <w:ind w:firstLine="360" w:firstLineChars="200"/>
              <w:rPr>
                <w:rFonts w:hint="eastAsia" w:ascii="宋体" w:hAnsi="宋体"/>
                <w:sz w:val="18"/>
                <w:szCs w:val="18"/>
              </w:rPr>
            </w:pPr>
            <w:r>
              <w:rPr>
                <w:rFonts w:hint="eastAsia" w:ascii="宋体" w:hAnsi="宋体"/>
                <w:sz w:val="18"/>
                <w:szCs w:val="18"/>
              </w:rPr>
              <w:t>本课程是物流管理专业的专业核心课程，课程理论和实践并重，以实践践行理论。课程的前续课程是物流管理概论，商品学，仓储管理等，后续课程是供应链管理和成本管理。《第三方物流》系物流管理专业学生的专业必修课，是在学习物流管理基础、运输管理、仓储管理与配送等课程基础上开设的一门课程。每一领域又分成若干个项目。将职业行动领域的工作过程融合在项目训练中。学生以学习小组为单位，通过共同完成项目的规划、运作，培养学生具备较强的货运代理组织技能、管理决策能力、参与意识、责任意识、协作意识和自信心。课程以突出立德树人根本任务，融入课程思政改革。</w:t>
            </w:r>
          </w:p>
        </w:tc>
      </w:tr>
      <w:tr w14:paraId="4D88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02C5431">
            <w:pPr>
              <w:jc w:val="center"/>
              <w:rPr>
                <w:rFonts w:hint="default" w:ascii="宋体" w:hAnsi="宋体" w:eastAsia="宋体"/>
                <w:sz w:val="18"/>
                <w:szCs w:val="18"/>
                <w:lang w:val="en-US" w:eastAsia="zh-CN"/>
              </w:rPr>
            </w:pPr>
            <w:r>
              <w:rPr>
                <w:rFonts w:hint="eastAsia" w:ascii="宋体" w:hAnsi="宋体"/>
                <w:sz w:val="18"/>
                <w:szCs w:val="18"/>
                <w:lang w:val="en-US" w:eastAsia="zh-CN"/>
              </w:rPr>
              <w:t>30</w:t>
            </w:r>
          </w:p>
        </w:tc>
        <w:tc>
          <w:tcPr>
            <w:tcW w:w="709" w:type="dxa"/>
            <w:vMerge w:val="restart"/>
            <w:tcBorders>
              <w:top w:val="single" w:color="auto" w:sz="4" w:space="0"/>
              <w:left w:val="single" w:color="auto" w:sz="4" w:space="0"/>
              <w:right w:val="single" w:color="auto" w:sz="4" w:space="0"/>
            </w:tcBorders>
            <w:vAlign w:val="center"/>
          </w:tcPr>
          <w:p w14:paraId="7F97E95D">
            <w:pPr>
              <w:jc w:val="center"/>
              <w:rPr>
                <w:rFonts w:hint="eastAsia" w:ascii="宋体" w:hAnsi="宋体"/>
                <w:color w:val="000000"/>
                <w:sz w:val="18"/>
                <w:szCs w:val="18"/>
              </w:rPr>
            </w:pPr>
            <w:r>
              <w:rPr>
                <w:rFonts w:hint="eastAsia" w:ascii="宋体" w:hAnsi="宋体" w:cs="宋体"/>
                <w:sz w:val="18"/>
                <w:szCs w:val="18"/>
              </w:rPr>
              <w:t>专业拓展课程</w:t>
            </w:r>
          </w:p>
        </w:tc>
        <w:tc>
          <w:tcPr>
            <w:tcW w:w="919" w:type="dxa"/>
            <w:tcBorders>
              <w:top w:val="single" w:color="auto" w:sz="4" w:space="0"/>
              <w:left w:val="single" w:color="auto" w:sz="4" w:space="0"/>
              <w:bottom w:val="single" w:color="auto" w:sz="4" w:space="0"/>
              <w:right w:val="single" w:color="auto" w:sz="4" w:space="0"/>
            </w:tcBorders>
          </w:tcPr>
          <w:p w14:paraId="5D47658E">
            <w:pPr>
              <w:rPr>
                <w:rFonts w:hint="eastAsia" w:ascii="宋体" w:hAnsi="宋体"/>
                <w:sz w:val="18"/>
                <w:szCs w:val="18"/>
              </w:rPr>
            </w:pPr>
          </w:p>
          <w:p w14:paraId="79AEFF68">
            <w:pPr>
              <w:rPr>
                <w:rFonts w:hint="eastAsia" w:ascii="宋体" w:hAnsi="宋体"/>
                <w:sz w:val="18"/>
                <w:szCs w:val="18"/>
              </w:rPr>
            </w:pPr>
          </w:p>
          <w:p w14:paraId="3CD98D42">
            <w:pPr>
              <w:rPr>
                <w:rFonts w:hint="eastAsia" w:ascii="宋体" w:hAnsi="宋体"/>
                <w:sz w:val="18"/>
                <w:szCs w:val="18"/>
              </w:rPr>
            </w:pPr>
            <w:r>
              <w:rPr>
                <w:rFonts w:hint="eastAsia" w:ascii="宋体" w:hAnsi="宋体"/>
                <w:sz w:val="18"/>
                <w:szCs w:val="18"/>
              </w:rPr>
              <w:t>外贸英语函电</w:t>
            </w:r>
          </w:p>
        </w:tc>
        <w:tc>
          <w:tcPr>
            <w:tcW w:w="2415" w:type="dxa"/>
            <w:tcBorders>
              <w:top w:val="single" w:color="auto" w:sz="4" w:space="0"/>
              <w:left w:val="single" w:color="auto" w:sz="4" w:space="0"/>
              <w:bottom w:val="single" w:color="auto" w:sz="4" w:space="0"/>
              <w:right w:val="single" w:color="auto" w:sz="4" w:space="0"/>
            </w:tcBorders>
          </w:tcPr>
          <w:p w14:paraId="6DA3CC41">
            <w:pPr>
              <w:rPr>
                <w:rFonts w:hint="eastAsia" w:ascii="宋体" w:hAnsi="宋体" w:eastAsia="宋体" w:cs="宋体"/>
                <w:sz w:val="18"/>
                <w:szCs w:val="18"/>
              </w:rPr>
            </w:pPr>
            <w:r>
              <w:rPr>
                <w:rFonts w:hint="eastAsia" w:ascii="宋体" w:hAnsi="宋体" w:eastAsia="宋体" w:cs="宋体"/>
                <w:sz w:val="18"/>
                <w:szCs w:val="18"/>
              </w:rPr>
              <w:t>（1）掌握写作技巧：通过课程学习，学生将熟练掌握国际商务领域对外交易以及交流过程中往来函电的基本写作技巧，能够撰写格式正确、内容准确且符合商务要求的信函。</w:t>
            </w:r>
          </w:p>
          <w:p w14:paraId="558D3244">
            <w:pPr>
              <w:pStyle w:val="2"/>
              <w:ind w:firstLine="0" w:firstLineChars="0"/>
              <w:rPr>
                <w:rFonts w:hint="eastAsia" w:ascii="宋体" w:hAnsi="宋体" w:eastAsia="宋体" w:cs="宋体"/>
                <w:sz w:val="18"/>
                <w:szCs w:val="18"/>
                <w:lang w:val="en-US"/>
              </w:rPr>
            </w:pPr>
            <w:r>
              <w:rPr>
                <w:rFonts w:hint="eastAsia" w:ascii="宋体" w:hAnsi="宋体" w:eastAsia="宋体" w:cs="宋体"/>
                <w:sz w:val="18"/>
                <w:szCs w:val="18"/>
                <w:lang w:val="en-US"/>
              </w:rPr>
              <w:t>（2）提升语言能力：全面提高学生的语言综合素质，特别是英语在外贸业务中的应用能力，使学生能够熟练处理外贸业务中的英语沟通。（3）建立客户关系：通过完成建立客户关系项目，学生能运用各种知识和资源，寻找潜在的客户，并根据国际商务函电写作规范，撰写格式正确、内容准确的建立业务关系的信函。</w:t>
            </w:r>
          </w:p>
          <w:p w14:paraId="7A25B190">
            <w:pPr>
              <w:pStyle w:val="2"/>
              <w:ind w:firstLine="0" w:firstLineChars="0"/>
              <w:rPr>
                <w:rFonts w:hint="eastAsia" w:ascii="宋体" w:hAnsi="宋体" w:eastAsia="宋体" w:cs="宋体"/>
                <w:sz w:val="18"/>
                <w:szCs w:val="18"/>
                <w:lang w:val="en-US"/>
              </w:rPr>
            </w:pPr>
            <w:r>
              <w:rPr>
                <w:rFonts w:hint="eastAsia" w:ascii="宋体" w:hAnsi="宋体" w:eastAsia="宋体" w:cs="宋体"/>
                <w:sz w:val="18"/>
                <w:szCs w:val="18"/>
                <w:lang w:val="en-US"/>
              </w:rPr>
              <w:t>（4）业务磋商能力：在与客户磋商业务的过程中，学生能够撰写询盘、发盘、还盘、订单确认等信函，并具备制作出售合同的能力。</w:t>
            </w:r>
          </w:p>
        </w:tc>
        <w:tc>
          <w:tcPr>
            <w:tcW w:w="2155" w:type="dxa"/>
            <w:tcBorders>
              <w:top w:val="single" w:color="auto" w:sz="4" w:space="0"/>
              <w:left w:val="single" w:color="auto" w:sz="4" w:space="0"/>
              <w:bottom w:val="single" w:color="auto" w:sz="4" w:space="0"/>
              <w:right w:val="single" w:color="auto" w:sz="4" w:space="0"/>
            </w:tcBorders>
          </w:tcPr>
          <w:p w14:paraId="0296D9F6">
            <w:pPr>
              <w:rPr>
                <w:rFonts w:hint="eastAsia" w:ascii="宋体" w:hAnsi="宋体" w:eastAsia="宋体" w:cs="宋体"/>
                <w:sz w:val="18"/>
                <w:szCs w:val="18"/>
              </w:rPr>
            </w:pPr>
            <w:r>
              <w:rPr>
                <w:rFonts w:hint="eastAsia" w:ascii="宋体" w:hAnsi="宋体" w:eastAsia="宋体" w:cs="宋体"/>
                <w:sz w:val="18"/>
                <w:szCs w:val="18"/>
              </w:rPr>
              <w:t>1、掌握进出口贸易实务的基本理论和操作流程；</w:t>
            </w:r>
          </w:p>
          <w:p w14:paraId="58A9FF16">
            <w:pPr>
              <w:rPr>
                <w:rFonts w:hint="eastAsia" w:ascii="宋体" w:hAnsi="宋体" w:eastAsia="宋体" w:cs="宋体"/>
                <w:sz w:val="18"/>
                <w:szCs w:val="18"/>
              </w:rPr>
            </w:pPr>
            <w:r>
              <w:rPr>
                <w:rFonts w:hint="eastAsia" w:ascii="宋体" w:hAnsi="宋体" w:eastAsia="宋体" w:cs="宋体"/>
                <w:sz w:val="18"/>
                <w:szCs w:val="18"/>
              </w:rPr>
              <w:t>2、了解进出口贸易的基本文化礼仪和谈判技巧；</w:t>
            </w:r>
          </w:p>
          <w:p w14:paraId="2754D3A4">
            <w:pPr>
              <w:rPr>
                <w:rFonts w:hint="eastAsia" w:ascii="宋体" w:hAnsi="宋体" w:eastAsia="宋体" w:cs="宋体"/>
                <w:sz w:val="18"/>
                <w:szCs w:val="18"/>
              </w:rPr>
            </w:pPr>
            <w:r>
              <w:rPr>
                <w:rFonts w:hint="eastAsia" w:ascii="宋体" w:hAnsi="宋体" w:eastAsia="宋体" w:cs="宋体"/>
                <w:sz w:val="18"/>
                <w:szCs w:val="18"/>
              </w:rPr>
              <w:t>3、掌握外贸英语函电的格式、专业词汇、行文方法与文体特点；</w:t>
            </w:r>
          </w:p>
          <w:p w14:paraId="6BB33C92">
            <w:pPr>
              <w:rPr>
                <w:rFonts w:hint="eastAsia" w:ascii="宋体" w:hAnsi="宋体" w:eastAsia="宋体" w:cs="宋体"/>
                <w:sz w:val="18"/>
                <w:szCs w:val="18"/>
              </w:rPr>
            </w:pPr>
            <w:r>
              <w:rPr>
                <w:rFonts w:hint="eastAsia" w:ascii="宋体" w:hAnsi="宋体" w:eastAsia="宋体" w:cs="宋体"/>
                <w:sz w:val="18"/>
                <w:szCs w:val="18"/>
              </w:rPr>
              <w:t>4、提高在外贸业务活动中正确地使用英语的能力，以及对外进行各项业务联系和通讯活动能力。</w:t>
            </w:r>
          </w:p>
        </w:tc>
        <w:tc>
          <w:tcPr>
            <w:tcW w:w="2801" w:type="dxa"/>
            <w:tcBorders>
              <w:top w:val="single" w:color="auto" w:sz="4" w:space="0"/>
              <w:left w:val="single" w:color="auto" w:sz="4" w:space="0"/>
              <w:bottom w:val="single" w:color="auto" w:sz="4" w:space="0"/>
              <w:right w:val="single" w:color="auto" w:sz="4" w:space="0"/>
            </w:tcBorders>
          </w:tcPr>
          <w:p w14:paraId="5EF374AE">
            <w:pPr>
              <w:rPr>
                <w:rFonts w:hint="eastAsia" w:ascii="宋体" w:hAnsi="宋体" w:eastAsia="宋体" w:cs="宋体"/>
                <w:sz w:val="18"/>
                <w:szCs w:val="18"/>
              </w:rPr>
            </w:pPr>
            <w:r>
              <w:rPr>
                <w:rFonts w:hint="eastAsia" w:ascii="宋体" w:hAnsi="宋体" w:eastAsia="宋体" w:cs="宋体"/>
                <w:sz w:val="18"/>
                <w:szCs w:val="18"/>
              </w:rPr>
              <w:t>本课程通过任务引领项目活动，把企业真实项目转化为学习任务，通过课程学习，使学生掌握涉外经贸工作中商务信函的写作技巧，提高学生在外贸业务活动中正确使用英语的能力，以及对外进行各项业务联系和通讯活动的能力，以适应外经外贸工作过程中与国外客户进行联络的实际业务需要。通过本课程的学习，要求学生掌握商务信函的基本格式，了解相应的商务知识，掌握常用术语及句型，熟练掌握商务函电基本语言风格和特点及其写作知识，了解不同文化表达方式，并能书写相应的信件。</w:t>
            </w:r>
          </w:p>
          <w:p w14:paraId="727FC7E0">
            <w:pPr>
              <w:rPr>
                <w:rFonts w:hint="eastAsia" w:ascii="宋体" w:hAnsi="宋体" w:eastAsia="宋体" w:cs="宋体"/>
                <w:sz w:val="18"/>
                <w:szCs w:val="18"/>
              </w:rPr>
            </w:pPr>
            <w:r>
              <w:rPr>
                <w:rFonts w:hint="eastAsia" w:ascii="宋体" w:hAnsi="宋体" w:eastAsia="宋体" w:cs="宋体"/>
                <w:sz w:val="18"/>
                <w:szCs w:val="18"/>
              </w:rPr>
              <w:t>同时，在课程教学中穿插思政教育，使学生不仅具备今后从事外贸工作的岗位能力，而且具有爱国主义情操、开阔的国际视野、文化自信、诚信、敬业爱岗、有担当、有团队协作精神、具备良好的沟通能力和跨文化交际能力。</w:t>
            </w:r>
          </w:p>
        </w:tc>
      </w:tr>
      <w:tr w14:paraId="31793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2B5821F1">
            <w:pPr>
              <w:jc w:val="center"/>
              <w:rPr>
                <w:rFonts w:hint="eastAsia" w:ascii="宋体" w:hAnsi="宋体"/>
                <w:sz w:val="18"/>
                <w:szCs w:val="18"/>
              </w:rPr>
            </w:pPr>
          </w:p>
          <w:p w14:paraId="00E93043">
            <w:pPr>
              <w:jc w:val="center"/>
              <w:rPr>
                <w:rFonts w:hint="eastAsia" w:ascii="宋体" w:hAnsi="宋体"/>
                <w:sz w:val="18"/>
                <w:szCs w:val="18"/>
              </w:rPr>
            </w:pPr>
          </w:p>
          <w:p w14:paraId="4795EB3C">
            <w:pPr>
              <w:jc w:val="center"/>
              <w:rPr>
                <w:rFonts w:hint="eastAsia" w:ascii="宋体" w:hAnsi="宋体"/>
                <w:sz w:val="18"/>
                <w:szCs w:val="18"/>
              </w:rPr>
            </w:pPr>
          </w:p>
          <w:p w14:paraId="237E6207">
            <w:pPr>
              <w:jc w:val="center"/>
              <w:rPr>
                <w:rFonts w:hint="eastAsia" w:ascii="宋体" w:hAnsi="宋体"/>
                <w:sz w:val="18"/>
                <w:szCs w:val="18"/>
              </w:rPr>
            </w:pPr>
          </w:p>
          <w:p w14:paraId="088F47ED">
            <w:pPr>
              <w:jc w:val="center"/>
              <w:rPr>
                <w:rFonts w:hint="eastAsia" w:ascii="宋体" w:hAnsi="宋体"/>
                <w:sz w:val="18"/>
                <w:szCs w:val="18"/>
              </w:rPr>
            </w:pPr>
          </w:p>
          <w:p w14:paraId="52F9E10E">
            <w:pPr>
              <w:jc w:val="center"/>
              <w:rPr>
                <w:rFonts w:hint="eastAsia" w:ascii="宋体" w:hAnsi="宋体"/>
                <w:sz w:val="18"/>
                <w:szCs w:val="18"/>
              </w:rPr>
            </w:pPr>
          </w:p>
          <w:p w14:paraId="61090F37">
            <w:pPr>
              <w:jc w:val="center"/>
              <w:rPr>
                <w:rFonts w:hint="default" w:ascii="宋体" w:hAnsi="宋体" w:eastAsia="宋体"/>
                <w:sz w:val="18"/>
                <w:szCs w:val="18"/>
                <w:lang w:val="en-US" w:eastAsia="zh-CN"/>
              </w:rPr>
            </w:pPr>
            <w:r>
              <w:rPr>
                <w:rFonts w:hint="eastAsia" w:ascii="宋体" w:hAnsi="宋体"/>
                <w:sz w:val="18"/>
                <w:szCs w:val="18"/>
                <w:lang w:val="en-US" w:eastAsia="zh-CN"/>
              </w:rPr>
              <w:t>31</w:t>
            </w:r>
          </w:p>
        </w:tc>
        <w:tc>
          <w:tcPr>
            <w:tcW w:w="709" w:type="dxa"/>
            <w:vMerge w:val="continue"/>
            <w:tcBorders>
              <w:top w:val="single" w:color="auto" w:sz="4" w:space="0"/>
              <w:left w:val="single" w:color="auto" w:sz="4" w:space="0"/>
              <w:right w:val="single" w:color="auto" w:sz="4" w:space="0"/>
            </w:tcBorders>
            <w:vAlign w:val="center"/>
          </w:tcPr>
          <w:p w14:paraId="4D8BB0E9">
            <w:pPr>
              <w:jc w:val="center"/>
              <w:rPr>
                <w:rFonts w:hint="eastAsia" w:ascii="宋体" w:hAnsi="宋体" w:cs="宋体"/>
                <w:sz w:val="18"/>
                <w:szCs w:val="18"/>
              </w:rPr>
            </w:pPr>
          </w:p>
        </w:tc>
        <w:tc>
          <w:tcPr>
            <w:tcW w:w="919" w:type="dxa"/>
            <w:tcBorders>
              <w:top w:val="single" w:color="auto" w:sz="4" w:space="0"/>
              <w:left w:val="single" w:color="auto" w:sz="4" w:space="0"/>
              <w:bottom w:val="single" w:color="auto" w:sz="4" w:space="0"/>
              <w:right w:val="single" w:color="auto" w:sz="4" w:space="0"/>
            </w:tcBorders>
          </w:tcPr>
          <w:p w14:paraId="55A9A1F4">
            <w:pPr>
              <w:rPr>
                <w:rFonts w:hint="eastAsia" w:ascii="Times New Roman" w:hAnsi="Times New Roman"/>
                <w:color w:val="000000"/>
                <w:spacing w:val="-20"/>
                <w:sz w:val="18"/>
                <w:szCs w:val="18"/>
              </w:rPr>
            </w:pPr>
          </w:p>
          <w:p w14:paraId="4FCA4A5E">
            <w:pPr>
              <w:rPr>
                <w:rFonts w:hint="eastAsia" w:ascii="Times New Roman" w:hAnsi="Times New Roman"/>
                <w:color w:val="000000"/>
                <w:spacing w:val="-20"/>
                <w:sz w:val="18"/>
                <w:szCs w:val="18"/>
              </w:rPr>
            </w:pPr>
          </w:p>
          <w:p w14:paraId="1DC9D0D5">
            <w:pPr>
              <w:rPr>
                <w:rFonts w:hint="eastAsia" w:ascii="Times New Roman" w:hAnsi="Times New Roman"/>
                <w:color w:val="000000"/>
                <w:spacing w:val="-20"/>
                <w:sz w:val="18"/>
                <w:szCs w:val="18"/>
              </w:rPr>
            </w:pPr>
          </w:p>
          <w:p w14:paraId="4979EB09">
            <w:pPr>
              <w:rPr>
                <w:rFonts w:hint="eastAsia" w:ascii="Times New Roman" w:hAnsi="Times New Roman"/>
                <w:color w:val="000000"/>
                <w:spacing w:val="-20"/>
                <w:sz w:val="18"/>
                <w:szCs w:val="18"/>
              </w:rPr>
            </w:pPr>
          </w:p>
          <w:p w14:paraId="66E05616">
            <w:pPr>
              <w:rPr>
                <w:rFonts w:hint="eastAsia" w:ascii="Times New Roman" w:hAnsi="Times New Roman"/>
                <w:color w:val="000000"/>
                <w:spacing w:val="-20"/>
                <w:sz w:val="18"/>
                <w:szCs w:val="18"/>
              </w:rPr>
            </w:pPr>
          </w:p>
          <w:p w14:paraId="25A86F61">
            <w:pPr>
              <w:rPr>
                <w:rFonts w:hint="eastAsia" w:ascii="Times New Roman" w:hAnsi="Times New Roman"/>
                <w:color w:val="000000"/>
                <w:spacing w:val="-20"/>
                <w:sz w:val="18"/>
                <w:szCs w:val="18"/>
              </w:rPr>
            </w:pPr>
          </w:p>
          <w:p w14:paraId="250B0C65">
            <w:pPr>
              <w:rPr>
                <w:rFonts w:hint="eastAsia" w:ascii="宋体" w:hAnsi="宋体"/>
                <w:sz w:val="18"/>
                <w:szCs w:val="18"/>
              </w:rPr>
            </w:pPr>
            <w:r>
              <w:rPr>
                <w:rFonts w:hint="eastAsia" w:ascii="Times New Roman" w:hAnsi="Times New Roman"/>
                <w:color w:val="000000"/>
                <w:spacing w:val="-20"/>
                <w:sz w:val="18"/>
                <w:szCs w:val="18"/>
              </w:rPr>
              <w:t>新媒体营销</w:t>
            </w:r>
            <w:r>
              <w:rPr>
                <w:rFonts w:hint="eastAsia" w:ascii="宋体" w:hAnsi="宋体"/>
                <w:sz w:val="18"/>
                <w:szCs w:val="18"/>
              </w:rPr>
              <w:t>★</w:t>
            </w:r>
          </w:p>
        </w:tc>
        <w:tc>
          <w:tcPr>
            <w:tcW w:w="2415" w:type="dxa"/>
            <w:tcBorders>
              <w:top w:val="single" w:color="auto" w:sz="4" w:space="0"/>
              <w:left w:val="single" w:color="auto" w:sz="4" w:space="0"/>
              <w:bottom w:val="single" w:color="auto" w:sz="4" w:space="0"/>
              <w:right w:val="single" w:color="auto" w:sz="4" w:space="0"/>
            </w:tcBorders>
          </w:tcPr>
          <w:p w14:paraId="5F1EBBD7">
            <w:pPr>
              <w:rPr>
                <w:rFonts w:hint="eastAsia" w:ascii="宋体" w:hAnsi="宋体"/>
                <w:sz w:val="18"/>
                <w:szCs w:val="18"/>
              </w:rPr>
            </w:pPr>
            <w:r>
              <w:rPr>
                <w:rFonts w:hint="eastAsia" w:ascii="宋体" w:hAnsi="宋体"/>
                <w:sz w:val="18"/>
                <w:szCs w:val="18"/>
              </w:rPr>
              <w:t>（1）了解新媒体营销的基本概念、特点、发展历程和趋势</w:t>
            </w:r>
          </w:p>
          <w:p w14:paraId="5B11397C">
            <w:pPr>
              <w:rPr>
                <w:rFonts w:hint="eastAsia" w:ascii="宋体" w:hAnsi="宋体"/>
                <w:sz w:val="18"/>
                <w:szCs w:val="18"/>
              </w:rPr>
            </w:pPr>
            <w:r>
              <w:rPr>
                <w:rFonts w:hint="eastAsia" w:ascii="宋体" w:hAnsi="宋体"/>
                <w:sz w:val="18"/>
                <w:szCs w:val="18"/>
              </w:rPr>
              <w:t>（2）掌握新媒体营销的基本理论和方法。</w:t>
            </w:r>
          </w:p>
          <w:p w14:paraId="6BC359F3">
            <w:pPr>
              <w:rPr>
                <w:rFonts w:hint="eastAsia" w:ascii="宋体" w:hAnsi="宋体"/>
                <w:sz w:val="18"/>
                <w:szCs w:val="18"/>
              </w:rPr>
            </w:pPr>
            <w:r>
              <w:rPr>
                <w:rFonts w:hint="eastAsia" w:ascii="宋体" w:hAnsi="宋体"/>
                <w:sz w:val="18"/>
                <w:szCs w:val="18"/>
              </w:rPr>
              <w:t>（3）熟悉各种新媒体平台的特点、功能和运营模式</w:t>
            </w:r>
          </w:p>
          <w:p w14:paraId="1D3A5247">
            <w:pPr>
              <w:rPr>
                <w:rFonts w:hint="eastAsia" w:ascii="宋体" w:hAnsi="宋体"/>
                <w:sz w:val="18"/>
                <w:szCs w:val="18"/>
              </w:rPr>
            </w:pPr>
            <w:r>
              <w:rPr>
                <w:rFonts w:hint="eastAsia" w:ascii="宋体" w:hAnsi="宋体"/>
                <w:sz w:val="18"/>
                <w:szCs w:val="18"/>
              </w:rPr>
              <w:t>（4）掌握用户画像、用户需求分析、用户行为引导等相关知识</w:t>
            </w:r>
          </w:p>
          <w:p w14:paraId="7A71F623">
            <w:pPr>
              <w:rPr>
                <w:rFonts w:hint="eastAsia" w:ascii="宋体" w:hAnsi="宋体"/>
                <w:sz w:val="18"/>
                <w:szCs w:val="18"/>
              </w:rPr>
            </w:pPr>
            <w:r>
              <w:rPr>
                <w:rFonts w:hint="eastAsia" w:ascii="宋体" w:hAnsi="宋体"/>
                <w:sz w:val="18"/>
                <w:szCs w:val="18"/>
              </w:rPr>
              <w:t>（5）掌握新媒体营销中的内容创作和传播策略</w:t>
            </w:r>
          </w:p>
          <w:p w14:paraId="59A36E48">
            <w:pPr>
              <w:rPr>
                <w:rFonts w:hint="eastAsia" w:ascii="宋体" w:hAnsi="宋体"/>
                <w:sz w:val="18"/>
                <w:szCs w:val="18"/>
              </w:rPr>
            </w:pPr>
            <w:r>
              <w:rPr>
                <w:rFonts w:hint="eastAsia" w:ascii="宋体" w:hAnsi="宋体"/>
                <w:sz w:val="18"/>
                <w:szCs w:val="18"/>
              </w:rPr>
              <w:t>（6）能够运用新媒体平台进行营销活动策划和执行</w:t>
            </w:r>
          </w:p>
          <w:p w14:paraId="4D892C4C">
            <w:pPr>
              <w:rPr>
                <w:rFonts w:hint="eastAsia" w:ascii="宋体" w:hAnsi="宋体"/>
                <w:sz w:val="18"/>
                <w:szCs w:val="18"/>
              </w:rPr>
            </w:pPr>
            <w:r>
              <w:rPr>
                <w:rFonts w:hint="eastAsia" w:ascii="宋体" w:hAnsi="宋体"/>
                <w:sz w:val="18"/>
                <w:szCs w:val="18"/>
              </w:rPr>
              <w:t>（7）能够根据企业或产品的特点和目标受众，制定合适的新媒体营销策略和方案</w:t>
            </w:r>
          </w:p>
          <w:p w14:paraId="7238D7EC">
            <w:pPr>
              <w:rPr>
                <w:rFonts w:hint="eastAsia" w:ascii="宋体" w:hAnsi="宋体"/>
                <w:sz w:val="18"/>
                <w:szCs w:val="18"/>
              </w:rPr>
            </w:pPr>
            <w:r>
              <w:rPr>
                <w:rFonts w:hint="eastAsia" w:ascii="宋体" w:hAnsi="宋体"/>
                <w:sz w:val="18"/>
                <w:szCs w:val="18"/>
              </w:rPr>
              <w:t>（8）能够使用各种新媒体工具和技术，提高新媒体营销的工作效率和效果</w:t>
            </w:r>
          </w:p>
          <w:p w14:paraId="315972B9">
            <w:pPr>
              <w:rPr>
                <w:rFonts w:hint="eastAsia" w:ascii="宋体" w:hAnsi="宋体"/>
                <w:sz w:val="18"/>
                <w:szCs w:val="18"/>
              </w:rPr>
            </w:pPr>
            <w:r>
              <w:rPr>
                <w:rFonts w:hint="eastAsia" w:ascii="宋体" w:hAnsi="宋体"/>
                <w:sz w:val="18"/>
                <w:szCs w:val="18"/>
              </w:rPr>
              <w:t>（9）提升学生的内容创作能力</w:t>
            </w:r>
          </w:p>
          <w:p w14:paraId="4927327B">
            <w:pPr>
              <w:rPr>
                <w:rFonts w:hint="eastAsia" w:ascii="宋体" w:hAnsi="宋体"/>
                <w:sz w:val="18"/>
                <w:szCs w:val="18"/>
              </w:rPr>
            </w:pPr>
            <w:r>
              <w:rPr>
                <w:rFonts w:hint="eastAsia" w:ascii="宋体" w:hAnsi="宋体"/>
                <w:sz w:val="18"/>
                <w:szCs w:val="18"/>
              </w:rPr>
              <w:t>（10）增强学生的数据分析和解读能力</w:t>
            </w:r>
          </w:p>
          <w:p w14:paraId="3EFC5BB3">
            <w:pPr>
              <w:rPr>
                <w:rFonts w:hint="eastAsia" w:ascii="宋体" w:hAnsi="宋体"/>
                <w:sz w:val="18"/>
                <w:szCs w:val="18"/>
                <w:highlight w:val="yellow"/>
              </w:rPr>
            </w:pPr>
            <w:r>
              <w:rPr>
                <w:rFonts w:hint="eastAsia" w:ascii="宋体" w:hAnsi="宋体"/>
                <w:sz w:val="18"/>
                <w:szCs w:val="18"/>
              </w:rPr>
              <w:t>（11）培养学生的创新意识和创新能力、团队协作能力和沟通能力、责任心和敬业精神、网络素养和社会责任感</w:t>
            </w:r>
          </w:p>
        </w:tc>
        <w:tc>
          <w:tcPr>
            <w:tcW w:w="2155" w:type="dxa"/>
            <w:tcBorders>
              <w:top w:val="single" w:color="auto" w:sz="4" w:space="0"/>
              <w:left w:val="single" w:color="auto" w:sz="4" w:space="0"/>
              <w:bottom w:val="single" w:color="auto" w:sz="4" w:space="0"/>
              <w:right w:val="single" w:color="auto" w:sz="4" w:space="0"/>
            </w:tcBorders>
          </w:tcPr>
          <w:p w14:paraId="07F25B8D">
            <w:pPr>
              <w:rPr>
                <w:rFonts w:hint="eastAsia" w:ascii="宋体" w:hAnsi="宋体" w:cs="宋体"/>
                <w:color w:val="000000"/>
                <w:kern w:val="0"/>
                <w:sz w:val="18"/>
                <w:szCs w:val="18"/>
              </w:rPr>
            </w:pPr>
            <w:r>
              <w:rPr>
                <w:rFonts w:hint="eastAsia" w:ascii="宋体" w:hAnsi="宋体" w:cs="宋体"/>
                <w:color w:val="000000"/>
                <w:kern w:val="0"/>
                <w:sz w:val="18"/>
                <w:szCs w:val="18"/>
              </w:rPr>
              <w:t>1.教学内容</w:t>
            </w:r>
          </w:p>
          <w:p w14:paraId="1B717401">
            <w:pPr>
              <w:rPr>
                <w:rFonts w:hint="eastAsia" w:ascii="宋体" w:hAnsi="宋体" w:cs="宋体"/>
                <w:color w:val="000000"/>
                <w:kern w:val="0"/>
                <w:sz w:val="18"/>
                <w:szCs w:val="18"/>
              </w:rPr>
            </w:pPr>
            <w:r>
              <w:rPr>
                <w:rFonts w:hint="eastAsia" w:ascii="宋体" w:hAnsi="宋体" w:cs="宋体"/>
                <w:color w:val="000000"/>
                <w:kern w:val="0"/>
                <w:sz w:val="18"/>
                <w:szCs w:val="18"/>
              </w:rPr>
              <w:t>（1）新媒体的内涵、特征、表现形式</w:t>
            </w:r>
          </w:p>
          <w:p w14:paraId="5CBE87D2">
            <w:pPr>
              <w:rPr>
                <w:rFonts w:hint="eastAsia" w:ascii="宋体" w:hAnsi="宋体" w:cs="宋体"/>
                <w:color w:val="000000"/>
                <w:kern w:val="0"/>
                <w:sz w:val="18"/>
                <w:szCs w:val="18"/>
              </w:rPr>
            </w:pPr>
            <w:r>
              <w:rPr>
                <w:rFonts w:hint="eastAsia" w:ascii="宋体" w:hAnsi="宋体" w:cs="宋体"/>
                <w:color w:val="000000"/>
                <w:kern w:val="0"/>
                <w:sz w:val="18"/>
                <w:szCs w:val="18"/>
              </w:rPr>
              <w:t>（2）新媒体的重要性以及对企业的作用</w:t>
            </w:r>
          </w:p>
          <w:p w14:paraId="5A4B7694">
            <w:pPr>
              <w:rPr>
                <w:rFonts w:hint="eastAsia" w:ascii="宋体" w:hAnsi="宋体" w:cs="宋体"/>
                <w:color w:val="000000"/>
                <w:kern w:val="0"/>
                <w:sz w:val="18"/>
                <w:szCs w:val="18"/>
              </w:rPr>
            </w:pPr>
            <w:r>
              <w:rPr>
                <w:rFonts w:hint="eastAsia" w:ascii="宋体" w:hAnsi="宋体" w:cs="宋体"/>
                <w:color w:val="000000"/>
                <w:kern w:val="0"/>
                <w:sz w:val="18"/>
                <w:szCs w:val="18"/>
              </w:rPr>
              <w:t>（3）新媒体营销思维</w:t>
            </w:r>
          </w:p>
          <w:p w14:paraId="23C1C36D">
            <w:pPr>
              <w:rPr>
                <w:rFonts w:hint="eastAsia" w:ascii="宋体" w:hAnsi="宋体" w:cs="宋体"/>
                <w:color w:val="000000"/>
                <w:kern w:val="0"/>
                <w:sz w:val="18"/>
                <w:szCs w:val="18"/>
              </w:rPr>
            </w:pPr>
            <w:r>
              <w:rPr>
                <w:rFonts w:hint="eastAsia" w:ascii="宋体" w:hAnsi="宋体" w:cs="宋体"/>
                <w:color w:val="000000"/>
                <w:kern w:val="0"/>
                <w:sz w:val="18"/>
                <w:szCs w:val="18"/>
              </w:rPr>
              <w:t>（4）新媒体的发展趋势</w:t>
            </w:r>
          </w:p>
          <w:p w14:paraId="747976D8">
            <w:pPr>
              <w:rPr>
                <w:rFonts w:hint="eastAsia" w:ascii="宋体" w:hAnsi="宋体" w:cs="宋体"/>
                <w:color w:val="000000"/>
                <w:kern w:val="0"/>
                <w:sz w:val="18"/>
                <w:szCs w:val="18"/>
              </w:rPr>
            </w:pPr>
            <w:r>
              <w:rPr>
                <w:rFonts w:hint="eastAsia" w:ascii="宋体" w:hAnsi="宋体" w:cs="宋体"/>
                <w:color w:val="000000"/>
                <w:kern w:val="0"/>
                <w:sz w:val="18"/>
                <w:szCs w:val="18"/>
              </w:rPr>
              <w:t>（5）新媒体平台与工具</w:t>
            </w:r>
          </w:p>
          <w:p w14:paraId="07AD4A0B">
            <w:pPr>
              <w:rPr>
                <w:rFonts w:hint="eastAsia" w:ascii="宋体" w:hAnsi="宋体" w:cs="宋体"/>
                <w:color w:val="000000"/>
                <w:kern w:val="0"/>
                <w:sz w:val="18"/>
                <w:szCs w:val="18"/>
              </w:rPr>
            </w:pPr>
            <w:r>
              <w:rPr>
                <w:rFonts w:hint="eastAsia" w:ascii="宋体" w:hAnsi="宋体" w:cs="宋体"/>
                <w:color w:val="000000"/>
                <w:kern w:val="0"/>
                <w:sz w:val="18"/>
                <w:szCs w:val="18"/>
              </w:rPr>
              <w:t>（6）社交平台营销</w:t>
            </w:r>
          </w:p>
          <w:p w14:paraId="6BBD74F5">
            <w:pPr>
              <w:rPr>
                <w:rFonts w:hint="eastAsia" w:ascii="宋体" w:hAnsi="宋体" w:cs="宋体"/>
                <w:color w:val="000000"/>
                <w:kern w:val="0"/>
                <w:sz w:val="18"/>
                <w:szCs w:val="18"/>
              </w:rPr>
            </w:pPr>
            <w:r>
              <w:rPr>
                <w:rFonts w:hint="eastAsia" w:ascii="宋体" w:hAnsi="宋体" w:cs="宋体"/>
                <w:color w:val="000000"/>
                <w:kern w:val="0"/>
                <w:sz w:val="18"/>
                <w:szCs w:val="18"/>
              </w:rPr>
              <w:t>（7）新媒体内容营销</w:t>
            </w:r>
          </w:p>
          <w:p w14:paraId="3B421E1C">
            <w:pPr>
              <w:rPr>
                <w:rFonts w:hint="eastAsia" w:ascii="宋体" w:hAnsi="宋体" w:cs="宋体"/>
                <w:color w:val="000000"/>
                <w:kern w:val="0"/>
                <w:sz w:val="18"/>
                <w:szCs w:val="18"/>
              </w:rPr>
            </w:pPr>
            <w:r>
              <w:rPr>
                <w:rFonts w:hint="eastAsia" w:ascii="宋体" w:hAnsi="宋体" w:cs="宋体"/>
                <w:color w:val="000000"/>
                <w:kern w:val="0"/>
                <w:sz w:val="18"/>
                <w:szCs w:val="18"/>
              </w:rPr>
              <w:t>（8）新媒体文案撰写</w:t>
            </w:r>
          </w:p>
          <w:p w14:paraId="05DC4941">
            <w:pPr>
              <w:rPr>
                <w:rFonts w:hint="eastAsia" w:ascii="宋体" w:hAnsi="宋体" w:cs="宋体"/>
                <w:color w:val="000000"/>
                <w:kern w:val="0"/>
                <w:sz w:val="18"/>
                <w:szCs w:val="18"/>
              </w:rPr>
            </w:pPr>
            <w:r>
              <w:rPr>
                <w:rFonts w:hint="eastAsia" w:ascii="宋体" w:hAnsi="宋体" w:cs="宋体"/>
                <w:color w:val="000000"/>
                <w:kern w:val="0"/>
                <w:sz w:val="18"/>
                <w:szCs w:val="18"/>
              </w:rPr>
              <w:t>（9）新媒体图片与视觉设计</w:t>
            </w:r>
          </w:p>
          <w:p w14:paraId="73292417">
            <w:pPr>
              <w:rPr>
                <w:rFonts w:hint="eastAsia" w:ascii="宋体" w:hAnsi="宋体" w:cs="宋体"/>
                <w:color w:val="000000"/>
                <w:kern w:val="0"/>
                <w:sz w:val="18"/>
                <w:szCs w:val="18"/>
              </w:rPr>
            </w:pPr>
            <w:r>
              <w:rPr>
                <w:rFonts w:hint="eastAsia" w:ascii="宋体" w:hAnsi="宋体" w:cs="宋体"/>
                <w:color w:val="000000"/>
                <w:kern w:val="0"/>
                <w:sz w:val="18"/>
                <w:szCs w:val="18"/>
              </w:rPr>
              <w:t>（10）新媒体营销内容传播策略</w:t>
            </w:r>
          </w:p>
          <w:p w14:paraId="7434F145">
            <w:pPr>
              <w:rPr>
                <w:rFonts w:hint="eastAsia" w:ascii="宋体" w:hAnsi="宋体" w:cs="宋体"/>
                <w:color w:val="000000"/>
                <w:kern w:val="0"/>
                <w:sz w:val="18"/>
                <w:szCs w:val="18"/>
              </w:rPr>
            </w:pPr>
            <w:r>
              <w:rPr>
                <w:rFonts w:hint="eastAsia" w:ascii="宋体" w:hAnsi="宋体" w:cs="宋体"/>
                <w:color w:val="000000"/>
                <w:kern w:val="0"/>
                <w:sz w:val="18"/>
                <w:szCs w:val="18"/>
              </w:rPr>
              <w:t>（11）数据分析与营销效果评估</w:t>
            </w:r>
          </w:p>
          <w:p w14:paraId="2472095B">
            <w:pPr>
              <w:rPr>
                <w:rFonts w:hint="eastAsia" w:ascii="宋体" w:hAnsi="宋体" w:cs="宋体"/>
                <w:color w:val="000000"/>
                <w:kern w:val="0"/>
                <w:sz w:val="18"/>
                <w:szCs w:val="18"/>
              </w:rPr>
            </w:pPr>
            <w:r>
              <w:rPr>
                <w:rFonts w:hint="eastAsia" w:ascii="宋体" w:hAnsi="宋体" w:cs="宋体"/>
                <w:color w:val="000000"/>
                <w:kern w:val="0"/>
                <w:sz w:val="18"/>
                <w:szCs w:val="18"/>
              </w:rPr>
              <w:t>（12）数据监测与分析工具</w:t>
            </w:r>
          </w:p>
          <w:p w14:paraId="1BCBB272">
            <w:pPr>
              <w:rPr>
                <w:rFonts w:hint="eastAsia" w:ascii="宋体" w:hAnsi="宋体" w:cs="宋体"/>
                <w:color w:val="000000"/>
                <w:kern w:val="0"/>
                <w:sz w:val="18"/>
                <w:szCs w:val="18"/>
              </w:rPr>
            </w:pPr>
            <w:r>
              <w:rPr>
                <w:rFonts w:hint="eastAsia" w:ascii="宋体" w:hAnsi="宋体" w:cs="宋体"/>
                <w:color w:val="000000"/>
                <w:kern w:val="0"/>
                <w:sz w:val="18"/>
                <w:szCs w:val="18"/>
              </w:rPr>
              <w:t>（13）新媒体营销效果评估</w:t>
            </w:r>
          </w:p>
          <w:p w14:paraId="449D2257">
            <w:pPr>
              <w:rPr>
                <w:rFonts w:hint="eastAsia" w:ascii="宋体" w:hAnsi="宋体" w:cs="宋体"/>
                <w:color w:val="000000"/>
                <w:kern w:val="0"/>
                <w:sz w:val="18"/>
                <w:szCs w:val="18"/>
              </w:rPr>
            </w:pPr>
            <w:r>
              <w:rPr>
                <w:rFonts w:hint="eastAsia" w:ascii="宋体" w:hAnsi="宋体" w:cs="宋体"/>
                <w:color w:val="000000"/>
                <w:kern w:val="0"/>
                <w:sz w:val="18"/>
                <w:szCs w:val="18"/>
              </w:rPr>
              <w:t>2.教学要求</w:t>
            </w:r>
          </w:p>
          <w:p w14:paraId="1E95EC0E">
            <w:pPr>
              <w:rPr>
                <w:rFonts w:hint="eastAsia" w:ascii="宋体" w:hAnsi="宋体"/>
                <w:sz w:val="18"/>
                <w:szCs w:val="18"/>
                <w:highlight w:val="yellow"/>
              </w:rPr>
            </w:pPr>
            <w:r>
              <w:rPr>
                <w:rFonts w:hint="eastAsia" w:ascii="宋体" w:hAnsi="宋体" w:cs="宋体"/>
                <w:color w:val="000000"/>
                <w:kern w:val="0"/>
                <w:sz w:val="18"/>
                <w:szCs w:val="18"/>
              </w:rPr>
              <w:t>完成课程的知识、技能与素质目标，学生掌握课程的概念、理论与方法，学生能够运用新媒体营销相关理论知识与实操技能进行新媒体推广、社交平台营销、内容营销及数据分析优化等，学生具备新媒体营销的知识和技能，培养学生分析问题、决策制定、沟通表达及实践操作能力</w:t>
            </w:r>
          </w:p>
        </w:tc>
        <w:tc>
          <w:tcPr>
            <w:tcW w:w="2801" w:type="dxa"/>
            <w:tcBorders>
              <w:top w:val="single" w:color="auto" w:sz="4" w:space="0"/>
              <w:left w:val="single" w:color="auto" w:sz="4" w:space="0"/>
              <w:bottom w:val="single" w:color="auto" w:sz="4" w:space="0"/>
              <w:right w:val="single" w:color="auto" w:sz="4" w:space="0"/>
            </w:tcBorders>
          </w:tcPr>
          <w:p w14:paraId="7B935A94">
            <w:pPr>
              <w:rPr>
                <w:rFonts w:hint="eastAsia" w:ascii="宋体" w:hAnsi="宋体"/>
                <w:sz w:val="18"/>
                <w:szCs w:val="18"/>
              </w:rPr>
            </w:pPr>
            <w:r>
              <w:rPr>
                <w:rFonts w:hint="eastAsia" w:ascii="宋体" w:hAnsi="宋体"/>
                <w:sz w:val="18"/>
                <w:szCs w:val="18"/>
              </w:rPr>
              <w:t>1.技能考核项目</w:t>
            </w:r>
          </w:p>
          <w:p w14:paraId="58F19FC4">
            <w:pPr>
              <w:rPr>
                <w:rFonts w:hint="eastAsia" w:ascii="宋体" w:hAnsi="宋体"/>
                <w:sz w:val="18"/>
                <w:szCs w:val="18"/>
              </w:rPr>
            </w:pPr>
            <w:r>
              <w:rPr>
                <w:rFonts w:hint="eastAsia" w:ascii="宋体" w:hAnsi="宋体"/>
                <w:sz w:val="18"/>
                <w:szCs w:val="18"/>
              </w:rPr>
              <w:t>分析目标受众</w:t>
            </w:r>
          </w:p>
          <w:p w14:paraId="3847E2F9">
            <w:pPr>
              <w:rPr>
                <w:rFonts w:hint="eastAsia" w:ascii="宋体" w:hAnsi="宋体"/>
                <w:sz w:val="18"/>
                <w:szCs w:val="18"/>
              </w:rPr>
            </w:pPr>
            <w:r>
              <w:rPr>
                <w:rFonts w:hint="eastAsia" w:ascii="宋体" w:hAnsi="宋体"/>
                <w:sz w:val="18"/>
                <w:szCs w:val="18"/>
              </w:rPr>
              <w:t>进行市场调研</w:t>
            </w:r>
          </w:p>
          <w:p w14:paraId="3B18870B">
            <w:pPr>
              <w:rPr>
                <w:rFonts w:hint="eastAsia" w:ascii="宋体" w:hAnsi="宋体"/>
                <w:sz w:val="18"/>
                <w:szCs w:val="18"/>
              </w:rPr>
            </w:pPr>
            <w:r>
              <w:rPr>
                <w:rFonts w:hint="eastAsia" w:ascii="宋体" w:hAnsi="宋体"/>
                <w:sz w:val="18"/>
                <w:szCs w:val="18"/>
              </w:rPr>
              <w:t>热门话题挑战</w:t>
            </w:r>
          </w:p>
          <w:p w14:paraId="27A4DDE8">
            <w:pPr>
              <w:rPr>
                <w:rFonts w:hint="eastAsia" w:ascii="宋体" w:hAnsi="宋体"/>
                <w:sz w:val="18"/>
                <w:szCs w:val="18"/>
              </w:rPr>
            </w:pPr>
            <w:r>
              <w:rPr>
                <w:rFonts w:hint="eastAsia" w:ascii="宋体" w:hAnsi="宋体"/>
                <w:sz w:val="18"/>
                <w:szCs w:val="18"/>
              </w:rPr>
              <w:t>直播带货：利用抖音的直播功能，进行产品展示和销售。</w:t>
            </w:r>
          </w:p>
          <w:p w14:paraId="360F9A5F">
            <w:pPr>
              <w:rPr>
                <w:rFonts w:hint="eastAsia" w:ascii="宋体" w:hAnsi="宋体"/>
                <w:sz w:val="18"/>
                <w:szCs w:val="18"/>
              </w:rPr>
            </w:pPr>
            <w:r>
              <w:rPr>
                <w:rFonts w:hint="eastAsia" w:ascii="宋体" w:hAnsi="宋体"/>
                <w:sz w:val="18"/>
                <w:szCs w:val="18"/>
              </w:rPr>
              <w:t>抖音广告，根据自己的营销需求，选择合适的抖音广告形式，进行投放</w:t>
            </w:r>
          </w:p>
          <w:p w14:paraId="5F89FB31">
            <w:pPr>
              <w:rPr>
                <w:rFonts w:hint="eastAsia" w:ascii="宋体" w:hAnsi="宋体"/>
                <w:sz w:val="18"/>
                <w:szCs w:val="18"/>
              </w:rPr>
            </w:pPr>
            <w:r>
              <w:rPr>
                <w:rFonts w:hint="eastAsia" w:ascii="宋体" w:hAnsi="宋体"/>
                <w:sz w:val="18"/>
                <w:szCs w:val="18"/>
              </w:rPr>
              <w:t>抖音账号运营</w:t>
            </w:r>
          </w:p>
          <w:p w14:paraId="36D4167E">
            <w:pPr>
              <w:rPr>
                <w:rFonts w:hint="eastAsia" w:ascii="宋体" w:hAnsi="宋体"/>
                <w:sz w:val="18"/>
                <w:szCs w:val="18"/>
              </w:rPr>
            </w:pPr>
            <w:r>
              <w:rPr>
                <w:rFonts w:hint="eastAsia" w:ascii="宋体" w:hAnsi="宋体"/>
                <w:sz w:val="18"/>
                <w:szCs w:val="18"/>
              </w:rPr>
              <w:t>抖音视频制作、营销方案策划、数据分析与应用</w:t>
            </w:r>
          </w:p>
          <w:p w14:paraId="16BFDFB8">
            <w:pPr>
              <w:rPr>
                <w:rFonts w:hint="eastAsia" w:ascii="宋体" w:hAnsi="宋体"/>
                <w:sz w:val="18"/>
                <w:szCs w:val="18"/>
              </w:rPr>
            </w:pPr>
            <w:r>
              <w:rPr>
                <w:rFonts w:hint="eastAsia" w:ascii="宋体" w:hAnsi="宋体"/>
                <w:sz w:val="18"/>
                <w:szCs w:val="18"/>
              </w:rPr>
              <w:t>2.要求</w:t>
            </w:r>
          </w:p>
          <w:p w14:paraId="46314B0B">
            <w:pPr>
              <w:rPr>
                <w:rFonts w:hint="eastAsia" w:ascii="宋体" w:hAnsi="宋体"/>
                <w:sz w:val="18"/>
                <w:szCs w:val="18"/>
                <w:highlight w:val="yellow"/>
              </w:rPr>
            </w:pPr>
            <w:r>
              <w:rPr>
                <w:rFonts w:hint="eastAsia" w:ascii="宋体" w:hAnsi="宋体"/>
                <w:sz w:val="18"/>
                <w:szCs w:val="18"/>
              </w:rPr>
              <w:t>对课程的知识、技能掌握全面、准确，能够灵活运用所学知识分析和解决实际问题。在实训操作方面表现出色，步骤准确、完整，思路清晰，逻辑严密，将所学知识应用到实际中，提高学生的实践能力和创业能力，提高学生的分析和解决问题的能力。</w:t>
            </w:r>
          </w:p>
        </w:tc>
      </w:tr>
      <w:tr w14:paraId="6202A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3397422">
            <w:pPr>
              <w:jc w:val="center"/>
              <w:rPr>
                <w:rFonts w:hint="default" w:ascii="宋体" w:hAnsi="宋体" w:eastAsia="宋体"/>
                <w:sz w:val="18"/>
                <w:szCs w:val="18"/>
                <w:lang w:val="en-US" w:eastAsia="zh-CN"/>
              </w:rPr>
            </w:pPr>
            <w:r>
              <w:rPr>
                <w:rFonts w:hint="eastAsia" w:ascii="宋体" w:hAnsi="宋体"/>
                <w:sz w:val="18"/>
                <w:szCs w:val="18"/>
                <w:lang w:val="en-US" w:eastAsia="zh-CN"/>
              </w:rPr>
              <w:t>32</w:t>
            </w:r>
          </w:p>
        </w:tc>
        <w:tc>
          <w:tcPr>
            <w:tcW w:w="709" w:type="dxa"/>
            <w:vMerge w:val="continue"/>
            <w:tcBorders>
              <w:left w:val="single" w:color="auto" w:sz="4" w:space="0"/>
              <w:right w:val="single" w:color="auto" w:sz="4" w:space="0"/>
            </w:tcBorders>
            <w:vAlign w:val="center"/>
          </w:tcPr>
          <w:p w14:paraId="0E01842C">
            <w:pPr>
              <w:jc w:val="center"/>
              <w:rPr>
                <w:rFonts w:hint="eastAsia" w:ascii="宋体" w:hAnsi="宋体"/>
                <w:color w:val="000000"/>
                <w:sz w:val="18"/>
                <w:szCs w:val="18"/>
              </w:rPr>
            </w:pPr>
          </w:p>
        </w:tc>
        <w:tc>
          <w:tcPr>
            <w:tcW w:w="919" w:type="dxa"/>
            <w:tcBorders>
              <w:top w:val="single" w:color="auto" w:sz="4" w:space="0"/>
              <w:left w:val="single" w:color="auto" w:sz="4" w:space="0"/>
              <w:bottom w:val="single" w:color="auto" w:sz="4" w:space="0"/>
              <w:right w:val="single" w:color="auto" w:sz="4" w:space="0"/>
            </w:tcBorders>
          </w:tcPr>
          <w:p w14:paraId="627D53BC">
            <w:pPr>
              <w:rPr>
                <w:rFonts w:hint="eastAsia" w:ascii="Times New Roman" w:hAnsi="Times New Roman"/>
                <w:color w:val="000000"/>
                <w:spacing w:val="-20"/>
                <w:sz w:val="18"/>
                <w:szCs w:val="18"/>
              </w:rPr>
            </w:pPr>
          </w:p>
          <w:p w14:paraId="4D9A5715">
            <w:pPr>
              <w:rPr>
                <w:rFonts w:hint="eastAsia" w:ascii="Times New Roman" w:hAnsi="Times New Roman"/>
                <w:color w:val="000000"/>
                <w:spacing w:val="-20"/>
                <w:sz w:val="18"/>
                <w:szCs w:val="18"/>
              </w:rPr>
            </w:pPr>
          </w:p>
          <w:p w14:paraId="0E4C3102">
            <w:pPr>
              <w:rPr>
                <w:rFonts w:hint="eastAsia" w:ascii="Times New Roman" w:hAnsi="Times New Roman"/>
                <w:color w:val="000000"/>
                <w:spacing w:val="-20"/>
                <w:sz w:val="18"/>
                <w:szCs w:val="18"/>
              </w:rPr>
            </w:pPr>
          </w:p>
          <w:p w14:paraId="5759C129">
            <w:pPr>
              <w:rPr>
                <w:rFonts w:hint="eastAsia" w:ascii="Times New Roman" w:hAnsi="Times New Roman"/>
                <w:color w:val="000000"/>
                <w:spacing w:val="-20"/>
                <w:sz w:val="18"/>
                <w:szCs w:val="18"/>
              </w:rPr>
            </w:pPr>
          </w:p>
          <w:p w14:paraId="3024E0E5">
            <w:pPr>
              <w:rPr>
                <w:rFonts w:hint="eastAsia" w:ascii="Times New Roman" w:hAnsi="Times New Roman"/>
                <w:color w:val="000000"/>
                <w:spacing w:val="-20"/>
                <w:sz w:val="18"/>
                <w:szCs w:val="18"/>
              </w:rPr>
            </w:pPr>
          </w:p>
          <w:p w14:paraId="217556F4">
            <w:pPr>
              <w:rPr>
                <w:rFonts w:hint="eastAsia" w:ascii="宋体" w:hAnsi="宋体"/>
                <w:sz w:val="18"/>
                <w:szCs w:val="18"/>
              </w:rPr>
            </w:pPr>
            <w:r>
              <w:rPr>
                <w:rFonts w:hint="eastAsia" w:ascii="Times New Roman" w:hAnsi="Times New Roman"/>
                <w:color w:val="000000"/>
                <w:spacing w:val="-20"/>
                <w:sz w:val="18"/>
                <w:szCs w:val="18"/>
              </w:rPr>
              <w:t>电子商务物流</w:t>
            </w:r>
            <w:r>
              <w:rPr>
                <w:rFonts w:hint="eastAsia" w:ascii="宋体" w:hAnsi="宋体"/>
                <w:sz w:val="18"/>
                <w:szCs w:val="18"/>
              </w:rPr>
              <w:t>★</w:t>
            </w:r>
          </w:p>
        </w:tc>
        <w:tc>
          <w:tcPr>
            <w:tcW w:w="2415" w:type="dxa"/>
            <w:tcBorders>
              <w:top w:val="single" w:color="auto" w:sz="4" w:space="0"/>
              <w:left w:val="single" w:color="auto" w:sz="4" w:space="0"/>
              <w:bottom w:val="single" w:color="auto" w:sz="4" w:space="0"/>
              <w:right w:val="single" w:color="auto" w:sz="4" w:space="0"/>
            </w:tcBorders>
          </w:tcPr>
          <w:p w14:paraId="55A60241">
            <w:pPr>
              <w:rPr>
                <w:rFonts w:hint="eastAsia" w:ascii="宋体" w:hAnsi="宋体"/>
                <w:sz w:val="18"/>
                <w:szCs w:val="18"/>
              </w:rPr>
            </w:pPr>
            <w:bookmarkStart w:id="40" w:name="OLE_LINK18"/>
            <w:r>
              <w:rPr>
                <w:rFonts w:hint="eastAsia" w:ascii="宋体" w:hAnsi="宋体"/>
                <w:sz w:val="18"/>
                <w:szCs w:val="18"/>
              </w:rPr>
              <w:t>（1）</w:t>
            </w:r>
            <w:bookmarkEnd w:id="40"/>
            <w:r>
              <w:rPr>
                <w:rFonts w:hint="eastAsia" w:ascii="宋体" w:hAnsi="宋体"/>
                <w:sz w:val="18"/>
                <w:szCs w:val="18"/>
              </w:rPr>
              <w:t>了解电子商务与物流的基本概念、关系以及发展历程；</w:t>
            </w:r>
          </w:p>
          <w:p w14:paraId="07908277">
            <w:pPr>
              <w:rPr>
                <w:rFonts w:hint="eastAsia" w:ascii="宋体" w:hAnsi="宋体"/>
                <w:sz w:val="18"/>
                <w:szCs w:val="18"/>
              </w:rPr>
            </w:pPr>
            <w:bookmarkStart w:id="41" w:name="OLE_LINK15"/>
            <w:r>
              <w:rPr>
                <w:rFonts w:hint="eastAsia" w:ascii="宋体" w:hAnsi="宋体"/>
                <w:sz w:val="18"/>
                <w:szCs w:val="18"/>
              </w:rPr>
              <w:t>（2）</w:t>
            </w:r>
            <w:bookmarkEnd w:id="41"/>
            <w:r>
              <w:rPr>
                <w:rFonts w:hint="eastAsia" w:ascii="宋体" w:hAnsi="宋体"/>
                <w:sz w:val="18"/>
                <w:szCs w:val="18"/>
              </w:rPr>
              <w:t>掌握电子商务物流的特点和重要性。</w:t>
            </w:r>
          </w:p>
          <w:p w14:paraId="3B46222B">
            <w:pPr>
              <w:rPr>
                <w:rFonts w:hint="eastAsia" w:ascii="宋体" w:hAnsi="宋体"/>
                <w:sz w:val="18"/>
                <w:szCs w:val="18"/>
              </w:rPr>
            </w:pPr>
            <w:r>
              <w:rPr>
                <w:rFonts w:hint="eastAsia" w:ascii="宋体" w:hAnsi="宋体"/>
                <w:sz w:val="18"/>
                <w:szCs w:val="18"/>
              </w:rPr>
              <w:t>（3）掌握物流系统的构成要素，理解各环节的功能和作用；</w:t>
            </w:r>
          </w:p>
          <w:p w14:paraId="38EDA322">
            <w:pPr>
              <w:rPr>
                <w:rFonts w:hint="eastAsia" w:ascii="宋体" w:hAnsi="宋体"/>
                <w:sz w:val="18"/>
                <w:szCs w:val="18"/>
              </w:rPr>
            </w:pPr>
            <w:bookmarkStart w:id="42" w:name="OLE_LINK16"/>
            <w:r>
              <w:rPr>
                <w:rFonts w:hint="eastAsia" w:ascii="宋体" w:hAnsi="宋体"/>
                <w:sz w:val="18"/>
                <w:szCs w:val="18"/>
              </w:rPr>
              <w:t>（4）</w:t>
            </w:r>
            <w:bookmarkEnd w:id="42"/>
            <w:r>
              <w:rPr>
                <w:rFonts w:hint="eastAsia" w:ascii="宋体" w:hAnsi="宋体"/>
                <w:sz w:val="18"/>
                <w:szCs w:val="18"/>
              </w:rPr>
              <w:t>掌握电子商务物流模式，了解其优缺点和适用场景；</w:t>
            </w:r>
          </w:p>
          <w:p w14:paraId="0CBD4C4D">
            <w:pPr>
              <w:rPr>
                <w:rFonts w:hint="eastAsia" w:ascii="宋体" w:hAnsi="宋体"/>
                <w:sz w:val="18"/>
                <w:szCs w:val="18"/>
              </w:rPr>
            </w:pPr>
            <w:r>
              <w:rPr>
                <w:rFonts w:hint="eastAsia" w:ascii="宋体" w:hAnsi="宋体"/>
                <w:sz w:val="18"/>
                <w:szCs w:val="18"/>
              </w:rPr>
              <w:t>（5）了解物流信息技术在电子商务物流中的应用；</w:t>
            </w:r>
          </w:p>
          <w:p w14:paraId="6B9E50FD">
            <w:pPr>
              <w:rPr>
                <w:rFonts w:hint="eastAsia" w:ascii="宋体" w:hAnsi="宋体"/>
                <w:sz w:val="18"/>
                <w:szCs w:val="18"/>
              </w:rPr>
            </w:pPr>
            <w:r>
              <w:rPr>
                <w:rFonts w:hint="eastAsia" w:ascii="宋体" w:hAnsi="宋体"/>
                <w:sz w:val="18"/>
                <w:szCs w:val="18"/>
              </w:rPr>
              <w:t>（6）了解电子商务物流的法律法规和政策；</w:t>
            </w:r>
          </w:p>
          <w:p w14:paraId="5C8EB13B">
            <w:pPr>
              <w:rPr>
                <w:rFonts w:hint="eastAsia" w:ascii="宋体" w:hAnsi="宋体"/>
                <w:sz w:val="18"/>
                <w:szCs w:val="18"/>
              </w:rPr>
            </w:pPr>
            <w:r>
              <w:rPr>
                <w:rFonts w:hint="eastAsia" w:ascii="宋体" w:hAnsi="宋体"/>
                <w:sz w:val="18"/>
                <w:szCs w:val="18"/>
              </w:rPr>
              <w:t>（7）能够进行物流需求分析和物流方案设计；</w:t>
            </w:r>
          </w:p>
          <w:p w14:paraId="179FB867">
            <w:pPr>
              <w:rPr>
                <w:rFonts w:hint="eastAsia" w:ascii="宋体" w:hAnsi="宋体"/>
                <w:sz w:val="18"/>
                <w:szCs w:val="18"/>
              </w:rPr>
            </w:pPr>
            <w:bookmarkStart w:id="43" w:name="OLE_LINK17"/>
            <w:r>
              <w:rPr>
                <w:rFonts w:hint="eastAsia" w:ascii="宋体" w:hAnsi="宋体"/>
                <w:sz w:val="18"/>
                <w:szCs w:val="18"/>
              </w:rPr>
              <w:t>（8）</w:t>
            </w:r>
            <w:bookmarkEnd w:id="43"/>
            <w:r>
              <w:rPr>
                <w:rFonts w:hint="eastAsia" w:ascii="宋体" w:hAnsi="宋体"/>
                <w:sz w:val="18"/>
                <w:szCs w:val="18"/>
              </w:rPr>
              <w:t>掌握物流成本核算和控制的方法，能够进行成本分析和优化，降低物流成本；</w:t>
            </w:r>
          </w:p>
          <w:p w14:paraId="40D3C693">
            <w:pPr>
              <w:rPr>
                <w:rFonts w:hint="eastAsia" w:ascii="宋体" w:hAnsi="宋体"/>
                <w:sz w:val="18"/>
                <w:szCs w:val="18"/>
              </w:rPr>
            </w:pPr>
            <w:r>
              <w:rPr>
                <w:rFonts w:hint="eastAsia" w:ascii="宋体" w:hAnsi="宋体"/>
                <w:sz w:val="18"/>
                <w:szCs w:val="18"/>
              </w:rPr>
              <w:t>（9）能够对物流运营进行管理，能够组织和协调物流各环节的运作；</w:t>
            </w:r>
          </w:p>
          <w:p w14:paraId="730855B1">
            <w:pPr>
              <w:jc w:val="center"/>
              <w:rPr>
                <w:rFonts w:hint="eastAsia" w:ascii="宋体" w:hAnsi="宋体"/>
                <w:sz w:val="18"/>
                <w:szCs w:val="18"/>
              </w:rPr>
            </w:pPr>
            <w:r>
              <w:rPr>
                <w:rFonts w:hint="eastAsia" w:ascii="宋体" w:hAnsi="宋体"/>
                <w:sz w:val="18"/>
                <w:szCs w:val="18"/>
              </w:rPr>
              <w:t>（10）培养学生的创新意识和创业精神，提高学生的团队协作能力和沟通能力，增强学生的责任心和服务意识</w:t>
            </w:r>
          </w:p>
        </w:tc>
        <w:tc>
          <w:tcPr>
            <w:tcW w:w="2155" w:type="dxa"/>
            <w:tcBorders>
              <w:top w:val="single" w:color="auto" w:sz="4" w:space="0"/>
              <w:left w:val="single" w:color="auto" w:sz="4" w:space="0"/>
              <w:bottom w:val="single" w:color="auto" w:sz="4" w:space="0"/>
              <w:right w:val="single" w:color="auto" w:sz="4" w:space="0"/>
            </w:tcBorders>
          </w:tcPr>
          <w:p w14:paraId="52F7880B">
            <w:pPr>
              <w:rPr>
                <w:rFonts w:hint="eastAsia" w:ascii="宋体" w:hAnsi="宋体"/>
                <w:sz w:val="18"/>
                <w:szCs w:val="18"/>
              </w:rPr>
            </w:pPr>
            <w:r>
              <w:rPr>
                <w:rFonts w:hint="eastAsia" w:ascii="宋体" w:hAnsi="宋体"/>
                <w:sz w:val="18"/>
                <w:szCs w:val="18"/>
              </w:rPr>
              <w:t>1.教学内容</w:t>
            </w:r>
          </w:p>
          <w:p w14:paraId="04E8C6DD">
            <w:pPr>
              <w:pStyle w:val="2"/>
              <w:ind w:firstLine="0" w:firstLineChars="0"/>
              <w:rPr>
                <w:rFonts w:hint="eastAsia" w:ascii="宋体" w:hAnsi="宋体" w:eastAsia="宋体"/>
                <w:sz w:val="18"/>
                <w:szCs w:val="18"/>
                <w:lang w:val="en-US"/>
              </w:rPr>
            </w:pPr>
            <w:bookmarkStart w:id="44" w:name="OLE_LINK19"/>
            <w:r>
              <w:rPr>
                <w:rFonts w:hint="eastAsia" w:ascii="宋体" w:hAnsi="宋体" w:eastAsia="宋体"/>
                <w:sz w:val="18"/>
                <w:szCs w:val="18"/>
              </w:rPr>
              <w:t>（</w:t>
            </w:r>
            <w:r>
              <w:rPr>
                <w:rFonts w:hint="eastAsia" w:ascii="宋体" w:hAnsi="宋体"/>
                <w:sz w:val="18"/>
                <w:szCs w:val="18"/>
              </w:rPr>
              <w:t>1</w:t>
            </w:r>
            <w:r>
              <w:rPr>
                <w:rFonts w:hint="eastAsia" w:ascii="宋体" w:hAnsi="宋体" w:eastAsia="宋体"/>
                <w:sz w:val="18"/>
                <w:szCs w:val="18"/>
              </w:rPr>
              <w:t>）</w:t>
            </w:r>
            <w:bookmarkEnd w:id="44"/>
            <w:r>
              <w:rPr>
                <w:rFonts w:hint="eastAsia" w:ascii="宋体" w:hAnsi="宋体" w:eastAsia="宋体"/>
                <w:sz w:val="18"/>
                <w:szCs w:val="18"/>
                <w:lang w:val="en-US"/>
              </w:rPr>
              <w:t>电子商务的概念、特点与发展历程；</w:t>
            </w:r>
          </w:p>
          <w:p w14:paraId="373ACF26">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w:t>
            </w:r>
            <w:r>
              <w:rPr>
                <w:rFonts w:hint="eastAsia" w:ascii="宋体" w:hAnsi="宋体"/>
                <w:sz w:val="18"/>
                <w:szCs w:val="18"/>
                <w:lang w:val="en-US"/>
              </w:rPr>
              <w:t>2</w:t>
            </w:r>
            <w:r>
              <w:rPr>
                <w:rFonts w:hint="eastAsia" w:ascii="宋体" w:hAnsi="宋体" w:eastAsia="宋体"/>
                <w:sz w:val="18"/>
                <w:szCs w:val="18"/>
                <w:lang w:val="en-US"/>
              </w:rPr>
              <w:t>）物流的概念、功能与作用；</w:t>
            </w:r>
          </w:p>
          <w:p w14:paraId="3F979784">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（3）物流系统的构成要素，包括运输、仓储、配送、包装、装卸搬运等；</w:t>
            </w:r>
          </w:p>
          <w:p w14:paraId="6489B715">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（4）物流的分类，如供应物流、生产物流、销售物流等；</w:t>
            </w:r>
          </w:p>
          <w:p w14:paraId="579C2AB8">
            <w:pPr>
              <w:pStyle w:val="2"/>
              <w:ind w:firstLine="0" w:firstLineChars="0"/>
              <w:rPr>
                <w:rFonts w:hint="eastAsia" w:ascii="宋体" w:hAnsi="宋体" w:eastAsia="宋体"/>
                <w:sz w:val="18"/>
                <w:szCs w:val="18"/>
                <w:lang w:val="en-US"/>
              </w:rPr>
            </w:pPr>
            <w:bookmarkStart w:id="45" w:name="OLE_LINK20"/>
            <w:r>
              <w:rPr>
                <w:rFonts w:hint="eastAsia" w:ascii="宋体" w:hAnsi="宋体" w:eastAsia="宋体"/>
                <w:sz w:val="18"/>
                <w:szCs w:val="18"/>
                <w:lang w:val="en-US"/>
              </w:rPr>
              <w:t>（5）</w:t>
            </w:r>
            <w:bookmarkEnd w:id="45"/>
            <w:r>
              <w:rPr>
                <w:rFonts w:hint="eastAsia" w:ascii="宋体" w:hAnsi="宋体" w:eastAsia="宋体"/>
                <w:sz w:val="18"/>
                <w:szCs w:val="18"/>
                <w:lang w:val="en-US"/>
              </w:rPr>
              <w:t>电商与物流的关系；</w:t>
            </w:r>
          </w:p>
          <w:p w14:paraId="7FCBCDC5">
            <w:pPr>
              <w:pStyle w:val="2"/>
              <w:ind w:firstLine="0" w:firstLineChars="0"/>
              <w:rPr>
                <w:rFonts w:hint="eastAsia" w:ascii="宋体" w:hAnsi="宋体" w:eastAsia="宋体"/>
                <w:sz w:val="18"/>
                <w:szCs w:val="18"/>
                <w:lang w:val="en-US"/>
              </w:rPr>
            </w:pPr>
            <w:bookmarkStart w:id="46" w:name="OLE_LINK21"/>
            <w:r>
              <w:rPr>
                <w:rFonts w:hint="eastAsia" w:ascii="宋体" w:hAnsi="宋体" w:eastAsia="宋体"/>
                <w:sz w:val="18"/>
                <w:szCs w:val="18"/>
                <w:lang w:val="en-US"/>
              </w:rPr>
              <w:t>（6）</w:t>
            </w:r>
            <w:bookmarkEnd w:id="46"/>
            <w:r>
              <w:rPr>
                <w:rFonts w:hint="eastAsia" w:ascii="宋体" w:hAnsi="宋体" w:eastAsia="宋体"/>
                <w:sz w:val="18"/>
                <w:szCs w:val="18"/>
                <w:lang w:val="en-US"/>
              </w:rPr>
              <w:t>电子商务物流模式；</w:t>
            </w:r>
          </w:p>
          <w:p w14:paraId="564629D9">
            <w:pPr>
              <w:pStyle w:val="2"/>
              <w:ind w:firstLine="0" w:firstLineChars="0"/>
              <w:rPr>
                <w:rFonts w:hint="eastAsia" w:ascii="宋体" w:hAnsi="宋体" w:eastAsia="宋体"/>
                <w:sz w:val="18"/>
                <w:szCs w:val="18"/>
                <w:lang w:val="en-US"/>
              </w:rPr>
            </w:pPr>
            <w:bookmarkStart w:id="47" w:name="OLE_LINK22"/>
            <w:r>
              <w:rPr>
                <w:rFonts w:hint="eastAsia" w:ascii="宋体" w:hAnsi="宋体" w:eastAsia="宋体"/>
                <w:sz w:val="18"/>
                <w:szCs w:val="18"/>
                <w:lang w:val="en-US"/>
              </w:rPr>
              <w:t>（7）</w:t>
            </w:r>
            <w:bookmarkEnd w:id="47"/>
            <w:r>
              <w:rPr>
                <w:rFonts w:hint="eastAsia" w:ascii="宋体" w:hAnsi="宋体" w:eastAsia="宋体"/>
                <w:sz w:val="18"/>
                <w:szCs w:val="18"/>
                <w:lang w:val="en-US"/>
              </w:rPr>
              <w:t>电子商务物流技术与信息系统；</w:t>
            </w:r>
          </w:p>
          <w:p w14:paraId="79253DD1">
            <w:pPr>
              <w:pStyle w:val="2"/>
              <w:ind w:firstLine="0" w:firstLineChars="0"/>
              <w:rPr>
                <w:rFonts w:hint="eastAsia" w:ascii="宋体" w:hAnsi="宋体" w:eastAsia="宋体"/>
                <w:sz w:val="18"/>
                <w:szCs w:val="18"/>
                <w:lang w:val="en-US"/>
              </w:rPr>
            </w:pPr>
            <w:bookmarkStart w:id="48" w:name="OLE_LINK23"/>
            <w:r>
              <w:rPr>
                <w:rFonts w:hint="eastAsia" w:ascii="宋体" w:hAnsi="宋体" w:eastAsia="宋体"/>
                <w:sz w:val="18"/>
                <w:szCs w:val="18"/>
                <w:lang w:val="en-US"/>
              </w:rPr>
              <w:t>（8）</w:t>
            </w:r>
            <w:bookmarkEnd w:id="48"/>
            <w:r>
              <w:rPr>
                <w:rFonts w:hint="eastAsia" w:ascii="宋体" w:hAnsi="宋体" w:eastAsia="宋体"/>
                <w:sz w:val="18"/>
                <w:szCs w:val="18"/>
                <w:lang w:val="en-US"/>
              </w:rPr>
              <w:t>电子商务物流运作管理</w:t>
            </w:r>
          </w:p>
          <w:p w14:paraId="113F6377">
            <w:pPr>
              <w:pStyle w:val="2"/>
              <w:ind w:firstLine="0" w:firstLineChars="0"/>
              <w:rPr>
                <w:rFonts w:hint="eastAsia" w:ascii="宋体" w:hAnsi="宋体" w:eastAsia="宋体"/>
                <w:sz w:val="18"/>
                <w:szCs w:val="18"/>
                <w:lang w:val="en-US"/>
              </w:rPr>
            </w:pPr>
            <w:r>
              <w:rPr>
                <w:rFonts w:hint="eastAsia" w:ascii="宋体" w:hAnsi="宋体" w:eastAsia="宋体"/>
                <w:sz w:val="18"/>
                <w:szCs w:val="18"/>
                <w:lang w:val="en-US"/>
              </w:rPr>
              <w:t>（9）</w:t>
            </w:r>
            <w:bookmarkStart w:id="49" w:name="OLE_LINK24"/>
            <w:r>
              <w:rPr>
                <w:rFonts w:hint="eastAsia" w:ascii="宋体" w:hAnsi="宋体" w:eastAsia="宋体"/>
                <w:sz w:val="18"/>
                <w:szCs w:val="18"/>
                <w:lang w:val="en-US"/>
              </w:rPr>
              <w:t>电子商务物流发展趋势与创新</w:t>
            </w:r>
            <w:bookmarkEnd w:id="49"/>
          </w:p>
          <w:p w14:paraId="2DFAC027">
            <w:pPr>
              <w:pStyle w:val="2"/>
              <w:ind w:firstLine="0" w:firstLineChars="0"/>
              <w:rPr>
                <w:rFonts w:hint="eastAsia" w:ascii="宋体" w:hAnsi="宋体" w:eastAsia="宋体" w:cs="Times New Roman"/>
                <w:sz w:val="18"/>
                <w:szCs w:val="18"/>
                <w:lang w:val="en-US"/>
              </w:rPr>
            </w:pPr>
            <w:r>
              <w:rPr>
                <w:rFonts w:hint="eastAsia" w:ascii="宋体" w:hAnsi="宋体" w:eastAsia="宋体" w:cs="Times New Roman"/>
                <w:sz w:val="18"/>
                <w:szCs w:val="18"/>
                <w:lang w:val="en-US"/>
              </w:rPr>
              <w:t>2.教学要求</w:t>
            </w:r>
          </w:p>
          <w:p w14:paraId="5C5C0EEF">
            <w:pPr>
              <w:rPr>
                <w:rFonts w:hint="eastAsia" w:ascii="宋体" w:hAnsi="宋体"/>
                <w:sz w:val="18"/>
                <w:szCs w:val="18"/>
              </w:rPr>
            </w:pPr>
            <w:bookmarkStart w:id="50" w:name="OLE_LINK33"/>
            <w:r>
              <w:rPr>
                <w:rFonts w:hint="eastAsia" w:ascii="宋体" w:hAnsi="宋体"/>
                <w:sz w:val="18"/>
                <w:szCs w:val="18"/>
              </w:rPr>
              <w:t>完成课程的知识、技能与素质目标，学生掌握电商物流的概念与理论，掌握物流构成、模式、系统、技术，以及电商物流运营管理的策略与方法、电子商务物流发展趋势与创新，培养学生分析问题、决策制定、沟通表达及实践操作能力</w:t>
            </w:r>
            <w:bookmarkEnd w:id="50"/>
          </w:p>
        </w:tc>
        <w:tc>
          <w:tcPr>
            <w:tcW w:w="2801" w:type="dxa"/>
            <w:tcBorders>
              <w:top w:val="single" w:color="auto" w:sz="4" w:space="0"/>
              <w:left w:val="single" w:color="auto" w:sz="4" w:space="0"/>
              <w:bottom w:val="single" w:color="auto" w:sz="4" w:space="0"/>
              <w:right w:val="single" w:color="auto" w:sz="4" w:space="0"/>
            </w:tcBorders>
          </w:tcPr>
          <w:p w14:paraId="18E9E5AD">
            <w:pPr>
              <w:rPr>
                <w:rFonts w:hint="eastAsia" w:ascii="宋体" w:hAnsi="宋体"/>
                <w:sz w:val="18"/>
                <w:szCs w:val="18"/>
              </w:rPr>
            </w:pPr>
            <w:r>
              <w:rPr>
                <w:rFonts w:hint="eastAsia" w:ascii="宋体" w:hAnsi="宋体"/>
                <w:sz w:val="18"/>
                <w:szCs w:val="18"/>
              </w:rPr>
              <w:t>1.技能考核项目</w:t>
            </w:r>
          </w:p>
          <w:p w14:paraId="39A95C89">
            <w:pPr>
              <w:rPr>
                <w:rFonts w:hint="eastAsia" w:ascii="宋体" w:hAnsi="宋体"/>
                <w:sz w:val="18"/>
                <w:szCs w:val="18"/>
              </w:rPr>
            </w:pPr>
            <w:r>
              <w:rPr>
                <w:rFonts w:hint="eastAsia" w:ascii="宋体" w:hAnsi="宋体"/>
                <w:sz w:val="18"/>
                <w:szCs w:val="18"/>
              </w:rPr>
              <w:t>物流设计方案</w:t>
            </w:r>
          </w:p>
          <w:p w14:paraId="059242E5">
            <w:pPr>
              <w:rPr>
                <w:rFonts w:hint="eastAsia" w:ascii="宋体" w:hAnsi="宋体"/>
                <w:sz w:val="18"/>
                <w:szCs w:val="18"/>
              </w:rPr>
            </w:pPr>
            <w:r>
              <w:rPr>
                <w:rFonts w:hint="eastAsia" w:ascii="宋体" w:hAnsi="宋体"/>
                <w:sz w:val="18"/>
                <w:szCs w:val="18"/>
              </w:rPr>
              <w:t>物流信息系统操作</w:t>
            </w:r>
          </w:p>
          <w:p w14:paraId="516AAB3D">
            <w:pPr>
              <w:rPr>
                <w:rFonts w:hint="eastAsia" w:ascii="宋体" w:hAnsi="宋体"/>
                <w:sz w:val="18"/>
                <w:szCs w:val="18"/>
              </w:rPr>
            </w:pPr>
            <w:r>
              <w:rPr>
                <w:rFonts w:hint="eastAsia" w:ascii="宋体" w:hAnsi="宋体"/>
                <w:sz w:val="18"/>
                <w:szCs w:val="18"/>
              </w:rPr>
              <w:t>物流成本核算与分析</w:t>
            </w:r>
          </w:p>
          <w:p w14:paraId="0EE49B9D">
            <w:pPr>
              <w:rPr>
                <w:rFonts w:hint="eastAsia" w:ascii="宋体" w:hAnsi="宋体"/>
                <w:sz w:val="18"/>
                <w:szCs w:val="18"/>
              </w:rPr>
            </w:pPr>
            <w:r>
              <w:rPr>
                <w:rFonts w:hint="eastAsia" w:ascii="宋体" w:hAnsi="宋体"/>
                <w:sz w:val="18"/>
                <w:szCs w:val="18"/>
              </w:rPr>
              <w:t>物流配送作业模拟</w:t>
            </w:r>
          </w:p>
          <w:p w14:paraId="2E17BCC3">
            <w:pPr>
              <w:rPr>
                <w:rFonts w:hint="eastAsia" w:ascii="宋体" w:hAnsi="宋体"/>
                <w:sz w:val="18"/>
                <w:szCs w:val="18"/>
              </w:rPr>
            </w:pPr>
            <w:r>
              <w:rPr>
                <w:rFonts w:hint="eastAsia" w:ascii="宋体" w:hAnsi="宋体"/>
                <w:sz w:val="18"/>
                <w:szCs w:val="18"/>
              </w:rPr>
              <w:t>物流问题解决与决策</w:t>
            </w:r>
          </w:p>
          <w:p w14:paraId="37B841B9">
            <w:pPr>
              <w:rPr>
                <w:rFonts w:hint="eastAsia" w:ascii="宋体" w:hAnsi="宋体"/>
                <w:sz w:val="18"/>
                <w:szCs w:val="18"/>
              </w:rPr>
            </w:pPr>
            <w:r>
              <w:rPr>
                <w:rFonts w:hint="eastAsia" w:ascii="宋体" w:hAnsi="宋体"/>
                <w:sz w:val="18"/>
                <w:szCs w:val="18"/>
              </w:rPr>
              <w:t>物流项目管理</w:t>
            </w:r>
          </w:p>
          <w:p w14:paraId="29D8F4DC">
            <w:pPr>
              <w:rPr>
                <w:rFonts w:hint="eastAsia" w:ascii="宋体" w:hAnsi="宋体"/>
                <w:sz w:val="18"/>
                <w:szCs w:val="18"/>
              </w:rPr>
            </w:pPr>
            <w:r>
              <w:rPr>
                <w:rFonts w:hint="eastAsia" w:ascii="宋体" w:hAnsi="宋体"/>
                <w:sz w:val="18"/>
                <w:szCs w:val="18"/>
              </w:rPr>
              <w:t>2.要求</w:t>
            </w:r>
          </w:p>
          <w:p w14:paraId="3DF9267E">
            <w:pPr>
              <w:rPr>
                <w:rFonts w:hint="eastAsia" w:ascii="宋体" w:hAnsi="宋体"/>
                <w:sz w:val="18"/>
                <w:szCs w:val="18"/>
              </w:rPr>
            </w:pPr>
            <w:r>
              <w:rPr>
                <w:rFonts w:hint="eastAsia" w:ascii="宋体" w:hAnsi="宋体"/>
                <w:sz w:val="18"/>
                <w:szCs w:val="18"/>
              </w:rPr>
              <w:t>对电子商务物流的知识掌握全面、准确，能够灵活运用所学知识分析和解决实际问题。在实训操作方面表现出色，步骤准确、完整，思路清晰，逻辑严密。</w:t>
            </w:r>
          </w:p>
        </w:tc>
      </w:tr>
    </w:tbl>
    <w:p w14:paraId="395074FE">
      <w:pPr>
        <w:keepNext/>
        <w:keepLines/>
        <w:spacing w:line="500" w:lineRule="exact"/>
        <w:ind w:firstLine="562" w:firstLineChars="200"/>
        <w:outlineLvl w:val="1"/>
        <w:rPr>
          <w:rFonts w:ascii="Arial" w:hAnsi="Arial" w:eastAsia="黑体"/>
          <w:b/>
          <w:bCs/>
          <w:sz w:val="28"/>
          <w:szCs w:val="28"/>
        </w:rPr>
      </w:pPr>
      <w:r>
        <w:rPr>
          <w:rFonts w:hint="eastAsia" w:ascii="Arial" w:hAnsi="Arial" w:eastAsia="黑体"/>
          <w:b/>
          <w:bCs/>
          <w:sz w:val="28"/>
          <w:szCs w:val="28"/>
        </w:rPr>
        <w:t>（三）实践教学体系设计</w:t>
      </w:r>
    </w:p>
    <w:p w14:paraId="5A6DDF71">
      <w:pPr>
        <w:pStyle w:val="4"/>
        <w:ind w:firstLine="711" w:firstLineChars="295"/>
        <w:rPr>
          <w:rFonts w:hint="eastAsia"/>
        </w:rPr>
      </w:pPr>
      <w:r>
        <w:rPr>
          <w:rFonts w:hint="eastAsia"/>
        </w:rPr>
        <w:t>1.内容架构</w:t>
      </w:r>
    </w:p>
    <w:p w14:paraId="2D020F8E">
      <w:pPr>
        <w:ind w:firstLine="480" w:firstLineChars="200"/>
        <w:rPr>
          <w:rFonts w:hint="eastAsia" w:ascii="宋体" w:hAnsi="宋体"/>
          <w:sz w:val="24"/>
          <w:szCs w:val="24"/>
        </w:rPr>
      </w:pPr>
      <w:r>
        <w:rPr>
          <w:rFonts w:hint="eastAsia" w:ascii="宋体" w:hAnsi="宋体"/>
          <w:sz w:val="24"/>
          <w:szCs w:val="24"/>
        </w:rPr>
        <w:t>实践教学体系分为</w:t>
      </w:r>
      <w:bookmarkStart w:id="51" w:name="_Hlk42678476"/>
      <w:r>
        <w:rPr>
          <w:rFonts w:hint="eastAsia" w:ascii="宋体" w:hAnsi="宋体"/>
          <w:sz w:val="24"/>
          <w:szCs w:val="24"/>
        </w:rPr>
        <w:t>专业（群）基本技能模块</w:t>
      </w:r>
      <w:bookmarkEnd w:id="51"/>
      <w:r>
        <w:rPr>
          <w:rFonts w:hint="eastAsia" w:ascii="宋体" w:hAnsi="宋体"/>
          <w:sz w:val="24"/>
          <w:szCs w:val="24"/>
        </w:rPr>
        <w:t>、</w:t>
      </w:r>
      <w:bookmarkStart w:id="52" w:name="_Hlk42678583"/>
      <w:r>
        <w:rPr>
          <w:rFonts w:hint="eastAsia" w:ascii="宋体" w:hAnsi="宋体"/>
          <w:sz w:val="24"/>
          <w:szCs w:val="24"/>
        </w:rPr>
        <w:t>专业提升技能</w:t>
      </w:r>
      <w:bookmarkEnd w:id="52"/>
      <w:r>
        <w:rPr>
          <w:rFonts w:hint="eastAsia" w:ascii="宋体" w:hAnsi="宋体"/>
          <w:sz w:val="24"/>
          <w:szCs w:val="24"/>
        </w:rPr>
        <w:t>模块、</w:t>
      </w:r>
      <w:bookmarkStart w:id="53" w:name="_Hlk42678612"/>
      <w:r>
        <w:rPr>
          <w:rFonts w:hint="eastAsia" w:ascii="宋体" w:hAnsi="宋体"/>
          <w:sz w:val="24"/>
          <w:szCs w:val="24"/>
        </w:rPr>
        <w:t>专业综合实践能力</w:t>
      </w:r>
      <w:bookmarkEnd w:id="53"/>
      <w:r>
        <w:rPr>
          <w:rFonts w:hint="eastAsia" w:ascii="宋体" w:hAnsi="宋体"/>
          <w:sz w:val="24"/>
          <w:szCs w:val="24"/>
        </w:rPr>
        <w:t>模块等。</w:t>
      </w:r>
    </w:p>
    <w:p w14:paraId="1FFD795C">
      <w:pPr>
        <w:widowControl/>
        <w:spacing w:line="360" w:lineRule="auto"/>
        <w:ind w:firstLine="420" w:firstLineChars="200"/>
        <w:jc w:val="center"/>
        <w:rPr>
          <w:rFonts w:hint="eastAsia" w:ascii="宋体" w:hAnsi="宋体"/>
          <w:szCs w:val="21"/>
        </w:rPr>
      </w:pPr>
      <w:r>
        <w:rPr>
          <w:rFonts w:ascii="宋体" w:hAnsi="宋体"/>
          <w:szCs w:val="21"/>
        </w:rPr>
        <mc:AlternateContent>
          <mc:Choice Requires="wpg">
            <w:drawing>
              <wp:inline distT="0" distB="0" distL="0" distR="0">
                <wp:extent cx="4602480" cy="3460750"/>
                <wp:effectExtent l="6350" t="6350" r="20320" b="19050"/>
                <wp:docPr id="1883012056" name="组合 15"/>
                <wp:cNvGraphicFramePr/>
                <a:graphic xmlns:a="http://schemas.openxmlformats.org/drawingml/2006/main">
                  <a:graphicData uri="http://schemas.microsoft.com/office/word/2010/wordprocessingGroup">
                    <wpg:wgp>
                      <wpg:cNvGrpSpPr/>
                      <wpg:grpSpPr>
                        <a:xfrm>
                          <a:off x="0" y="0"/>
                          <a:ext cx="4602480" cy="3460750"/>
                          <a:chOff x="0" y="0"/>
                          <a:chExt cx="3724275" cy="3181350"/>
                        </a:xfrm>
                      </wpg:grpSpPr>
                      <wps:wsp>
                        <wps:cNvPr id="1766448112" name="圆角矩形 1"/>
                        <wps:cNvSpPr/>
                        <wps:spPr>
                          <a:xfrm>
                            <a:off x="0" y="1285875"/>
                            <a:ext cx="923925" cy="533400"/>
                          </a:xfrm>
                          <a:prstGeom prst="roundRect">
                            <a:avLst>
                              <a:gd name="adj" fmla="val 16667"/>
                            </a:avLst>
                          </a:prstGeom>
                          <a:solidFill>
                            <a:srgbClr val="FFFFFF"/>
                          </a:solidFill>
                          <a:ln w="12700" cap="flat" cmpd="sng">
                            <a:solidFill>
                              <a:srgbClr val="000001"/>
                            </a:solidFill>
                            <a:prstDash val="solid"/>
                            <a:miter/>
                            <a:headEnd type="none" w="med" len="med"/>
                            <a:tailEnd type="none" w="med" len="med"/>
                          </a:ln>
                        </wps:spPr>
                        <wps:txbx>
                          <w:txbxContent>
                            <w:p w14:paraId="04AE67DF">
                              <w:pPr>
                                <w:jc w:val="center"/>
                                <w:rPr>
                                  <w:sz w:val="24"/>
                                  <w:szCs w:val="24"/>
                                </w:rPr>
                              </w:pPr>
                              <w:r>
                                <w:rPr>
                                  <w:rFonts w:hint="eastAsia" w:ascii="宋体" w:hAnsi="宋体"/>
                                  <w:sz w:val="24"/>
                                  <w:szCs w:val="24"/>
                                </w:rPr>
                                <w:t>专业提升技能模块</w:t>
                              </w:r>
                            </w:p>
                          </w:txbxContent>
                        </wps:txbx>
                        <wps:bodyPr anchor="ctr" upright="1"/>
                      </wps:wsp>
                      <wps:wsp>
                        <wps:cNvPr id="1819151430" name="圆角矩形 2"/>
                        <wps:cNvSpPr/>
                        <wps:spPr>
                          <a:xfrm>
                            <a:off x="0" y="85725"/>
                            <a:ext cx="1009650" cy="533400"/>
                          </a:xfrm>
                          <a:prstGeom prst="roundRect">
                            <a:avLst>
                              <a:gd name="adj" fmla="val 16667"/>
                            </a:avLst>
                          </a:prstGeom>
                          <a:solidFill>
                            <a:srgbClr val="FFFFFF"/>
                          </a:solidFill>
                          <a:ln w="12700" cap="flat" cmpd="sng">
                            <a:solidFill>
                              <a:srgbClr val="000001"/>
                            </a:solidFill>
                            <a:prstDash val="solid"/>
                            <a:miter/>
                            <a:headEnd type="none" w="med" len="med"/>
                            <a:tailEnd type="none" w="med" len="med"/>
                          </a:ln>
                        </wps:spPr>
                        <wps:txbx>
                          <w:txbxContent>
                            <w:p w14:paraId="18295F94">
                              <w:pPr>
                                <w:jc w:val="center"/>
                                <w:rPr>
                                  <w:sz w:val="24"/>
                                  <w:szCs w:val="24"/>
                                </w:rPr>
                              </w:pPr>
                              <w:r>
                                <w:rPr>
                                  <w:rFonts w:hint="eastAsia" w:ascii="宋体" w:hAnsi="宋体"/>
                                  <w:sz w:val="24"/>
                                  <w:szCs w:val="24"/>
                                </w:rPr>
                                <w:t>专业（群）基本技能模块</w:t>
                              </w:r>
                            </w:p>
                          </w:txbxContent>
                        </wps:txbx>
                        <wps:bodyPr anchor="ctr" upright="1"/>
                      </wps:wsp>
                      <wps:wsp>
                        <wps:cNvPr id="1867970911" name="圆角矩形 3"/>
                        <wps:cNvSpPr/>
                        <wps:spPr>
                          <a:xfrm>
                            <a:off x="0" y="2533650"/>
                            <a:ext cx="981075" cy="533400"/>
                          </a:xfrm>
                          <a:prstGeom prst="roundRect">
                            <a:avLst>
                              <a:gd name="adj" fmla="val 16667"/>
                            </a:avLst>
                          </a:prstGeom>
                          <a:solidFill>
                            <a:srgbClr val="FFFFFF"/>
                          </a:solidFill>
                          <a:ln w="12700" cap="flat" cmpd="sng">
                            <a:solidFill>
                              <a:srgbClr val="000001"/>
                            </a:solidFill>
                            <a:prstDash val="solid"/>
                            <a:miter/>
                            <a:headEnd type="none" w="med" len="med"/>
                            <a:tailEnd type="none" w="med" len="med"/>
                          </a:ln>
                        </wps:spPr>
                        <wps:txbx>
                          <w:txbxContent>
                            <w:p w14:paraId="220B6A4C">
                              <w:pPr>
                                <w:jc w:val="center"/>
                                <w:rPr>
                                  <w:sz w:val="24"/>
                                  <w:szCs w:val="24"/>
                                </w:rPr>
                              </w:pPr>
                              <w:r>
                                <w:rPr>
                                  <w:rFonts w:hint="eastAsia" w:ascii="宋体" w:hAnsi="宋体"/>
                                  <w:sz w:val="24"/>
                                  <w:szCs w:val="24"/>
                                </w:rPr>
                                <w:t>专业综合实践能力模块</w:t>
                              </w:r>
                            </w:p>
                          </w:txbxContent>
                        </wps:txbx>
                        <wps:bodyPr anchor="ctr" upright="1"/>
                      </wps:wsp>
                      <wps:wsp>
                        <wps:cNvPr id="1787649616" name="圆角矩形 4"/>
                        <wps:cNvSpPr/>
                        <wps:spPr>
                          <a:xfrm>
                            <a:off x="1609725" y="0"/>
                            <a:ext cx="2114550" cy="733425"/>
                          </a:xfrm>
                          <a:prstGeom prst="roundRect">
                            <a:avLst>
                              <a:gd name="adj" fmla="val 16667"/>
                            </a:avLst>
                          </a:prstGeom>
                          <a:solidFill>
                            <a:srgbClr val="FFFFFF"/>
                          </a:solidFill>
                          <a:ln w="12700" cap="flat" cmpd="sng">
                            <a:solidFill>
                              <a:srgbClr val="000001"/>
                            </a:solidFill>
                            <a:prstDash val="solid"/>
                            <a:miter/>
                            <a:headEnd type="none" w="med" len="med"/>
                            <a:tailEnd type="none" w="med" len="med"/>
                          </a:ln>
                        </wps:spPr>
                        <wps:txbx>
                          <w:txbxContent>
                            <w:p w14:paraId="52FF9932">
                              <w:pPr>
                                <w:spacing w:line="144" w:lineRule="auto"/>
                                <w:jc w:val="left"/>
                                <w:rPr>
                                  <w:rFonts w:hint="eastAsia" w:ascii="宋体" w:hAnsi="宋体" w:cs="宋体"/>
                                  <w:kern w:val="0"/>
                                  <w:sz w:val="24"/>
                                  <w:szCs w:val="24"/>
                                </w:rPr>
                              </w:pPr>
                              <w:r>
                                <w:rPr>
                                  <w:rFonts w:hint="eastAsia" w:ascii="宋体" w:hAnsi="宋体" w:cs="宋体"/>
                                  <w:kern w:val="0"/>
                                  <w:sz w:val="24"/>
                                  <w:szCs w:val="24"/>
                                </w:rPr>
                                <w:t>专业基础课程课内实训</w:t>
                              </w:r>
                            </w:p>
                            <w:p w14:paraId="3E1CE325">
                              <w:pPr>
                                <w:spacing w:line="144" w:lineRule="auto"/>
                                <w:jc w:val="left"/>
                                <w:rPr>
                                  <w:rFonts w:hint="eastAsia" w:ascii="宋体" w:hAnsi="宋体" w:cs="宋体"/>
                                  <w:kern w:val="0"/>
                                  <w:sz w:val="24"/>
                                  <w:szCs w:val="24"/>
                                </w:rPr>
                              </w:pPr>
                              <w:r>
                                <w:rPr>
                                  <w:rFonts w:hint="eastAsia" w:ascii="宋体" w:hAnsi="宋体" w:cs="宋体"/>
                                  <w:kern w:val="0"/>
                                  <w:sz w:val="24"/>
                                  <w:szCs w:val="24"/>
                                </w:rPr>
                                <w:t>认知实习</w:t>
                              </w:r>
                            </w:p>
                            <w:p w14:paraId="6C900FA5">
                              <w:pPr>
                                <w:spacing w:line="144" w:lineRule="auto"/>
                                <w:jc w:val="left"/>
                                <w:rPr>
                                  <w:sz w:val="24"/>
                                  <w:szCs w:val="24"/>
                                </w:rPr>
                              </w:pPr>
                              <w:r>
                                <w:rPr>
                                  <w:rFonts w:hint="eastAsia" w:ascii="宋体" w:hAnsi="宋体" w:cs="宋体"/>
                                  <w:kern w:val="0"/>
                                  <w:sz w:val="24"/>
                                  <w:szCs w:val="24"/>
                                </w:rPr>
                                <w:t>人文素养课程的实践教学</w:t>
                              </w:r>
                            </w:p>
                          </w:txbxContent>
                        </wps:txbx>
                        <wps:bodyPr anchor="ctr" upright="1"/>
                      </wps:wsp>
                      <wps:wsp>
                        <wps:cNvPr id="819967293" name="圆角矩形 5"/>
                        <wps:cNvSpPr/>
                        <wps:spPr>
                          <a:xfrm>
                            <a:off x="1533525" y="1200150"/>
                            <a:ext cx="2114550" cy="733425"/>
                          </a:xfrm>
                          <a:prstGeom prst="roundRect">
                            <a:avLst>
                              <a:gd name="adj" fmla="val 16667"/>
                            </a:avLst>
                          </a:prstGeom>
                          <a:solidFill>
                            <a:srgbClr val="FFFFFF"/>
                          </a:solidFill>
                          <a:ln w="12700" cap="flat" cmpd="sng">
                            <a:solidFill>
                              <a:srgbClr val="000001"/>
                            </a:solidFill>
                            <a:prstDash val="solid"/>
                            <a:miter/>
                            <a:headEnd type="none" w="med" len="med"/>
                            <a:tailEnd type="none" w="med" len="med"/>
                          </a:ln>
                        </wps:spPr>
                        <wps:txbx>
                          <w:txbxContent>
                            <w:p w14:paraId="31FC086E">
                              <w:pPr>
                                <w:jc w:val="left"/>
                                <w:rPr>
                                  <w:rFonts w:hint="eastAsia" w:ascii="宋体" w:hAnsi="宋体" w:cs="宋体"/>
                                  <w:kern w:val="0"/>
                                  <w:sz w:val="24"/>
                                  <w:szCs w:val="24"/>
                                </w:rPr>
                              </w:pPr>
                              <w:r>
                                <w:rPr>
                                  <w:rFonts w:hint="eastAsia" w:ascii="宋体" w:hAnsi="宋体" w:cs="宋体"/>
                                  <w:kern w:val="0"/>
                                  <w:sz w:val="24"/>
                                  <w:szCs w:val="24"/>
                                </w:rPr>
                                <w:t>专业课程课内实训</w:t>
                              </w:r>
                            </w:p>
                            <w:p w14:paraId="39B5CB17">
                              <w:pPr>
                                <w:jc w:val="left"/>
                                <w:rPr>
                                  <w:rFonts w:hint="eastAsia" w:ascii="宋体" w:hAnsi="宋体" w:cs="宋体"/>
                                  <w:kern w:val="0"/>
                                  <w:sz w:val="24"/>
                                  <w:szCs w:val="24"/>
                                </w:rPr>
                              </w:pPr>
                              <w:r>
                                <w:rPr>
                                  <w:rFonts w:hint="eastAsia" w:ascii="宋体" w:hAnsi="宋体" w:cs="宋体"/>
                                  <w:kern w:val="0"/>
                                  <w:sz w:val="24"/>
                                  <w:szCs w:val="24"/>
                                </w:rPr>
                                <w:t>课程设计</w:t>
                              </w:r>
                            </w:p>
                            <w:p w14:paraId="70B5A4F7">
                              <w:pPr>
                                <w:jc w:val="left"/>
                                <w:rPr>
                                  <w:sz w:val="28"/>
                                  <w:szCs w:val="28"/>
                                </w:rPr>
                              </w:pPr>
                              <w:r>
                                <w:rPr>
                                  <w:rFonts w:hint="eastAsia" w:ascii="宋体" w:hAnsi="宋体" w:cs="宋体"/>
                                  <w:kern w:val="0"/>
                                  <w:sz w:val="24"/>
                                  <w:szCs w:val="24"/>
                                </w:rPr>
                                <w:t>课内集中实训</w:t>
                              </w:r>
                            </w:p>
                          </w:txbxContent>
                        </wps:txbx>
                        <wps:bodyPr anchor="ctr" upright="1"/>
                      </wps:wsp>
                      <wps:wsp>
                        <wps:cNvPr id="2020953159" name="圆角矩形 6"/>
                        <wps:cNvSpPr/>
                        <wps:spPr>
                          <a:xfrm>
                            <a:off x="1571625" y="2447925"/>
                            <a:ext cx="2114550" cy="733425"/>
                          </a:xfrm>
                          <a:prstGeom prst="roundRect">
                            <a:avLst>
                              <a:gd name="adj" fmla="val 16667"/>
                            </a:avLst>
                          </a:prstGeom>
                          <a:solidFill>
                            <a:srgbClr val="FFFFFF"/>
                          </a:solidFill>
                          <a:ln w="12700" cap="flat" cmpd="sng">
                            <a:solidFill>
                              <a:srgbClr val="000001"/>
                            </a:solidFill>
                            <a:prstDash val="solid"/>
                            <a:miter/>
                            <a:headEnd type="none" w="med" len="med"/>
                            <a:tailEnd type="none" w="med" len="med"/>
                          </a:ln>
                        </wps:spPr>
                        <wps:txbx>
                          <w:txbxContent>
                            <w:p w14:paraId="4A31C6F3">
                              <w:pPr>
                                <w:jc w:val="left"/>
                                <w:rPr>
                                  <w:rFonts w:hint="eastAsia" w:ascii="宋体" w:hAnsi="宋体" w:cs="宋体"/>
                                  <w:kern w:val="0"/>
                                  <w:sz w:val="24"/>
                                  <w:szCs w:val="24"/>
                                </w:rPr>
                              </w:pPr>
                              <w:r>
                                <w:rPr>
                                  <w:rFonts w:hint="eastAsia" w:ascii="宋体" w:hAnsi="宋体" w:cs="宋体"/>
                                  <w:kern w:val="0"/>
                                  <w:sz w:val="24"/>
                                  <w:szCs w:val="24"/>
                                </w:rPr>
                                <w:t>综合实训</w:t>
                              </w:r>
                            </w:p>
                            <w:p w14:paraId="7776E37B">
                              <w:pPr>
                                <w:jc w:val="left"/>
                                <w:rPr>
                                  <w:rFonts w:hint="eastAsia" w:ascii="宋体" w:hAnsi="宋体" w:cs="宋体"/>
                                  <w:kern w:val="0"/>
                                  <w:sz w:val="24"/>
                                  <w:szCs w:val="24"/>
                                </w:rPr>
                              </w:pPr>
                              <w:r>
                                <w:rPr>
                                  <w:rFonts w:hint="eastAsia" w:ascii="宋体" w:hAnsi="宋体" w:cs="宋体"/>
                                  <w:kern w:val="0"/>
                                  <w:sz w:val="24"/>
                                  <w:szCs w:val="24"/>
                                </w:rPr>
                                <w:t>岗位实习</w:t>
                              </w:r>
                            </w:p>
                            <w:p w14:paraId="33E36D83">
                              <w:pPr>
                                <w:jc w:val="left"/>
                                <w:rPr>
                                  <w:sz w:val="24"/>
                                  <w:szCs w:val="24"/>
                                </w:rPr>
                              </w:pPr>
                              <w:r>
                                <w:rPr>
                                  <w:rFonts w:hint="eastAsia" w:ascii="宋体" w:hAnsi="宋体" w:cs="宋体"/>
                                  <w:kern w:val="0"/>
                                  <w:sz w:val="24"/>
                                  <w:szCs w:val="24"/>
                                </w:rPr>
                                <w:t>毕业设计</w:t>
                              </w:r>
                            </w:p>
                          </w:txbxContent>
                        </wps:txbx>
                        <wps:bodyPr anchor="ctr" upright="1"/>
                      </wps:wsp>
                      <wps:wsp>
                        <wps:cNvPr id="412834895" name="右箭头 7"/>
                        <wps:cNvSpPr/>
                        <wps:spPr>
                          <a:xfrm>
                            <a:off x="1028700" y="266700"/>
                            <a:ext cx="561975" cy="200025"/>
                          </a:xfrm>
                          <a:prstGeom prst="rightArrow">
                            <a:avLst>
                              <a:gd name="adj1" fmla="val 50000"/>
                              <a:gd name="adj2" fmla="val 49999"/>
                            </a:avLst>
                          </a:prstGeom>
                          <a:solidFill>
                            <a:srgbClr val="FFFFFF"/>
                          </a:solidFill>
                          <a:ln w="12700" cap="flat" cmpd="sng">
                            <a:solidFill>
                              <a:srgbClr val="000001"/>
                            </a:solidFill>
                            <a:prstDash val="solid"/>
                            <a:miter/>
                            <a:headEnd type="none" w="med" len="med"/>
                            <a:tailEnd type="none" w="med" len="med"/>
                          </a:ln>
                        </wps:spPr>
                        <wps:bodyPr/>
                      </wps:wsp>
                      <wps:wsp>
                        <wps:cNvPr id="731486071" name="右箭头 8"/>
                        <wps:cNvSpPr/>
                        <wps:spPr>
                          <a:xfrm>
                            <a:off x="942975" y="1457325"/>
                            <a:ext cx="561975" cy="200025"/>
                          </a:xfrm>
                          <a:prstGeom prst="rightArrow">
                            <a:avLst>
                              <a:gd name="adj1" fmla="val 50000"/>
                              <a:gd name="adj2" fmla="val 49999"/>
                            </a:avLst>
                          </a:prstGeom>
                          <a:solidFill>
                            <a:srgbClr val="FFFFFF"/>
                          </a:solidFill>
                          <a:ln w="12700" cap="flat" cmpd="sng">
                            <a:solidFill>
                              <a:srgbClr val="000001"/>
                            </a:solidFill>
                            <a:prstDash val="solid"/>
                            <a:miter/>
                            <a:headEnd type="none" w="med" len="med"/>
                            <a:tailEnd type="none" w="med" len="med"/>
                          </a:ln>
                        </wps:spPr>
                        <wps:bodyPr/>
                      </wps:wsp>
                      <wps:wsp>
                        <wps:cNvPr id="2033899602" name="右箭头 9"/>
                        <wps:cNvSpPr/>
                        <wps:spPr>
                          <a:xfrm>
                            <a:off x="1000125" y="2695575"/>
                            <a:ext cx="561975" cy="200025"/>
                          </a:xfrm>
                          <a:prstGeom prst="rightArrow">
                            <a:avLst>
                              <a:gd name="adj1" fmla="val 50000"/>
                              <a:gd name="adj2" fmla="val 49999"/>
                            </a:avLst>
                          </a:prstGeom>
                          <a:solidFill>
                            <a:srgbClr val="FFFFFF"/>
                          </a:solidFill>
                          <a:ln w="12700" cap="flat" cmpd="sng">
                            <a:solidFill>
                              <a:srgbClr val="000001"/>
                            </a:solidFill>
                            <a:prstDash val="solid"/>
                            <a:miter/>
                            <a:headEnd type="none" w="med" len="med"/>
                            <a:tailEnd type="none" w="med" len="med"/>
                          </a:ln>
                        </wps:spPr>
                        <wps:bodyPr/>
                      </wps:wsp>
                    </wpg:wgp>
                  </a:graphicData>
                </a:graphic>
              </wp:inline>
            </w:drawing>
          </mc:Choice>
          <mc:Fallback>
            <w:pict>
              <v:group id="组合 15" o:spid="_x0000_s1026" o:spt="203" style="height:272.5pt;width:362.4pt;" coordsize="3724275,3181350" o:gfxdata="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">
                <o:lock v:ext="edit" aspectratio="f"/>
                <v:roundrect id="圆角矩形 1" o:spid="_x0000_s1026" o:spt="2" style="position:absolute;left:0;top:1285875;height:533400;width:923925;v-text-anchor:middle;" fillcolor="#FFFFFF" filled="t" stroked="t" coordsize="21600,21600" arcsize="0.166666666666667" o:gfxdata="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88eX&#10;OMEAAADjAAAADwAAAAAAAAABACAAAAAiAAAAZHJzL2Rvd25yZXYueG1sUEsBAhQAFAAAAAgAh07i&#10;QDMvBZ47AAAAOQAAABAAAAAAAAAAAQAgAAAAEAEAAGRycy9zaGFwZXhtbC54bWxQSwUGAAAAAAYA&#10;BgBbAQAAugMAAAAA&#10;">
                  <v:fill on="t" focussize="0,0"/>
                  <v:stroke weight="1pt" color="#000001" joinstyle="miter"/>
                  <v:imagedata o:title=""/>
                  <o:lock v:ext="edit" aspectratio="f"/>
                  <v:textbox>
                    <w:txbxContent>
                      <w:p w14:paraId="04AE67DF">
                        <w:pPr>
                          <w:jc w:val="center"/>
                          <w:rPr>
                            <w:sz w:val="24"/>
                            <w:szCs w:val="24"/>
                          </w:rPr>
                        </w:pPr>
                        <w:r>
                          <w:rPr>
                            <w:rFonts w:hint="eastAsia" w:ascii="宋体" w:hAnsi="宋体"/>
                            <w:sz w:val="24"/>
                            <w:szCs w:val="24"/>
                          </w:rPr>
                          <w:t>专业提升技能模块</w:t>
                        </w:r>
                      </w:p>
                    </w:txbxContent>
                  </v:textbox>
                </v:roundrect>
                <v:roundrect id="圆角矩形 2" o:spid="_x0000_s1026" o:spt="2" style="position:absolute;left:0;top:85725;height:533400;width:1009650;v-text-anchor:middle;" fillcolor="#FFFFFF" filled="t" stroked="t" coordsize="21600,21600" arcsize="0.166666666666667" o:gfxdata="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Orc53MQAAADjAAAADwAAAAAAAAABACAAAAAiAAAAZHJzL2Rvd25yZXYueG1sUEsBAhQAFAAAAAgA&#10;h07iQDMvBZ47AAAAOQAAABAAAAAAAAAAAQAgAAAAEwEAAGRycy9zaGFwZXhtbC54bWxQSwUGAAAA&#10;AAYABgBbAQAAvQMAAAAA&#10;">
                  <v:fill on="t" focussize="0,0"/>
                  <v:stroke weight="1pt" color="#000001" joinstyle="miter"/>
                  <v:imagedata o:title=""/>
                  <o:lock v:ext="edit" aspectratio="f"/>
                  <v:textbox>
                    <w:txbxContent>
                      <w:p w14:paraId="18295F94">
                        <w:pPr>
                          <w:jc w:val="center"/>
                          <w:rPr>
                            <w:sz w:val="24"/>
                            <w:szCs w:val="24"/>
                          </w:rPr>
                        </w:pPr>
                        <w:r>
                          <w:rPr>
                            <w:rFonts w:hint="eastAsia" w:ascii="宋体" w:hAnsi="宋体"/>
                            <w:sz w:val="24"/>
                            <w:szCs w:val="24"/>
                          </w:rPr>
                          <w:t>专业（群）基本技能模块</w:t>
                        </w:r>
                      </w:p>
                    </w:txbxContent>
                  </v:textbox>
                </v:roundrect>
                <v:roundrect id="圆角矩形 3" o:spid="_x0000_s1026" o:spt="2" style="position:absolute;left:0;top:2533650;height:533400;width:981075;v-text-anchor:middle;" fillcolor="#FFFFFF" filled="t" stroked="t" coordsize="21600,21600" arcsize="0.166666666666667" o:gfxdata="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khZi&#10;G8EAAADjAAAADwAAAAAAAAABACAAAAAiAAAAZHJzL2Rvd25yZXYueG1sUEsBAhQAFAAAAAgAh07i&#10;QDMvBZ47AAAAOQAAABAAAAAAAAAAAQAgAAAAEAEAAGRycy9zaGFwZXhtbC54bWxQSwUGAAAAAAYA&#10;BgBbAQAAugMAAAAA&#10;">
                  <v:fill on="t" focussize="0,0"/>
                  <v:stroke weight="1pt" color="#000001" joinstyle="miter"/>
                  <v:imagedata o:title=""/>
                  <o:lock v:ext="edit" aspectratio="f"/>
                  <v:textbox>
                    <w:txbxContent>
                      <w:p w14:paraId="220B6A4C">
                        <w:pPr>
                          <w:jc w:val="center"/>
                          <w:rPr>
                            <w:sz w:val="24"/>
                            <w:szCs w:val="24"/>
                          </w:rPr>
                        </w:pPr>
                        <w:r>
                          <w:rPr>
                            <w:rFonts w:hint="eastAsia" w:ascii="宋体" w:hAnsi="宋体"/>
                            <w:sz w:val="24"/>
                            <w:szCs w:val="24"/>
                          </w:rPr>
                          <w:t>专业综合实践能力模块</w:t>
                        </w:r>
                      </w:p>
                    </w:txbxContent>
                  </v:textbox>
                </v:roundrect>
                <v:roundrect id="圆角矩形 4" o:spid="_x0000_s1026" o:spt="2" style="position:absolute;left:1609725;top:0;height:733425;width:2114550;v-text-anchor:middle;" fillcolor="#FFFFFF" filled="t" stroked="t" coordsize="21600,21600" arcsize="0.166666666666667" o:gfxdata="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L20&#10;SMEAAADjAAAADwAAAAAAAAABACAAAAAiAAAAZHJzL2Rvd25yZXYueG1sUEsBAhQAFAAAAAgAh07i&#10;QDMvBZ47AAAAOQAAABAAAAAAAAAAAQAgAAAAEAEAAGRycy9zaGFwZXhtbC54bWxQSwUGAAAAAAYA&#10;BgBbAQAAugMAAAAA&#10;">
                  <v:fill on="t" focussize="0,0"/>
                  <v:stroke weight="1pt" color="#000001" joinstyle="miter"/>
                  <v:imagedata o:title=""/>
                  <o:lock v:ext="edit" aspectratio="f"/>
                  <v:textbox>
                    <w:txbxContent>
                      <w:p w14:paraId="52FF9932">
                        <w:pPr>
                          <w:spacing w:line="144" w:lineRule="auto"/>
                          <w:jc w:val="left"/>
                          <w:rPr>
                            <w:rFonts w:hint="eastAsia" w:ascii="宋体" w:hAnsi="宋体" w:cs="宋体"/>
                            <w:kern w:val="0"/>
                            <w:sz w:val="24"/>
                            <w:szCs w:val="24"/>
                          </w:rPr>
                        </w:pPr>
                        <w:r>
                          <w:rPr>
                            <w:rFonts w:hint="eastAsia" w:ascii="宋体" w:hAnsi="宋体" w:cs="宋体"/>
                            <w:kern w:val="0"/>
                            <w:sz w:val="24"/>
                            <w:szCs w:val="24"/>
                          </w:rPr>
                          <w:t>专业基础课程课内实训</w:t>
                        </w:r>
                      </w:p>
                      <w:p w14:paraId="3E1CE325">
                        <w:pPr>
                          <w:spacing w:line="144" w:lineRule="auto"/>
                          <w:jc w:val="left"/>
                          <w:rPr>
                            <w:rFonts w:hint="eastAsia" w:ascii="宋体" w:hAnsi="宋体" w:cs="宋体"/>
                            <w:kern w:val="0"/>
                            <w:sz w:val="24"/>
                            <w:szCs w:val="24"/>
                          </w:rPr>
                        </w:pPr>
                        <w:r>
                          <w:rPr>
                            <w:rFonts w:hint="eastAsia" w:ascii="宋体" w:hAnsi="宋体" w:cs="宋体"/>
                            <w:kern w:val="0"/>
                            <w:sz w:val="24"/>
                            <w:szCs w:val="24"/>
                          </w:rPr>
                          <w:t>认知实习</w:t>
                        </w:r>
                      </w:p>
                      <w:p w14:paraId="6C900FA5">
                        <w:pPr>
                          <w:spacing w:line="144" w:lineRule="auto"/>
                          <w:jc w:val="left"/>
                          <w:rPr>
                            <w:sz w:val="24"/>
                            <w:szCs w:val="24"/>
                          </w:rPr>
                        </w:pPr>
                        <w:r>
                          <w:rPr>
                            <w:rFonts w:hint="eastAsia" w:ascii="宋体" w:hAnsi="宋体" w:cs="宋体"/>
                            <w:kern w:val="0"/>
                            <w:sz w:val="24"/>
                            <w:szCs w:val="24"/>
                          </w:rPr>
                          <w:t>人文素养课程的实践教学</w:t>
                        </w:r>
                      </w:p>
                    </w:txbxContent>
                  </v:textbox>
                </v:roundrect>
                <v:roundrect id="圆角矩形 5" o:spid="_x0000_s1026" o:spt="2" style="position:absolute;left:1533525;top:1200150;height:733425;width:2114550;v-text-anchor:middle;" fillcolor="#FFFFFF" filled="t" stroked="t" coordsize="21600,21600" arcsize="0.166666666666667" o:gfxdata="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HFVKg8QAAADiAAAADwAAAAAAAAABACAAAAAiAAAAZHJzL2Rvd25yZXYueG1sUEsBAhQAFAAAAAgA&#10;h07iQDMvBZ47AAAAOQAAABAAAAAAAAAAAQAgAAAAEwEAAGRycy9zaGFwZXhtbC54bWxQSwUGAAAA&#10;AAYABgBbAQAAvQMAAAAA&#10;">
                  <v:fill on="t" focussize="0,0"/>
                  <v:stroke weight="1pt" color="#000001" joinstyle="miter"/>
                  <v:imagedata o:title=""/>
                  <o:lock v:ext="edit" aspectratio="f"/>
                  <v:textbox>
                    <w:txbxContent>
                      <w:p w14:paraId="31FC086E">
                        <w:pPr>
                          <w:jc w:val="left"/>
                          <w:rPr>
                            <w:rFonts w:hint="eastAsia" w:ascii="宋体" w:hAnsi="宋体" w:cs="宋体"/>
                            <w:kern w:val="0"/>
                            <w:sz w:val="24"/>
                            <w:szCs w:val="24"/>
                          </w:rPr>
                        </w:pPr>
                        <w:r>
                          <w:rPr>
                            <w:rFonts w:hint="eastAsia" w:ascii="宋体" w:hAnsi="宋体" w:cs="宋体"/>
                            <w:kern w:val="0"/>
                            <w:sz w:val="24"/>
                            <w:szCs w:val="24"/>
                          </w:rPr>
                          <w:t>专业课程课内实训</w:t>
                        </w:r>
                      </w:p>
                      <w:p w14:paraId="39B5CB17">
                        <w:pPr>
                          <w:jc w:val="left"/>
                          <w:rPr>
                            <w:rFonts w:hint="eastAsia" w:ascii="宋体" w:hAnsi="宋体" w:cs="宋体"/>
                            <w:kern w:val="0"/>
                            <w:sz w:val="24"/>
                            <w:szCs w:val="24"/>
                          </w:rPr>
                        </w:pPr>
                        <w:r>
                          <w:rPr>
                            <w:rFonts w:hint="eastAsia" w:ascii="宋体" w:hAnsi="宋体" w:cs="宋体"/>
                            <w:kern w:val="0"/>
                            <w:sz w:val="24"/>
                            <w:szCs w:val="24"/>
                          </w:rPr>
                          <w:t>课程设计</w:t>
                        </w:r>
                      </w:p>
                      <w:p w14:paraId="70B5A4F7">
                        <w:pPr>
                          <w:jc w:val="left"/>
                          <w:rPr>
                            <w:sz w:val="28"/>
                            <w:szCs w:val="28"/>
                          </w:rPr>
                        </w:pPr>
                        <w:r>
                          <w:rPr>
                            <w:rFonts w:hint="eastAsia" w:ascii="宋体" w:hAnsi="宋体" w:cs="宋体"/>
                            <w:kern w:val="0"/>
                            <w:sz w:val="24"/>
                            <w:szCs w:val="24"/>
                          </w:rPr>
                          <w:t>课内集中实训</w:t>
                        </w:r>
                      </w:p>
                    </w:txbxContent>
                  </v:textbox>
                </v:roundrect>
                <v:roundrect id="圆角矩形 6" o:spid="_x0000_s1026" o:spt="2" style="position:absolute;left:1571625;top:2447925;height:733425;width:2114550;v-text-anchor:middle;" fillcolor="#FFFFFF" filled="t" stroked="t" coordsize="21600,21600" arcsize="0.166666666666667" o:gfxdata="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AQjQlsQAAADjAAAADwAAAAAAAAABACAAAAAiAAAAZHJzL2Rvd25yZXYueG1sUEsBAhQAFAAAAAgA&#10;h07iQDMvBZ47AAAAOQAAABAAAAAAAAAAAQAgAAAAEwEAAGRycy9zaGFwZXhtbC54bWxQSwUGAAAA&#10;AAYABgBbAQAAvQMAAAAA&#10;">
                  <v:fill on="t" focussize="0,0"/>
                  <v:stroke weight="1pt" color="#000001" joinstyle="miter"/>
                  <v:imagedata o:title=""/>
                  <o:lock v:ext="edit" aspectratio="f"/>
                  <v:textbox>
                    <w:txbxContent>
                      <w:p w14:paraId="4A31C6F3">
                        <w:pPr>
                          <w:jc w:val="left"/>
                          <w:rPr>
                            <w:rFonts w:hint="eastAsia" w:ascii="宋体" w:hAnsi="宋体" w:cs="宋体"/>
                            <w:kern w:val="0"/>
                            <w:sz w:val="24"/>
                            <w:szCs w:val="24"/>
                          </w:rPr>
                        </w:pPr>
                        <w:r>
                          <w:rPr>
                            <w:rFonts w:hint="eastAsia" w:ascii="宋体" w:hAnsi="宋体" w:cs="宋体"/>
                            <w:kern w:val="0"/>
                            <w:sz w:val="24"/>
                            <w:szCs w:val="24"/>
                          </w:rPr>
                          <w:t>综合实训</w:t>
                        </w:r>
                      </w:p>
                      <w:p w14:paraId="7776E37B">
                        <w:pPr>
                          <w:jc w:val="left"/>
                          <w:rPr>
                            <w:rFonts w:hint="eastAsia" w:ascii="宋体" w:hAnsi="宋体" w:cs="宋体"/>
                            <w:kern w:val="0"/>
                            <w:sz w:val="24"/>
                            <w:szCs w:val="24"/>
                          </w:rPr>
                        </w:pPr>
                        <w:r>
                          <w:rPr>
                            <w:rFonts w:hint="eastAsia" w:ascii="宋体" w:hAnsi="宋体" w:cs="宋体"/>
                            <w:kern w:val="0"/>
                            <w:sz w:val="24"/>
                            <w:szCs w:val="24"/>
                          </w:rPr>
                          <w:t>岗位实习</w:t>
                        </w:r>
                      </w:p>
                      <w:p w14:paraId="33E36D83">
                        <w:pPr>
                          <w:jc w:val="left"/>
                          <w:rPr>
                            <w:sz w:val="24"/>
                            <w:szCs w:val="24"/>
                          </w:rPr>
                        </w:pPr>
                        <w:r>
                          <w:rPr>
                            <w:rFonts w:hint="eastAsia" w:ascii="宋体" w:hAnsi="宋体" w:cs="宋体"/>
                            <w:kern w:val="0"/>
                            <w:sz w:val="24"/>
                            <w:szCs w:val="24"/>
                          </w:rPr>
                          <w:t>毕业设计</w:t>
                        </w:r>
                      </w:p>
                    </w:txbxContent>
                  </v:textbox>
                </v:roundrect>
                <v:shape id="右箭头 7" o:spid="_x0000_s1026" o:spt="13" type="#_x0000_t13" style="position:absolute;left:1028700;top:266700;height:200025;width:561975;" fillcolor="#FFFFFF" filled="t" stroked="t" coordsize="21600,21600" o:gfxdata="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6UQi0sQAAADiAAAADwAAAAAAAAABACAAAAAiAAAAZHJzL2Rvd25yZXYueG1sUEsBAhQAFAAAAAgA&#10;h07iQDMvBZ47AAAAOQAAABAAAAAAAAAAAQAgAAAAEwEAAGRycy9zaGFwZXhtbC54bWxQSwUGAAAA&#10;AAYABgBbAQAAvQMAAAAA&#10;" adj="17757,5400">
                  <v:fill on="t" focussize="0,0"/>
                  <v:stroke weight="1pt" color="#000001" joinstyle="miter"/>
                  <v:imagedata o:title=""/>
                  <o:lock v:ext="edit" aspectratio="f"/>
                </v:shape>
                <v:shape id="右箭头 8" o:spid="_x0000_s1026" o:spt="13" type="#_x0000_t13" style="position:absolute;left:942975;top:1457325;height:200025;width:561975;" fillcolor="#FFFFFF" filled="t" stroked="t" coordsize="21600,21600" o:gfxdata="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0&#10;CUVOwwAAAOIAAAAPAAAAAAAAAAEAIAAAACIAAABkcnMvZG93bnJldi54bWxQSwECFAAUAAAACACH&#10;TuJAMy8FnjsAAAA5AAAAEAAAAAAAAAABACAAAAASAQAAZHJzL3NoYXBleG1sLnhtbFBLBQYAAAAA&#10;BgAGAFsBAAC8AwAAAAA=&#10;" adj="17757,5400">
                  <v:fill on="t" focussize="0,0"/>
                  <v:stroke weight="1pt" color="#000001" joinstyle="miter"/>
                  <v:imagedata o:title=""/>
                  <o:lock v:ext="edit" aspectratio="f"/>
                </v:shape>
                <v:shape id="右箭头 9" o:spid="_x0000_s1026" o:spt="13" type="#_x0000_t13" style="position:absolute;left:1000125;top:2695575;height:200025;width:561975;" fillcolor="#FFFFFF" filled="t" stroked="t" coordsize="21600,21600" o:gfxdata="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TDnrQMQAAADjAAAADwAAAAAAAAABACAAAAAiAAAAZHJzL2Rvd25yZXYueG1sUEsBAhQAFAAAAAgA&#10;h07iQDMvBZ47AAAAOQAAABAAAAAAAAAAAQAgAAAAEwEAAGRycy9zaGFwZXhtbC54bWxQSwUGAAAA&#10;AAYABgBbAQAAvQMAAAAA&#10;" adj="17757,5400">
                  <v:fill on="t" focussize="0,0"/>
                  <v:stroke weight="1pt" color="#000001" joinstyle="miter"/>
                  <v:imagedata o:title=""/>
                  <o:lock v:ext="edit" aspectratio="f"/>
                </v:shape>
                <w10:wrap type="none"/>
                <w10:anchorlock/>
              </v:group>
            </w:pict>
          </mc:Fallback>
        </mc:AlternateContent>
      </w:r>
    </w:p>
    <w:p w14:paraId="200FE041">
      <w:pPr>
        <w:pStyle w:val="4"/>
        <w:ind w:firstLine="711" w:firstLineChars="295"/>
        <w:rPr>
          <w:rFonts w:hint="eastAsia"/>
        </w:rPr>
      </w:pPr>
      <w:r>
        <w:rPr>
          <w:rFonts w:hint="eastAsia"/>
        </w:rPr>
        <w:t>2.组织与实施</w:t>
      </w:r>
    </w:p>
    <w:p w14:paraId="5210DBFC">
      <w:pPr>
        <w:widowControl/>
        <w:spacing w:line="360" w:lineRule="auto"/>
        <w:ind w:firstLine="480" w:firstLineChars="200"/>
        <w:jc w:val="left"/>
        <w:rPr>
          <w:rFonts w:hint="eastAsia" w:ascii="宋体" w:hAnsi="宋体"/>
          <w:sz w:val="24"/>
          <w:szCs w:val="24"/>
        </w:rPr>
      </w:pPr>
      <w:r>
        <w:rPr>
          <w:rFonts w:hint="eastAsia" w:ascii="宋体" w:hAnsi="宋体"/>
          <w:sz w:val="24"/>
          <w:szCs w:val="24"/>
        </w:rPr>
        <w:t>实践教学在培养学生技能的同时，具有培养学生综合素质的重要作用，是培养学生创新意识和创造能力的重要手段和措施。</w:t>
      </w:r>
    </w:p>
    <w:p w14:paraId="7A9385DC">
      <w:pPr>
        <w:widowControl/>
        <w:spacing w:line="360" w:lineRule="auto"/>
        <w:ind w:firstLine="480" w:firstLineChars="200"/>
        <w:jc w:val="left"/>
        <w:rPr>
          <w:rFonts w:hint="eastAsia" w:ascii="宋体" w:hAnsi="宋体"/>
          <w:sz w:val="24"/>
          <w:szCs w:val="24"/>
        </w:rPr>
      </w:pPr>
      <w:r>
        <w:rPr>
          <w:rFonts w:hint="eastAsia" w:ascii="宋体" w:hAnsi="宋体"/>
          <w:sz w:val="24"/>
          <w:szCs w:val="24"/>
        </w:rPr>
        <w:t>高职教育要求学生具有较强的实践能力，能够很快适应工作岗位的技能要求。因而要对专业进行调整，对理论与实践课程进行调整，还要对实践教学的内容、课时进行改革和整合，以有效的培养应用型人才。</w:t>
      </w:r>
    </w:p>
    <w:p w14:paraId="7CFCD452">
      <w:pPr>
        <w:widowControl/>
        <w:spacing w:line="360" w:lineRule="auto"/>
        <w:ind w:firstLine="480" w:firstLineChars="200"/>
        <w:jc w:val="left"/>
        <w:rPr>
          <w:rFonts w:hint="eastAsia" w:ascii="宋体" w:hAnsi="宋体"/>
          <w:sz w:val="24"/>
          <w:szCs w:val="24"/>
        </w:rPr>
      </w:pPr>
      <w:r>
        <w:rPr>
          <w:rFonts w:hint="eastAsia" w:ascii="宋体" w:hAnsi="宋体"/>
          <w:sz w:val="24"/>
          <w:szCs w:val="24"/>
        </w:rPr>
        <w:t xml:space="preserve">1.构建不同形式的实践教学体系。如课间实训实习、集中实训实习；校内实训实习、毕业实习、综合实训项目创新型实践等。具体采用何种形式由课程性质而定。 </w:t>
      </w:r>
    </w:p>
    <w:p w14:paraId="029EFCBE">
      <w:pPr>
        <w:widowControl/>
        <w:spacing w:line="360" w:lineRule="auto"/>
        <w:ind w:firstLine="480" w:firstLineChars="200"/>
        <w:jc w:val="left"/>
        <w:rPr>
          <w:rFonts w:hint="eastAsia" w:ascii="宋体" w:hAnsi="宋体"/>
          <w:sz w:val="24"/>
          <w:szCs w:val="24"/>
        </w:rPr>
      </w:pPr>
      <w:r>
        <w:rPr>
          <w:rFonts w:hint="eastAsia" w:ascii="宋体" w:hAnsi="宋体"/>
          <w:sz w:val="24"/>
          <w:szCs w:val="24"/>
        </w:rPr>
        <w:t>2.构建学生成绩考核方式与指标体系。学生成绩的评定，不应局限于理论课成绩，有实践教学环节的课程，应结合学生实践成绩进行评定。多种考核方式的结合，可以充分发挥学生的各种能力，提高学生综合素质。</w:t>
      </w:r>
    </w:p>
    <w:p w14:paraId="5CF58EED">
      <w:pPr>
        <w:widowControl/>
        <w:spacing w:line="360" w:lineRule="auto"/>
        <w:ind w:firstLine="480" w:firstLineChars="200"/>
        <w:jc w:val="left"/>
        <w:rPr>
          <w:rFonts w:hint="eastAsia" w:ascii="宋体" w:hAnsi="宋体"/>
          <w:sz w:val="24"/>
          <w:szCs w:val="24"/>
        </w:rPr>
      </w:pPr>
      <w:r>
        <w:rPr>
          <w:rFonts w:hint="eastAsia" w:ascii="宋体" w:hAnsi="宋体"/>
          <w:sz w:val="24"/>
          <w:szCs w:val="24"/>
        </w:rPr>
        <w:t>3．形成创新实训项目与基础实训项目相结合的模式。对于实践教学环节，应增加学生实际参与的机会，一般课程的实践性教学环节，主要结合课程理论知识，边学边练，加深对学科理论知识的理解和运用，属于基础实训项目。在完成一些课程后进行的综合实训项目，以及毕业实践环节，都属于创新实训项目。这一类实训项目主要是将一门或几门课程的知识应用于实践，通过教师的指导，完成除课程实训以外的具有创新性的综合实训项目。</w:t>
      </w:r>
    </w:p>
    <w:p w14:paraId="15571C3D">
      <w:pPr>
        <w:widowControl/>
        <w:spacing w:line="360" w:lineRule="auto"/>
        <w:ind w:firstLine="480" w:firstLineChars="200"/>
        <w:jc w:val="left"/>
        <w:rPr>
          <w:rFonts w:hint="eastAsia" w:ascii="宋体" w:hAnsi="宋体"/>
          <w:sz w:val="24"/>
          <w:szCs w:val="24"/>
        </w:rPr>
      </w:pPr>
      <w:r>
        <w:rPr>
          <w:rFonts w:hint="eastAsia" w:ascii="宋体" w:hAnsi="宋体"/>
          <w:sz w:val="24"/>
          <w:szCs w:val="24"/>
        </w:rPr>
        <w:t>4．将物流技能竞赛标准和规则融入实践教学体系，明确以物流专业相应的技能竞赛项目，将技能竞赛与日常教学相融合，实现“以赛促教、以赛促学、以赛促改”，使教学改革、技术应用与创新、职业技能竞赛之间形成良性互动，达到教学质量和竞赛成绩的双丰收。</w:t>
      </w:r>
    </w:p>
    <w:p w14:paraId="1DAD5E53">
      <w:pPr>
        <w:widowControl/>
        <w:spacing w:line="360" w:lineRule="auto"/>
        <w:ind w:firstLine="480" w:firstLineChars="200"/>
        <w:jc w:val="left"/>
        <w:rPr>
          <w:rFonts w:hint="eastAsia" w:ascii="宋体" w:hAnsi="宋体"/>
          <w:sz w:val="24"/>
          <w:szCs w:val="24"/>
        </w:rPr>
      </w:pPr>
      <w:r>
        <w:rPr>
          <w:rFonts w:hint="eastAsia" w:ascii="宋体" w:hAnsi="宋体"/>
          <w:sz w:val="24"/>
          <w:szCs w:val="24"/>
        </w:rPr>
        <w:t>5．建立实践教学过程管理和质量保证。实践性教学环节能在教学计划中体现出来，只能算完成一部分工作。能否将实践性教学环节落到实处，保证实践的质量，才是落实高职教育教学目标的关键。我们加强对实践教学过程的管理，保证严格按照教学计划执行，同时对实践教学指导教师有严格的要求，保证实践教学目标的实现。</w:t>
      </w:r>
    </w:p>
    <w:p w14:paraId="3686E307">
      <w:pPr>
        <w:widowControl/>
        <w:spacing w:line="360" w:lineRule="auto"/>
        <w:ind w:firstLine="480" w:firstLineChars="200"/>
        <w:jc w:val="left"/>
        <w:rPr>
          <w:rFonts w:hint="eastAsia" w:ascii="宋体" w:hAnsi="宋体"/>
          <w:sz w:val="24"/>
          <w:szCs w:val="24"/>
        </w:rPr>
      </w:pPr>
      <w:r>
        <w:rPr>
          <w:rFonts w:hint="eastAsia" w:ascii="宋体" w:hAnsi="宋体"/>
          <w:sz w:val="24"/>
          <w:szCs w:val="24"/>
        </w:rPr>
        <w:t>6．规范实践成果的存档制度。在原有工作基础上，要求实践成果书面文件必须整理分类存档，便于以后查找。</w:t>
      </w:r>
    </w:p>
    <w:p w14:paraId="2C0F1E2D">
      <w:pPr>
        <w:widowControl/>
        <w:spacing w:line="360" w:lineRule="auto"/>
        <w:ind w:firstLine="480" w:firstLineChars="200"/>
        <w:jc w:val="left"/>
        <w:rPr>
          <w:rFonts w:hint="eastAsia" w:ascii="宋体" w:hAnsi="宋体"/>
          <w:sz w:val="24"/>
          <w:szCs w:val="24"/>
        </w:rPr>
      </w:pPr>
      <w:r>
        <w:rPr>
          <w:rFonts w:hint="eastAsia" w:ascii="宋体" w:hAnsi="宋体"/>
          <w:sz w:val="24"/>
          <w:szCs w:val="24"/>
        </w:rPr>
        <w:t>7.建设专兼结合的教学团队，确保人才培养质量。专任教师定期到相应公司参加顶岗实践；聘请行业内优秀人员及从业者作为兼职教师，并进行教师资格培训、认证，定期举办多种形式的教学竞赛、教学观摩，提高他们的教学能力。</w:t>
      </w:r>
    </w:p>
    <w:p w14:paraId="242459F5"/>
    <w:p w14:paraId="7D00799F">
      <w:pPr>
        <w:keepNext/>
        <w:keepLines/>
        <w:spacing w:line="500" w:lineRule="exact"/>
        <w:ind w:firstLine="2310" w:firstLineChars="1100"/>
        <w:outlineLvl w:val="1"/>
        <w:rPr>
          <w:rFonts w:ascii="Times New Roman" w:hAnsi="Times New Roman"/>
          <w:b/>
          <w:bCs/>
          <w:color w:val="000000"/>
          <w:sz w:val="24"/>
          <w:szCs w:val="24"/>
        </w:rPr>
      </w:pPr>
      <w:r>
        <w:rPr>
          <w:rFonts w:hint="eastAsia"/>
        </w:rPr>
        <w:t xml:space="preserve">  </w:t>
      </w:r>
      <w:r>
        <w:rPr>
          <w:rFonts w:hint="eastAsia" w:ascii="Times New Roman" w:hAnsi="Times New Roman"/>
          <w:b/>
          <w:bCs/>
          <w:color w:val="000000"/>
          <w:sz w:val="24"/>
          <w:szCs w:val="24"/>
        </w:rPr>
        <w:t>表6</w:t>
      </w:r>
      <w:r>
        <w:rPr>
          <w:rFonts w:ascii="Times New Roman" w:hAnsi="Times New Roman"/>
          <w:b/>
          <w:bCs/>
          <w:color w:val="000000"/>
          <w:sz w:val="24"/>
          <w:szCs w:val="24"/>
        </w:rPr>
        <w:t xml:space="preserve"> </w:t>
      </w:r>
      <w:r>
        <w:rPr>
          <w:rFonts w:hint="eastAsia" w:ascii="Times New Roman" w:hAnsi="Times New Roman"/>
          <w:b/>
          <w:bCs/>
          <w:color w:val="000000"/>
          <w:sz w:val="24"/>
          <w:szCs w:val="24"/>
        </w:rPr>
        <w:t>实践教学明细表</w:t>
      </w:r>
    </w:p>
    <w:tbl>
      <w:tblPr>
        <w:tblStyle w:val="24"/>
        <w:tblW w:w="8364" w:type="dxa"/>
        <w:jc w:val="center"/>
        <w:tblLayout w:type="autofit"/>
        <w:tblCellMar>
          <w:top w:w="0" w:type="dxa"/>
          <w:left w:w="108" w:type="dxa"/>
          <w:bottom w:w="0" w:type="dxa"/>
          <w:right w:w="108" w:type="dxa"/>
        </w:tblCellMar>
      </w:tblPr>
      <w:tblGrid>
        <w:gridCol w:w="709"/>
        <w:gridCol w:w="709"/>
        <w:gridCol w:w="567"/>
        <w:gridCol w:w="709"/>
        <w:gridCol w:w="656"/>
        <w:gridCol w:w="708"/>
        <w:gridCol w:w="709"/>
        <w:gridCol w:w="851"/>
        <w:gridCol w:w="992"/>
        <w:gridCol w:w="620"/>
        <w:gridCol w:w="1134"/>
      </w:tblGrid>
      <w:tr w14:paraId="272F9F31">
        <w:tblPrEx>
          <w:tblCellMar>
            <w:top w:w="0" w:type="dxa"/>
            <w:left w:w="108" w:type="dxa"/>
            <w:bottom w:w="0" w:type="dxa"/>
            <w:right w:w="108" w:type="dxa"/>
          </w:tblCellMar>
        </w:tblPrEx>
        <w:trPr>
          <w:trHeight w:val="398" w:hRule="atLeast"/>
          <w:jc w:val="center"/>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14:paraId="3EDF1D57">
            <w:pPr>
              <w:widowControl/>
              <w:ind w:left="210" w:leftChars="100"/>
              <w:rPr>
                <w:rFonts w:hint="eastAsia" w:ascii="宋体" w:hAnsi="宋体" w:cs="宋体"/>
                <w:kern w:val="0"/>
                <w:sz w:val="22"/>
              </w:rPr>
            </w:pPr>
            <w:r>
              <w:rPr>
                <w:rFonts w:hint="eastAsia" w:ascii="宋体" w:hAnsi="宋体" w:cs="宋体"/>
                <w:kern w:val="0"/>
                <w:sz w:val="22"/>
              </w:rPr>
              <w:t>教学周数</w:t>
            </w:r>
          </w:p>
          <w:p w14:paraId="4A0DD07F">
            <w:pPr>
              <w:pStyle w:val="2"/>
              <w:ind w:firstLine="420"/>
              <w:rPr>
                <w:rFonts w:hint="eastAsia"/>
                <w:lang w:val="en-US"/>
              </w:rPr>
            </w:pPr>
          </w:p>
          <w:p w14:paraId="0BD3F27D">
            <w:pPr>
              <w:widowControl/>
              <w:jc w:val="center"/>
              <w:rPr>
                <w:rFonts w:hint="eastAsia" w:ascii="宋体" w:hAnsi="宋体" w:cs="宋体"/>
                <w:kern w:val="0"/>
                <w:sz w:val="22"/>
              </w:rPr>
            </w:pPr>
          </w:p>
          <w:p w14:paraId="28F6685C">
            <w:pPr>
              <w:widowControl/>
              <w:jc w:val="center"/>
              <w:rPr>
                <w:rFonts w:hint="eastAsia" w:ascii="宋体" w:hAnsi="宋体" w:cs="宋体"/>
                <w:kern w:val="0"/>
                <w:sz w:val="22"/>
              </w:rPr>
            </w:pPr>
          </w:p>
          <w:p w14:paraId="14B1CF09">
            <w:pPr>
              <w:widowControl/>
              <w:jc w:val="center"/>
              <w:rPr>
                <w:rFonts w:hint="eastAsia" w:ascii="宋体" w:hAnsi="宋体" w:cs="宋体"/>
                <w:kern w:val="0"/>
                <w:sz w:val="22"/>
              </w:rPr>
            </w:pPr>
          </w:p>
          <w:p w14:paraId="73B0C6B3">
            <w:pPr>
              <w:widowControl/>
              <w:jc w:val="center"/>
              <w:rPr>
                <w:rFonts w:hint="eastAsia" w:ascii="宋体" w:hAnsi="宋体" w:cs="宋体"/>
                <w:kern w:val="0"/>
                <w:sz w:val="22"/>
              </w:rPr>
            </w:pPr>
            <w:r>
              <w:rPr>
                <w:rFonts w:hint="eastAsia" w:ascii="宋体" w:hAnsi="宋体" w:cs="宋体"/>
                <w:kern w:val="0"/>
                <w:sz w:val="22"/>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69EC1A2">
            <w:pPr>
              <w:widowControl/>
              <w:jc w:val="center"/>
              <w:rPr>
                <w:rFonts w:hint="eastAsia" w:ascii="宋体" w:hAnsi="宋体" w:cs="宋体"/>
                <w:kern w:val="0"/>
                <w:sz w:val="22"/>
              </w:rPr>
            </w:pPr>
            <w:r>
              <w:rPr>
                <w:rFonts w:hint="eastAsia" w:ascii="宋体" w:hAnsi="宋体" w:cs="宋体"/>
                <w:kern w:val="0"/>
                <w:sz w:val="22"/>
              </w:rPr>
              <w:t>课堂教学</w:t>
            </w:r>
          </w:p>
        </w:tc>
        <w:tc>
          <w:tcPr>
            <w:tcW w:w="5103" w:type="dxa"/>
            <w:gridSpan w:val="7"/>
            <w:tcBorders>
              <w:top w:val="single" w:color="auto" w:sz="4" w:space="0"/>
              <w:left w:val="nil"/>
              <w:bottom w:val="single" w:color="auto" w:sz="4" w:space="0"/>
              <w:right w:val="single" w:color="auto" w:sz="4" w:space="0"/>
            </w:tcBorders>
            <w:shd w:val="clear" w:color="auto" w:fill="auto"/>
            <w:noWrap/>
            <w:vAlign w:val="center"/>
          </w:tcPr>
          <w:p w14:paraId="6C25B796">
            <w:pPr>
              <w:widowControl/>
              <w:jc w:val="center"/>
              <w:rPr>
                <w:rFonts w:hint="eastAsia" w:ascii="宋体" w:hAnsi="宋体" w:cs="宋体"/>
                <w:kern w:val="0"/>
                <w:sz w:val="22"/>
              </w:rPr>
            </w:pPr>
            <w:r>
              <w:rPr>
                <w:rFonts w:hint="eastAsia" w:ascii="宋体" w:hAnsi="宋体" w:cs="宋体"/>
                <w:kern w:val="0"/>
                <w:sz w:val="22"/>
              </w:rPr>
              <w:t>实</w:t>
            </w:r>
            <w:r>
              <w:rPr>
                <w:rFonts w:ascii="Times New Roman" w:hAnsi="Times New Roman"/>
                <w:kern w:val="0"/>
                <w:sz w:val="22"/>
              </w:rPr>
              <w:t xml:space="preserve">        </w:t>
            </w:r>
            <w:r>
              <w:rPr>
                <w:rFonts w:hint="eastAsia" w:ascii="宋体" w:hAnsi="宋体" w:cs="宋体"/>
                <w:kern w:val="0"/>
                <w:sz w:val="22"/>
              </w:rPr>
              <w:t>践</w:t>
            </w:r>
            <w:r>
              <w:rPr>
                <w:rFonts w:ascii="Times New Roman" w:hAnsi="Times New Roman"/>
                <w:kern w:val="0"/>
                <w:sz w:val="22"/>
              </w:rPr>
              <w:t xml:space="preserve">        </w:t>
            </w:r>
            <w:r>
              <w:rPr>
                <w:rFonts w:hint="eastAsia" w:ascii="宋体" w:hAnsi="宋体" w:cs="宋体"/>
                <w:kern w:val="0"/>
                <w:sz w:val="22"/>
              </w:rPr>
              <w:t>教</w:t>
            </w:r>
            <w:r>
              <w:rPr>
                <w:rFonts w:ascii="Times New Roman" w:hAnsi="Times New Roman"/>
                <w:kern w:val="0"/>
                <w:sz w:val="22"/>
              </w:rPr>
              <w:t xml:space="preserve">        </w:t>
            </w:r>
            <w:r>
              <w:rPr>
                <w:rFonts w:hint="eastAsia" w:ascii="宋体" w:hAnsi="宋体" w:cs="宋体"/>
                <w:kern w:val="0"/>
                <w:sz w:val="22"/>
              </w:rPr>
              <w:t>学</w:t>
            </w:r>
          </w:p>
        </w:tc>
        <w:tc>
          <w:tcPr>
            <w:tcW w:w="709" w:type="dxa"/>
            <w:vMerge w:val="restart"/>
            <w:tcBorders>
              <w:top w:val="single" w:color="auto" w:sz="4" w:space="0"/>
              <w:left w:val="single" w:color="auto" w:sz="4" w:space="0"/>
              <w:right w:val="single" w:color="auto" w:sz="4" w:space="0"/>
            </w:tcBorders>
          </w:tcPr>
          <w:p w14:paraId="193F7495">
            <w:pPr>
              <w:widowControl/>
              <w:jc w:val="center"/>
              <w:rPr>
                <w:rFonts w:hint="eastAsia" w:ascii="宋体" w:hAnsi="宋体" w:cs="宋体"/>
                <w:kern w:val="0"/>
                <w:sz w:val="22"/>
              </w:rPr>
            </w:pPr>
          </w:p>
          <w:p w14:paraId="1CAE5286">
            <w:pPr>
              <w:pStyle w:val="2"/>
              <w:ind w:firstLine="420"/>
              <w:rPr>
                <w:rFonts w:hint="eastAsia"/>
                <w:lang w:val="en-US"/>
              </w:rPr>
            </w:pPr>
          </w:p>
          <w:p w14:paraId="7F8D30C4">
            <w:pPr>
              <w:pStyle w:val="2"/>
              <w:ind w:firstLine="420"/>
              <w:rPr>
                <w:rFonts w:hint="eastAsia"/>
                <w:lang w:val="en-US"/>
              </w:rPr>
            </w:pPr>
          </w:p>
          <w:p w14:paraId="147B8827">
            <w:pPr>
              <w:pStyle w:val="2"/>
              <w:ind w:firstLine="420"/>
              <w:rPr>
                <w:rFonts w:hint="eastAsia"/>
                <w:lang w:val="en-US"/>
              </w:rPr>
            </w:pPr>
          </w:p>
          <w:p w14:paraId="54017D73">
            <w:pPr>
              <w:pStyle w:val="2"/>
              <w:ind w:firstLine="0" w:firstLineChars="0"/>
              <w:rPr>
                <w:rFonts w:hint="eastAsia"/>
                <w:lang w:val="en-US"/>
              </w:rPr>
            </w:pPr>
            <w:r>
              <w:rPr>
                <w:rFonts w:hint="eastAsia"/>
                <w:lang w:val="en-US"/>
              </w:rPr>
              <w:t>考试</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600567D">
            <w:pPr>
              <w:widowControl/>
              <w:jc w:val="center"/>
              <w:rPr>
                <w:rFonts w:hint="eastAsia" w:ascii="宋体" w:hAnsi="宋体" w:eastAsia="宋体" w:cs="宋体"/>
                <w:kern w:val="0"/>
                <w:sz w:val="22"/>
                <w:lang w:eastAsia="zh-CN"/>
              </w:rPr>
            </w:pPr>
            <w:r>
              <w:rPr>
                <w:rFonts w:hint="eastAsia" w:ascii="宋体" w:hAnsi="宋体" w:cs="宋体"/>
                <w:kern w:val="0"/>
                <w:sz w:val="22"/>
              </w:rPr>
              <w:t>学期</w:t>
            </w:r>
          </w:p>
          <w:p w14:paraId="043ACDF0">
            <w:pPr>
              <w:widowControl/>
              <w:jc w:val="center"/>
              <w:rPr>
                <w:rFonts w:hint="eastAsia" w:ascii="宋体" w:hAnsi="宋体" w:cs="宋体"/>
                <w:kern w:val="0"/>
                <w:sz w:val="22"/>
              </w:rPr>
            </w:pPr>
            <w:r>
              <w:rPr>
                <w:rFonts w:hint="eastAsia" w:ascii="宋体" w:hAnsi="宋体" w:cs="宋体"/>
                <w:kern w:val="0"/>
                <w:sz w:val="22"/>
              </w:rPr>
              <w:t>总周数</w:t>
            </w:r>
          </w:p>
        </w:tc>
      </w:tr>
      <w:tr w14:paraId="6B4EDFA5">
        <w:tblPrEx>
          <w:tblCellMar>
            <w:top w:w="0" w:type="dxa"/>
            <w:left w:w="108" w:type="dxa"/>
            <w:bottom w:w="0" w:type="dxa"/>
            <w:right w:w="108" w:type="dxa"/>
          </w:tblCellMar>
        </w:tblPrEx>
        <w:trPr>
          <w:trHeight w:val="398" w:hRule="atLeast"/>
          <w:jc w:val="center"/>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088C9A18">
            <w:pPr>
              <w:widowControl/>
              <w:jc w:val="left"/>
              <w:rPr>
                <w:rFonts w:hint="eastAsia"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2D7CCFE6">
            <w:pPr>
              <w:widowControl/>
              <w:jc w:val="left"/>
              <w:rPr>
                <w:rFonts w:hint="eastAsia" w:ascii="宋体" w:hAnsi="宋体" w:cs="宋体"/>
                <w:kern w:val="0"/>
                <w:sz w:val="22"/>
              </w:rPr>
            </w:pPr>
          </w:p>
        </w:tc>
        <w:tc>
          <w:tcPr>
            <w:tcW w:w="1843" w:type="dxa"/>
            <w:gridSpan w:val="3"/>
            <w:tcBorders>
              <w:top w:val="single" w:color="auto" w:sz="4" w:space="0"/>
              <w:left w:val="nil"/>
              <w:bottom w:val="single" w:color="auto" w:sz="4" w:space="0"/>
              <w:right w:val="single" w:color="auto" w:sz="4" w:space="0"/>
            </w:tcBorders>
            <w:shd w:val="clear" w:color="auto" w:fill="auto"/>
            <w:vAlign w:val="center"/>
          </w:tcPr>
          <w:p w14:paraId="27D6ADF5">
            <w:pPr>
              <w:widowControl/>
              <w:jc w:val="center"/>
              <w:rPr>
                <w:rFonts w:hint="eastAsia" w:ascii="宋体" w:hAnsi="宋体" w:cs="宋体"/>
                <w:kern w:val="0"/>
                <w:sz w:val="22"/>
              </w:rPr>
            </w:pPr>
            <w:r>
              <w:rPr>
                <w:rFonts w:hint="eastAsia" w:ascii="宋体" w:hAnsi="宋体" w:cs="宋体"/>
                <w:kern w:val="0"/>
                <w:sz w:val="22"/>
              </w:rPr>
              <w:t>公共实践</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601110B5">
            <w:pPr>
              <w:widowControl/>
              <w:jc w:val="center"/>
              <w:rPr>
                <w:rFonts w:hint="eastAsia" w:ascii="宋体" w:hAnsi="宋体" w:cs="宋体"/>
                <w:kern w:val="0"/>
                <w:sz w:val="22"/>
              </w:rPr>
            </w:pPr>
            <w:r>
              <w:rPr>
                <w:rFonts w:hint="eastAsia" w:ascii="宋体" w:hAnsi="宋体" w:cs="宋体"/>
                <w:kern w:val="0"/>
                <w:sz w:val="22"/>
              </w:rPr>
              <w:t>课程</w:t>
            </w:r>
          </w:p>
          <w:p w14:paraId="172A38A9">
            <w:pPr>
              <w:widowControl/>
              <w:jc w:val="center"/>
              <w:rPr>
                <w:rFonts w:hint="eastAsia" w:ascii="宋体" w:hAnsi="宋体" w:cs="宋体"/>
                <w:kern w:val="0"/>
                <w:sz w:val="22"/>
              </w:rPr>
            </w:pPr>
            <w:r>
              <w:rPr>
                <w:rFonts w:hint="eastAsia" w:ascii="宋体" w:hAnsi="宋体" w:cs="宋体"/>
                <w:kern w:val="0"/>
                <w:sz w:val="22"/>
              </w:rPr>
              <w:t>实践</w:t>
            </w:r>
          </w:p>
        </w:tc>
        <w:tc>
          <w:tcPr>
            <w:tcW w:w="1560" w:type="dxa"/>
            <w:gridSpan w:val="2"/>
            <w:tcBorders>
              <w:top w:val="single" w:color="auto" w:sz="4" w:space="0"/>
              <w:left w:val="nil"/>
              <w:bottom w:val="single" w:color="auto" w:sz="4" w:space="0"/>
              <w:right w:val="nil"/>
            </w:tcBorders>
            <w:shd w:val="clear" w:color="000000" w:fill="FFFFFF"/>
            <w:vAlign w:val="center"/>
          </w:tcPr>
          <w:p w14:paraId="451D69E1">
            <w:pPr>
              <w:widowControl/>
              <w:jc w:val="center"/>
              <w:rPr>
                <w:rFonts w:hint="eastAsia" w:ascii="宋体" w:hAnsi="宋体" w:cs="宋体"/>
                <w:kern w:val="0"/>
                <w:sz w:val="22"/>
              </w:rPr>
            </w:pPr>
            <w:r>
              <w:rPr>
                <w:rFonts w:hint="eastAsia" w:ascii="宋体" w:hAnsi="宋体" w:cs="宋体"/>
                <w:kern w:val="0"/>
                <w:sz w:val="22"/>
              </w:rPr>
              <w:t>专业实践</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14:paraId="05096810">
            <w:pPr>
              <w:widowControl/>
              <w:jc w:val="center"/>
              <w:rPr>
                <w:rFonts w:hint="eastAsia" w:ascii="宋体" w:hAnsi="宋体" w:cs="宋体"/>
                <w:kern w:val="0"/>
                <w:sz w:val="22"/>
              </w:rPr>
            </w:pPr>
            <w:bookmarkStart w:id="54" w:name="OLE_LINK48"/>
            <w:r>
              <w:rPr>
                <w:rFonts w:hint="eastAsia" w:ascii="宋体" w:hAnsi="宋体" w:cs="宋体"/>
                <w:kern w:val="0"/>
                <w:sz w:val="22"/>
              </w:rPr>
              <w:t>实习</w:t>
            </w:r>
          </w:p>
          <w:p w14:paraId="63E2348F">
            <w:pPr>
              <w:widowControl/>
              <w:jc w:val="center"/>
              <w:rPr>
                <w:rFonts w:hint="eastAsia" w:ascii="宋体" w:hAnsi="宋体" w:cs="宋体"/>
                <w:kern w:val="0"/>
                <w:sz w:val="22"/>
              </w:rPr>
            </w:pPr>
            <w:r>
              <w:rPr>
                <w:rFonts w:hint="eastAsia" w:ascii="宋体" w:hAnsi="宋体" w:cs="宋体"/>
                <w:kern w:val="0"/>
                <w:sz w:val="22"/>
              </w:rPr>
              <w:t>学时</w:t>
            </w:r>
            <w:bookmarkEnd w:id="54"/>
          </w:p>
        </w:tc>
        <w:tc>
          <w:tcPr>
            <w:tcW w:w="709" w:type="dxa"/>
            <w:vMerge w:val="continue"/>
            <w:tcBorders>
              <w:left w:val="single" w:color="auto" w:sz="4" w:space="0"/>
              <w:right w:val="single" w:color="auto" w:sz="4" w:space="0"/>
            </w:tcBorders>
          </w:tcPr>
          <w:p w14:paraId="01D18588">
            <w:pPr>
              <w:widowControl/>
              <w:jc w:val="left"/>
              <w:rPr>
                <w:rFonts w:hint="eastAsia"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304242FA">
            <w:pPr>
              <w:widowControl/>
              <w:jc w:val="left"/>
              <w:rPr>
                <w:rFonts w:hint="eastAsia" w:ascii="宋体" w:hAnsi="宋体" w:cs="宋体"/>
                <w:kern w:val="0"/>
                <w:sz w:val="22"/>
              </w:rPr>
            </w:pPr>
          </w:p>
        </w:tc>
      </w:tr>
      <w:tr w14:paraId="47E10CBD">
        <w:tblPrEx>
          <w:tblCellMar>
            <w:top w:w="0" w:type="dxa"/>
            <w:left w:w="108" w:type="dxa"/>
            <w:bottom w:w="0" w:type="dxa"/>
            <w:right w:w="108" w:type="dxa"/>
          </w:tblCellMar>
        </w:tblPrEx>
        <w:trPr>
          <w:trHeight w:val="1245" w:hRule="atLeast"/>
          <w:jc w:val="center"/>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6D6CFC94">
            <w:pPr>
              <w:widowControl/>
              <w:jc w:val="left"/>
              <w:rPr>
                <w:rFonts w:hint="eastAsia"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2448E14A">
            <w:pPr>
              <w:widowControl/>
              <w:jc w:val="left"/>
              <w:rPr>
                <w:rFonts w:hint="eastAsia" w:ascii="宋体" w:hAnsi="宋体" w:cs="宋体"/>
                <w:kern w:val="0"/>
                <w:sz w:val="22"/>
              </w:rPr>
            </w:pPr>
          </w:p>
        </w:tc>
        <w:tc>
          <w:tcPr>
            <w:tcW w:w="567" w:type="dxa"/>
            <w:tcBorders>
              <w:top w:val="nil"/>
              <w:left w:val="nil"/>
              <w:bottom w:val="single" w:color="auto" w:sz="4" w:space="0"/>
              <w:right w:val="single" w:color="auto" w:sz="4" w:space="0"/>
            </w:tcBorders>
            <w:shd w:val="clear" w:color="auto" w:fill="auto"/>
            <w:vAlign w:val="center"/>
          </w:tcPr>
          <w:p w14:paraId="49A6C015">
            <w:pPr>
              <w:widowControl/>
              <w:jc w:val="center"/>
              <w:rPr>
                <w:rFonts w:hint="eastAsia" w:ascii="宋体" w:hAnsi="宋体" w:cs="宋体"/>
                <w:kern w:val="0"/>
                <w:sz w:val="22"/>
              </w:rPr>
            </w:pPr>
            <w:r>
              <w:rPr>
                <w:rFonts w:hint="eastAsia" w:ascii="宋体" w:hAnsi="宋体" w:cs="宋体"/>
                <w:kern w:val="0"/>
                <w:sz w:val="22"/>
              </w:rPr>
              <w:t>军事</w:t>
            </w:r>
          </w:p>
          <w:p w14:paraId="20A8D86B">
            <w:pPr>
              <w:widowControl/>
              <w:jc w:val="center"/>
              <w:rPr>
                <w:rFonts w:hint="eastAsia" w:ascii="宋体" w:hAnsi="宋体" w:cs="宋体"/>
                <w:kern w:val="0"/>
                <w:sz w:val="22"/>
              </w:rPr>
            </w:pPr>
            <w:r>
              <w:rPr>
                <w:rFonts w:hint="eastAsia" w:ascii="宋体" w:hAnsi="宋体" w:cs="宋体"/>
                <w:kern w:val="0"/>
                <w:sz w:val="22"/>
              </w:rPr>
              <w:t>技能</w:t>
            </w:r>
          </w:p>
        </w:tc>
        <w:tc>
          <w:tcPr>
            <w:tcW w:w="709" w:type="dxa"/>
            <w:tcBorders>
              <w:top w:val="nil"/>
              <w:left w:val="nil"/>
              <w:bottom w:val="single" w:color="auto" w:sz="4" w:space="0"/>
              <w:right w:val="single" w:color="auto" w:sz="4" w:space="0"/>
            </w:tcBorders>
            <w:shd w:val="clear" w:color="auto" w:fill="auto"/>
            <w:vAlign w:val="center"/>
          </w:tcPr>
          <w:p w14:paraId="22604C9E">
            <w:pPr>
              <w:widowControl/>
              <w:jc w:val="center"/>
              <w:rPr>
                <w:rFonts w:hint="eastAsia" w:ascii="宋体" w:hAnsi="宋体" w:cs="宋体"/>
                <w:kern w:val="0"/>
                <w:sz w:val="22"/>
              </w:rPr>
            </w:pPr>
            <w:r>
              <w:rPr>
                <w:rFonts w:hint="eastAsia" w:ascii="宋体" w:hAnsi="宋体" w:cs="宋体"/>
                <w:kern w:val="0"/>
                <w:sz w:val="22"/>
              </w:rPr>
              <w:t>素质拓展</w:t>
            </w:r>
          </w:p>
        </w:tc>
        <w:tc>
          <w:tcPr>
            <w:tcW w:w="567" w:type="dxa"/>
            <w:tcBorders>
              <w:top w:val="nil"/>
              <w:left w:val="nil"/>
              <w:bottom w:val="single" w:color="auto" w:sz="4" w:space="0"/>
              <w:right w:val="single" w:color="auto" w:sz="4" w:space="0"/>
            </w:tcBorders>
            <w:shd w:val="clear" w:color="auto" w:fill="auto"/>
            <w:vAlign w:val="center"/>
          </w:tcPr>
          <w:p w14:paraId="4A473382">
            <w:pPr>
              <w:widowControl/>
              <w:jc w:val="center"/>
              <w:rPr>
                <w:rFonts w:hint="eastAsia" w:ascii="宋体" w:hAnsi="宋体" w:cs="宋体"/>
                <w:kern w:val="0"/>
                <w:sz w:val="22"/>
              </w:rPr>
            </w:pPr>
            <w:r>
              <w:rPr>
                <w:rFonts w:hint="eastAsia" w:ascii="宋体" w:hAnsi="宋体" w:cs="宋体"/>
                <w:kern w:val="0"/>
                <w:sz w:val="22"/>
              </w:rPr>
              <w:t>劳动</w:t>
            </w:r>
          </w:p>
          <w:p w14:paraId="21F54BB2">
            <w:pPr>
              <w:widowControl/>
              <w:jc w:val="center"/>
              <w:rPr>
                <w:rFonts w:hint="eastAsia" w:ascii="宋体" w:hAnsi="宋体" w:cs="宋体"/>
                <w:kern w:val="0"/>
                <w:sz w:val="22"/>
              </w:rPr>
            </w:pPr>
            <w:r>
              <w:rPr>
                <w:rFonts w:hint="eastAsia" w:ascii="宋体" w:hAnsi="宋体" w:cs="宋体"/>
                <w:kern w:val="0"/>
                <w:sz w:val="22"/>
              </w:rPr>
              <w:t>教育</w:t>
            </w:r>
          </w:p>
        </w:tc>
        <w:tc>
          <w:tcPr>
            <w:tcW w:w="708" w:type="dxa"/>
            <w:vMerge w:val="continue"/>
            <w:tcBorders>
              <w:top w:val="nil"/>
              <w:left w:val="single" w:color="auto" w:sz="4" w:space="0"/>
              <w:bottom w:val="single" w:color="auto" w:sz="4" w:space="0"/>
              <w:right w:val="single" w:color="auto" w:sz="4" w:space="0"/>
            </w:tcBorders>
            <w:vAlign w:val="center"/>
          </w:tcPr>
          <w:p w14:paraId="582000C9">
            <w:pPr>
              <w:widowControl/>
              <w:jc w:val="left"/>
              <w:rPr>
                <w:rFonts w:hint="eastAsia" w:ascii="宋体" w:hAnsi="宋体" w:cs="宋体"/>
                <w:kern w:val="0"/>
                <w:sz w:val="22"/>
              </w:rPr>
            </w:pPr>
          </w:p>
        </w:tc>
        <w:tc>
          <w:tcPr>
            <w:tcW w:w="709" w:type="dxa"/>
            <w:tcBorders>
              <w:top w:val="nil"/>
              <w:left w:val="nil"/>
              <w:bottom w:val="single" w:color="auto" w:sz="4" w:space="0"/>
              <w:right w:val="single" w:color="auto" w:sz="4" w:space="0"/>
            </w:tcBorders>
            <w:shd w:val="clear" w:color="000000" w:fill="FFFFFF"/>
            <w:vAlign w:val="center"/>
          </w:tcPr>
          <w:p w14:paraId="59249535">
            <w:pPr>
              <w:widowControl/>
              <w:jc w:val="center"/>
              <w:rPr>
                <w:rFonts w:hint="eastAsia" w:ascii="宋体" w:hAnsi="宋体" w:cs="宋体"/>
                <w:kern w:val="0"/>
                <w:sz w:val="22"/>
              </w:rPr>
            </w:pPr>
            <w:r>
              <w:rPr>
                <w:rFonts w:hint="eastAsia" w:ascii="宋体" w:hAnsi="宋体" w:cs="宋体"/>
                <w:kern w:val="0"/>
                <w:sz w:val="22"/>
              </w:rPr>
              <w:t>认知</w:t>
            </w:r>
          </w:p>
          <w:p w14:paraId="008FB8F3">
            <w:pPr>
              <w:widowControl/>
              <w:jc w:val="center"/>
              <w:rPr>
                <w:rFonts w:hint="eastAsia" w:ascii="宋体" w:hAnsi="宋体" w:cs="宋体"/>
                <w:kern w:val="0"/>
                <w:sz w:val="22"/>
              </w:rPr>
            </w:pPr>
            <w:r>
              <w:rPr>
                <w:rFonts w:hint="eastAsia" w:ascii="宋体" w:hAnsi="宋体" w:cs="宋体"/>
                <w:kern w:val="0"/>
                <w:sz w:val="22"/>
              </w:rPr>
              <w:t>实习</w:t>
            </w:r>
          </w:p>
        </w:tc>
        <w:tc>
          <w:tcPr>
            <w:tcW w:w="851" w:type="dxa"/>
            <w:tcBorders>
              <w:top w:val="nil"/>
              <w:left w:val="nil"/>
              <w:bottom w:val="single" w:color="auto" w:sz="4" w:space="0"/>
              <w:right w:val="single" w:color="auto" w:sz="4" w:space="0"/>
            </w:tcBorders>
            <w:shd w:val="clear" w:color="000000" w:fill="FFFFFF"/>
            <w:vAlign w:val="center"/>
          </w:tcPr>
          <w:p w14:paraId="68F1D012">
            <w:pPr>
              <w:widowControl/>
              <w:jc w:val="center"/>
              <w:rPr>
                <w:rFonts w:hint="eastAsia" w:ascii="宋体" w:hAnsi="宋体" w:cs="宋体"/>
                <w:kern w:val="0"/>
                <w:sz w:val="22"/>
              </w:rPr>
            </w:pPr>
            <w:r>
              <w:rPr>
                <w:rFonts w:hint="eastAsia" w:ascii="宋体" w:hAnsi="宋体" w:cs="宋体"/>
                <w:kern w:val="0"/>
                <w:sz w:val="22"/>
              </w:rPr>
              <w:t>岗位</w:t>
            </w:r>
          </w:p>
          <w:p w14:paraId="3B678E3F">
            <w:pPr>
              <w:widowControl/>
              <w:jc w:val="center"/>
              <w:rPr>
                <w:rFonts w:hint="eastAsia" w:ascii="宋体" w:hAnsi="宋体" w:cs="宋体"/>
                <w:kern w:val="0"/>
                <w:sz w:val="22"/>
              </w:rPr>
            </w:pPr>
            <w:r>
              <w:rPr>
                <w:rFonts w:hint="eastAsia" w:ascii="宋体" w:hAnsi="宋体" w:cs="宋体"/>
                <w:kern w:val="0"/>
                <w:sz w:val="22"/>
              </w:rPr>
              <w:t>实习</w:t>
            </w:r>
          </w:p>
        </w:tc>
        <w:tc>
          <w:tcPr>
            <w:tcW w:w="992" w:type="dxa"/>
            <w:vMerge w:val="continue"/>
            <w:tcBorders>
              <w:top w:val="nil"/>
              <w:left w:val="single" w:color="auto" w:sz="4" w:space="0"/>
              <w:bottom w:val="single" w:color="auto" w:sz="4" w:space="0"/>
              <w:right w:val="single" w:color="auto" w:sz="4" w:space="0"/>
            </w:tcBorders>
            <w:vAlign w:val="center"/>
          </w:tcPr>
          <w:p w14:paraId="6C4B4DF4">
            <w:pPr>
              <w:widowControl/>
              <w:jc w:val="left"/>
              <w:rPr>
                <w:rFonts w:hint="eastAsia" w:ascii="宋体" w:hAnsi="宋体" w:cs="宋体"/>
                <w:kern w:val="0"/>
                <w:sz w:val="22"/>
              </w:rPr>
            </w:pPr>
          </w:p>
        </w:tc>
        <w:tc>
          <w:tcPr>
            <w:tcW w:w="709" w:type="dxa"/>
            <w:vMerge w:val="continue"/>
            <w:tcBorders>
              <w:left w:val="single" w:color="auto" w:sz="4" w:space="0"/>
              <w:bottom w:val="single" w:color="auto" w:sz="4" w:space="0"/>
              <w:right w:val="single" w:color="auto" w:sz="4" w:space="0"/>
            </w:tcBorders>
          </w:tcPr>
          <w:p w14:paraId="4D62338E">
            <w:pPr>
              <w:widowControl/>
              <w:jc w:val="left"/>
              <w:rPr>
                <w:rFonts w:hint="eastAsia"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71DDCBD6">
            <w:pPr>
              <w:widowControl/>
              <w:jc w:val="left"/>
              <w:rPr>
                <w:rFonts w:hint="eastAsia" w:ascii="宋体" w:hAnsi="宋体" w:cs="宋体"/>
                <w:kern w:val="0"/>
                <w:sz w:val="22"/>
              </w:rPr>
            </w:pPr>
          </w:p>
        </w:tc>
      </w:tr>
      <w:tr w14:paraId="39BAC290">
        <w:tblPrEx>
          <w:tblCellMar>
            <w:top w:w="0" w:type="dxa"/>
            <w:left w:w="108" w:type="dxa"/>
            <w:bottom w:w="0" w:type="dxa"/>
            <w:right w:w="108" w:type="dxa"/>
          </w:tblCellMar>
        </w:tblPrEx>
        <w:trPr>
          <w:trHeight w:val="398"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048D7F3">
            <w:pPr>
              <w:widowControl/>
              <w:jc w:val="center"/>
              <w:rPr>
                <w:rFonts w:hint="eastAsia" w:ascii="宋体" w:hAnsi="宋体" w:cs="宋体"/>
                <w:kern w:val="0"/>
                <w:sz w:val="22"/>
              </w:rPr>
            </w:pPr>
            <w:r>
              <w:rPr>
                <w:rFonts w:hint="eastAsia" w:ascii="宋体" w:hAnsi="宋体" w:cs="宋体"/>
                <w:kern w:val="0"/>
                <w:sz w:val="22"/>
              </w:rPr>
              <w:t>一</w:t>
            </w:r>
          </w:p>
        </w:tc>
        <w:tc>
          <w:tcPr>
            <w:tcW w:w="709" w:type="dxa"/>
            <w:tcBorders>
              <w:top w:val="nil"/>
              <w:left w:val="nil"/>
              <w:bottom w:val="single" w:color="auto" w:sz="4" w:space="0"/>
              <w:right w:val="single" w:color="auto" w:sz="4" w:space="0"/>
            </w:tcBorders>
            <w:shd w:val="clear" w:color="000000" w:fill="FDE9D9"/>
            <w:noWrap/>
            <w:vAlign w:val="center"/>
          </w:tcPr>
          <w:p w14:paraId="61368A8D">
            <w:pPr>
              <w:widowControl/>
              <w:jc w:val="center"/>
              <w:rPr>
                <w:rFonts w:ascii="Times New Roman" w:hAnsi="Times New Roman"/>
                <w:kern w:val="0"/>
                <w:sz w:val="22"/>
              </w:rPr>
            </w:pPr>
            <w:r>
              <w:rPr>
                <w:rFonts w:ascii="Times New Roman" w:hAnsi="Times New Roman"/>
                <w:kern w:val="0"/>
                <w:sz w:val="22"/>
              </w:rPr>
              <w:t>16</w:t>
            </w:r>
          </w:p>
        </w:tc>
        <w:tc>
          <w:tcPr>
            <w:tcW w:w="567" w:type="dxa"/>
            <w:tcBorders>
              <w:top w:val="nil"/>
              <w:left w:val="nil"/>
              <w:bottom w:val="single" w:color="auto" w:sz="4" w:space="0"/>
              <w:right w:val="single" w:color="auto" w:sz="4" w:space="0"/>
            </w:tcBorders>
            <w:shd w:val="clear" w:color="000000" w:fill="FDE9D9"/>
            <w:noWrap/>
            <w:vAlign w:val="center"/>
          </w:tcPr>
          <w:p w14:paraId="7C09557C">
            <w:pPr>
              <w:widowControl/>
              <w:jc w:val="center"/>
              <w:rPr>
                <w:rFonts w:hint="eastAsia" w:ascii="宋体" w:hAnsi="宋体" w:cs="宋体"/>
                <w:kern w:val="0"/>
                <w:sz w:val="22"/>
              </w:rPr>
            </w:pPr>
            <w:r>
              <w:rPr>
                <w:rFonts w:hint="eastAsia" w:ascii="宋体" w:hAnsi="宋体" w:cs="宋体"/>
                <w:kern w:val="0"/>
                <w:sz w:val="22"/>
              </w:rPr>
              <w:t>2</w:t>
            </w:r>
          </w:p>
        </w:tc>
        <w:tc>
          <w:tcPr>
            <w:tcW w:w="709" w:type="dxa"/>
            <w:tcBorders>
              <w:top w:val="nil"/>
              <w:left w:val="nil"/>
              <w:bottom w:val="single" w:color="auto" w:sz="4" w:space="0"/>
              <w:right w:val="single" w:color="auto" w:sz="4" w:space="0"/>
            </w:tcBorders>
            <w:shd w:val="clear" w:color="000000" w:fill="FDE9D9"/>
            <w:noWrap/>
            <w:vAlign w:val="center"/>
          </w:tcPr>
          <w:p w14:paraId="0552FA1A">
            <w:pPr>
              <w:widowControl/>
              <w:jc w:val="center"/>
              <w:rPr>
                <w:rFonts w:hint="eastAsia" w:ascii="宋体" w:hAnsi="宋体" w:cs="宋体"/>
                <w:kern w:val="0"/>
                <w:sz w:val="22"/>
              </w:rPr>
            </w:pPr>
            <w:r>
              <w:rPr>
                <w:rFonts w:hint="eastAsia" w:ascii="宋体" w:hAnsi="宋体" w:cs="宋体"/>
                <w:kern w:val="0"/>
                <w:sz w:val="22"/>
              </w:rPr>
              <w:t>1</w:t>
            </w:r>
          </w:p>
        </w:tc>
        <w:tc>
          <w:tcPr>
            <w:tcW w:w="567" w:type="dxa"/>
            <w:tcBorders>
              <w:top w:val="nil"/>
              <w:left w:val="nil"/>
              <w:bottom w:val="single" w:color="auto" w:sz="4" w:space="0"/>
              <w:right w:val="single" w:color="auto" w:sz="4" w:space="0"/>
            </w:tcBorders>
            <w:shd w:val="clear" w:color="000000" w:fill="FDE9D9"/>
            <w:noWrap/>
            <w:vAlign w:val="center"/>
          </w:tcPr>
          <w:p w14:paraId="27777ED1">
            <w:pPr>
              <w:widowControl/>
              <w:jc w:val="center"/>
              <w:rPr>
                <w:rFonts w:hint="eastAsia" w:ascii="宋体" w:hAnsi="宋体" w:cs="宋体"/>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5D654E1D">
            <w:pPr>
              <w:widowControl/>
              <w:jc w:val="center"/>
              <w:rPr>
                <w:rFonts w:hint="eastAsia" w:ascii="宋体" w:hAnsi="宋体" w:cs="宋体"/>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74144306">
            <w:pPr>
              <w:widowControl/>
              <w:jc w:val="center"/>
              <w:rPr>
                <w:rFonts w:hint="eastAsia" w:ascii="宋体" w:hAnsi="宋体" w:cs="宋体"/>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301AB711">
            <w:pPr>
              <w:widowControl/>
              <w:jc w:val="center"/>
              <w:rPr>
                <w:rFonts w:hint="eastAsia" w:ascii="宋体" w:hAnsi="宋体" w:cs="宋体"/>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010FF10C">
            <w:pPr>
              <w:widowControl/>
              <w:jc w:val="center"/>
              <w:rPr>
                <w:rFonts w:hint="eastAsia" w:ascii="宋体" w:hAnsi="宋体" w:cs="宋体"/>
                <w:kern w:val="0"/>
                <w:sz w:val="22"/>
              </w:rPr>
            </w:pPr>
          </w:p>
        </w:tc>
        <w:tc>
          <w:tcPr>
            <w:tcW w:w="709" w:type="dxa"/>
            <w:tcBorders>
              <w:top w:val="single" w:color="auto" w:sz="4" w:space="0"/>
              <w:left w:val="nil"/>
              <w:bottom w:val="single" w:color="auto" w:sz="4" w:space="0"/>
              <w:right w:val="single" w:color="auto" w:sz="4" w:space="0"/>
            </w:tcBorders>
            <w:shd w:val="clear" w:color="000000" w:fill="FFFF00"/>
            <w:vAlign w:val="center"/>
          </w:tcPr>
          <w:p w14:paraId="646F9649">
            <w:pPr>
              <w:widowControl/>
              <w:jc w:val="center"/>
              <w:rPr>
                <w:rFonts w:hint="eastAsia" w:ascii="宋体" w:hAnsi="宋体" w:cs="宋体"/>
                <w:kern w:val="0"/>
                <w:sz w:val="22"/>
              </w:rPr>
            </w:pPr>
            <w:r>
              <w:rPr>
                <w:rFonts w:hint="eastAsia" w:ascii="宋体" w:hAnsi="宋体" w:cs="宋体"/>
                <w:kern w:val="0"/>
                <w:sz w:val="22"/>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504EEAB2">
            <w:pPr>
              <w:widowControl/>
              <w:jc w:val="center"/>
              <w:rPr>
                <w:rFonts w:hint="eastAsia" w:ascii="宋体" w:hAnsi="宋体" w:cs="宋体"/>
                <w:kern w:val="0"/>
                <w:sz w:val="22"/>
              </w:rPr>
            </w:pPr>
            <w:r>
              <w:rPr>
                <w:rFonts w:hint="eastAsia" w:ascii="宋体" w:hAnsi="宋体" w:cs="宋体"/>
                <w:kern w:val="0"/>
                <w:sz w:val="22"/>
              </w:rPr>
              <w:t>20</w:t>
            </w:r>
          </w:p>
        </w:tc>
      </w:tr>
      <w:tr w14:paraId="460635E8">
        <w:tblPrEx>
          <w:tblCellMar>
            <w:top w:w="0" w:type="dxa"/>
            <w:left w:w="108" w:type="dxa"/>
            <w:bottom w:w="0" w:type="dxa"/>
            <w:right w:w="108" w:type="dxa"/>
          </w:tblCellMar>
        </w:tblPrEx>
        <w:trPr>
          <w:trHeight w:val="398"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38E42980">
            <w:pPr>
              <w:widowControl/>
              <w:jc w:val="center"/>
              <w:rPr>
                <w:rFonts w:hint="eastAsia" w:ascii="宋体" w:hAnsi="宋体" w:cs="宋体"/>
                <w:kern w:val="0"/>
                <w:sz w:val="22"/>
              </w:rPr>
            </w:pPr>
            <w:r>
              <w:rPr>
                <w:rFonts w:hint="eastAsia" w:ascii="宋体" w:hAnsi="宋体" w:cs="宋体"/>
                <w:kern w:val="0"/>
                <w:sz w:val="22"/>
              </w:rPr>
              <w:t>二</w:t>
            </w:r>
          </w:p>
        </w:tc>
        <w:tc>
          <w:tcPr>
            <w:tcW w:w="709" w:type="dxa"/>
            <w:tcBorders>
              <w:top w:val="nil"/>
              <w:left w:val="nil"/>
              <w:bottom w:val="single" w:color="auto" w:sz="4" w:space="0"/>
              <w:right w:val="single" w:color="auto" w:sz="4" w:space="0"/>
            </w:tcBorders>
            <w:shd w:val="clear" w:color="000000" w:fill="FDE9D9"/>
            <w:noWrap/>
            <w:vAlign w:val="center"/>
          </w:tcPr>
          <w:p w14:paraId="424F0F8D">
            <w:pPr>
              <w:widowControl/>
              <w:jc w:val="center"/>
              <w:rPr>
                <w:rFonts w:ascii="Times New Roman" w:hAnsi="Times New Roman"/>
                <w:kern w:val="0"/>
                <w:sz w:val="22"/>
              </w:rPr>
            </w:pPr>
            <w:r>
              <w:rPr>
                <w:rFonts w:ascii="Times New Roman" w:hAnsi="Times New Roman"/>
                <w:kern w:val="0"/>
                <w:sz w:val="22"/>
              </w:rPr>
              <w:t>1</w:t>
            </w:r>
            <w:r>
              <w:rPr>
                <w:rFonts w:hint="eastAsia" w:ascii="Times New Roman" w:hAnsi="Times New Roman"/>
                <w:kern w:val="0"/>
                <w:sz w:val="22"/>
              </w:rPr>
              <w:t>6</w:t>
            </w:r>
          </w:p>
        </w:tc>
        <w:tc>
          <w:tcPr>
            <w:tcW w:w="567" w:type="dxa"/>
            <w:tcBorders>
              <w:top w:val="nil"/>
              <w:left w:val="nil"/>
              <w:bottom w:val="single" w:color="auto" w:sz="4" w:space="0"/>
              <w:right w:val="single" w:color="auto" w:sz="4" w:space="0"/>
            </w:tcBorders>
            <w:shd w:val="clear" w:color="000000" w:fill="FDE9D9"/>
            <w:noWrap/>
            <w:vAlign w:val="center"/>
          </w:tcPr>
          <w:p w14:paraId="1AB8D74A">
            <w:pPr>
              <w:widowControl/>
              <w:jc w:val="center"/>
              <w:rPr>
                <w:rFonts w:hint="eastAsia"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6064063B">
            <w:pPr>
              <w:widowControl/>
              <w:jc w:val="center"/>
              <w:rPr>
                <w:rFonts w:hint="eastAsia" w:ascii="宋体" w:hAnsi="宋体" w:cs="宋体"/>
                <w:kern w:val="0"/>
                <w:sz w:val="22"/>
              </w:rPr>
            </w:pPr>
            <w:r>
              <w:rPr>
                <w:rFonts w:hint="eastAsia" w:ascii="宋体" w:hAnsi="宋体" w:cs="宋体"/>
                <w:kern w:val="0"/>
                <w:sz w:val="22"/>
              </w:rPr>
              <w:t>1</w:t>
            </w:r>
          </w:p>
        </w:tc>
        <w:tc>
          <w:tcPr>
            <w:tcW w:w="567" w:type="dxa"/>
            <w:tcBorders>
              <w:top w:val="nil"/>
              <w:left w:val="nil"/>
              <w:bottom w:val="single" w:color="auto" w:sz="4" w:space="0"/>
              <w:right w:val="single" w:color="auto" w:sz="4" w:space="0"/>
            </w:tcBorders>
            <w:shd w:val="clear" w:color="000000" w:fill="FDE9D9"/>
            <w:noWrap/>
            <w:vAlign w:val="center"/>
          </w:tcPr>
          <w:p w14:paraId="5EE13E98">
            <w:pPr>
              <w:widowControl/>
              <w:jc w:val="center"/>
              <w:rPr>
                <w:rFonts w:hint="eastAsia" w:ascii="宋体" w:hAnsi="宋体" w:cs="宋体"/>
                <w:kern w:val="0"/>
                <w:sz w:val="22"/>
              </w:rPr>
            </w:pPr>
            <w:r>
              <w:rPr>
                <w:rFonts w:hint="eastAsia" w:ascii="宋体" w:hAnsi="宋体" w:cs="宋体"/>
                <w:kern w:val="0"/>
                <w:sz w:val="22"/>
              </w:rPr>
              <w:t>1</w:t>
            </w:r>
          </w:p>
        </w:tc>
        <w:tc>
          <w:tcPr>
            <w:tcW w:w="708" w:type="dxa"/>
            <w:tcBorders>
              <w:top w:val="nil"/>
              <w:left w:val="nil"/>
              <w:bottom w:val="single" w:color="auto" w:sz="4" w:space="0"/>
              <w:right w:val="single" w:color="auto" w:sz="4" w:space="0"/>
            </w:tcBorders>
            <w:shd w:val="clear" w:color="000000" w:fill="FDE9D9"/>
            <w:noWrap/>
            <w:vAlign w:val="center"/>
          </w:tcPr>
          <w:p w14:paraId="49AB8649">
            <w:pPr>
              <w:widowControl/>
              <w:jc w:val="center"/>
              <w:rPr>
                <w:rFonts w:hint="eastAsia" w:ascii="宋体" w:hAnsi="宋体" w:cs="宋体"/>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7AC4F9E5">
            <w:pPr>
              <w:widowControl/>
              <w:jc w:val="center"/>
              <w:rPr>
                <w:rFonts w:hint="eastAsia" w:ascii="宋体" w:hAnsi="宋体" w:cs="宋体"/>
                <w:kern w:val="0"/>
                <w:sz w:val="22"/>
              </w:rPr>
            </w:pPr>
            <w:r>
              <w:rPr>
                <w:rFonts w:hint="eastAsia" w:ascii="宋体" w:hAnsi="宋体" w:cs="宋体"/>
                <w:kern w:val="0"/>
                <w:sz w:val="22"/>
              </w:rPr>
              <w:t>1</w:t>
            </w:r>
          </w:p>
        </w:tc>
        <w:tc>
          <w:tcPr>
            <w:tcW w:w="851" w:type="dxa"/>
            <w:tcBorders>
              <w:top w:val="nil"/>
              <w:left w:val="nil"/>
              <w:bottom w:val="single" w:color="auto" w:sz="4" w:space="0"/>
              <w:right w:val="single" w:color="auto" w:sz="4" w:space="0"/>
            </w:tcBorders>
            <w:shd w:val="clear" w:color="000000" w:fill="FFFF00"/>
            <w:noWrap/>
            <w:vAlign w:val="center"/>
          </w:tcPr>
          <w:p w14:paraId="219F51AD">
            <w:pPr>
              <w:widowControl/>
              <w:jc w:val="center"/>
              <w:rPr>
                <w:rFonts w:hint="eastAsia" w:ascii="宋体" w:hAnsi="宋体" w:cs="宋体"/>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4B331969">
            <w:pPr>
              <w:widowControl/>
              <w:jc w:val="center"/>
              <w:rPr>
                <w:rFonts w:hint="eastAsia" w:ascii="宋体" w:hAnsi="宋体" w:cs="宋体"/>
                <w:kern w:val="0"/>
                <w:sz w:val="22"/>
              </w:rPr>
            </w:pPr>
          </w:p>
        </w:tc>
        <w:tc>
          <w:tcPr>
            <w:tcW w:w="709" w:type="dxa"/>
            <w:tcBorders>
              <w:top w:val="single" w:color="auto" w:sz="4" w:space="0"/>
              <w:left w:val="nil"/>
              <w:bottom w:val="single" w:color="auto" w:sz="4" w:space="0"/>
              <w:right w:val="single" w:color="auto" w:sz="4" w:space="0"/>
            </w:tcBorders>
            <w:shd w:val="clear" w:color="000000" w:fill="FFFF00"/>
            <w:vAlign w:val="center"/>
          </w:tcPr>
          <w:p w14:paraId="7EE466AC">
            <w:pPr>
              <w:widowControl/>
              <w:jc w:val="center"/>
              <w:rPr>
                <w:rFonts w:hint="eastAsia" w:ascii="宋体" w:hAnsi="宋体" w:cs="宋体"/>
                <w:kern w:val="0"/>
                <w:sz w:val="22"/>
              </w:rPr>
            </w:pPr>
            <w:r>
              <w:rPr>
                <w:rFonts w:hint="eastAsia" w:ascii="宋体" w:hAnsi="宋体" w:cs="宋体"/>
                <w:kern w:val="0"/>
                <w:sz w:val="22"/>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7C8E0B56">
            <w:pPr>
              <w:widowControl/>
              <w:jc w:val="center"/>
              <w:rPr>
                <w:rFonts w:hint="eastAsia" w:ascii="宋体" w:hAnsi="宋体" w:cs="宋体"/>
                <w:kern w:val="0"/>
                <w:sz w:val="22"/>
              </w:rPr>
            </w:pPr>
            <w:r>
              <w:rPr>
                <w:rFonts w:hint="eastAsia" w:ascii="宋体" w:hAnsi="宋体" w:cs="宋体"/>
                <w:kern w:val="0"/>
                <w:sz w:val="22"/>
              </w:rPr>
              <w:t>20</w:t>
            </w:r>
          </w:p>
        </w:tc>
      </w:tr>
      <w:tr w14:paraId="3712505A">
        <w:tblPrEx>
          <w:tblCellMar>
            <w:top w:w="0" w:type="dxa"/>
            <w:left w:w="108" w:type="dxa"/>
            <w:bottom w:w="0" w:type="dxa"/>
            <w:right w:w="108" w:type="dxa"/>
          </w:tblCellMar>
        </w:tblPrEx>
        <w:trPr>
          <w:trHeight w:val="398"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5C4BD1E8">
            <w:pPr>
              <w:widowControl/>
              <w:jc w:val="center"/>
              <w:rPr>
                <w:rFonts w:hint="eastAsia" w:ascii="宋体" w:hAnsi="宋体" w:cs="宋体"/>
                <w:kern w:val="0"/>
                <w:sz w:val="22"/>
              </w:rPr>
            </w:pPr>
            <w:r>
              <w:rPr>
                <w:rFonts w:hint="eastAsia" w:ascii="宋体" w:hAnsi="宋体" w:cs="宋体"/>
                <w:kern w:val="0"/>
                <w:sz w:val="22"/>
              </w:rPr>
              <w:t>三</w:t>
            </w:r>
          </w:p>
        </w:tc>
        <w:tc>
          <w:tcPr>
            <w:tcW w:w="709" w:type="dxa"/>
            <w:tcBorders>
              <w:top w:val="nil"/>
              <w:left w:val="nil"/>
              <w:bottom w:val="single" w:color="auto" w:sz="4" w:space="0"/>
              <w:right w:val="single" w:color="auto" w:sz="4" w:space="0"/>
            </w:tcBorders>
            <w:shd w:val="clear" w:color="000000" w:fill="FDE9D9"/>
            <w:noWrap/>
            <w:vAlign w:val="center"/>
          </w:tcPr>
          <w:p w14:paraId="1D37A47A">
            <w:pPr>
              <w:widowControl/>
              <w:jc w:val="center"/>
              <w:rPr>
                <w:rFonts w:ascii="Times New Roman" w:hAnsi="Times New Roman"/>
                <w:kern w:val="0"/>
                <w:sz w:val="22"/>
              </w:rPr>
            </w:pPr>
            <w:r>
              <w:rPr>
                <w:rFonts w:ascii="Times New Roman" w:hAnsi="Times New Roman"/>
                <w:kern w:val="0"/>
                <w:sz w:val="22"/>
              </w:rPr>
              <w:t>1</w:t>
            </w:r>
            <w:r>
              <w:rPr>
                <w:rFonts w:hint="eastAsia" w:ascii="Times New Roman" w:hAnsi="Times New Roman"/>
                <w:kern w:val="0"/>
                <w:sz w:val="22"/>
              </w:rPr>
              <w:t>4</w:t>
            </w:r>
          </w:p>
        </w:tc>
        <w:tc>
          <w:tcPr>
            <w:tcW w:w="567" w:type="dxa"/>
            <w:tcBorders>
              <w:top w:val="nil"/>
              <w:left w:val="nil"/>
              <w:bottom w:val="single" w:color="auto" w:sz="4" w:space="0"/>
              <w:right w:val="single" w:color="auto" w:sz="4" w:space="0"/>
            </w:tcBorders>
            <w:shd w:val="clear" w:color="000000" w:fill="FDE9D9"/>
            <w:noWrap/>
            <w:vAlign w:val="center"/>
          </w:tcPr>
          <w:p w14:paraId="4CAB8461">
            <w:pPr>
              <w:widowControl/>
              <w:jc w:val="center"/>
              <w:rPr>
                <w:rFonts w:hint="eastAsia"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2BD83313">
            <w:pPr>
              <w:widowControl/>
              <w:jc w:val="center"/>
              <w:rPr>
                <w:rFonts w:hint="eastAsia" w:ascii="宋体" w:hAnsi="宋体" w:cs="宋体"/>
                <w:kern w:val="0"/>
                <w:sz w:val="22"/>
              </w:rPr>
            </w:pPr>
            <w:r>
              <w:rPr>
                <w:rFonts w:hint="eastAsia" w:ascii="宋体" w:hAnsi="宋体" w:cs="宋体"/>
                <w:kern w:val="0"/>
                <w:sz w:val="22"/>
              </w:rPr>
              <w:t>1</w:t>
            </w:r>
          </w:p>
        </w:tc>
        <w:tc>
          <w:tcPr>
            <w:tcW w:w="567" w:type="dxa"/>
            <w:tcBorders>
              <w:top w:val="nil"/>
              <w:left w:val="nil"/>
              <w:bottom w:val="single" w:color="auto" w:sz="4" w:space="0"/>
              <w:right w:val="single" w:color="auto" w:sz="4" w:space="0"/>
            </w:tcBorders>
            <w:shd w:val="clear" w:color="000000" w:fill="FDE9D9"/>
            <w:noWrap/>
            <w:vAlign w:val="center"/>
          </w:tcPr>
          <w:p w14:paraId="4D762803">
            <w:pPr>
              <w:widowControl/>
              <w:jc w:val="center"/>
              <w:rPr>
                <w:rFonts w:hint="eastAsia" w:ascii="宋体" w:hAnsi="宋体" w:cs="宋体"/>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46D36212">
            <w:pPr>
              <w:widowControl/>
              <w:jc w:val="center"/>
              <w:rPr>
                <w:rFonts w:hint="eastAsia" w:ascii="宋体" w:hAnsi="宋体" w:cs="宋体"/>
                <w:kern w:val="0"/>
                <w:sz w:val="22"/>
              </w:rPr>
            </w:pPr>
            <w:r>
              <w:rPr>
                <w:rFonts w:hint="eastAsia" w:ascii="宋体" w:hAnsi="宋体" w:cs="宋体"/>
                <w:kern w:val="0"/>
                <w:sz w:val="22"/>
              </w:rPr>
              <w:t>4</w:t>
            </w:r>
          </w:p>
        </w:tc>
        <w:tc>
          <w:tcPr>
            <w:tcW w:w="709" w:type="dxa"/>
            <w:tcBorders>
              <w:top w:val="nil"/>
              <w:left w:val="nil"/>
              <w:bottom w:val="single" w:color="auto" w:sz="4" w:space="0"/>
              <w:right w:val="single" w:color="auto" w:sz="4" w:space="0"/>
            </w:tcBorders>
            <w:shd w:val="clear" w:color="000000" w:fill="FFFF00"/>
            <w:noWrap/>
            <w:vAlign w:val="center"/>
          </w:tcPr>
          <w:p w14:paraId="1ED02DB1">
            <w:pPr>
              <w:widowControl/>
              <w:jc w:val="center"/>
              <w:rPr>
                <w:rFonts w:hint="eastAsia" w:ascii="宋体" w:hAnsi="宋体" w:cs="宋体"/>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0DB480C9">
            <w:pPr>
              <w:widowControl/>
              <w:jc w:val="center"/>
              <w:rPr>
                <w:rFonts w:hint="eastAsia" w:ascii="宋体" w:hAnsi="宋体" w:cs="宋体"/>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418CDA9C">
            <w:pPr>
              <w:widowControl/>
              <w:jc w:val="center"/>
              <w:rPr>
                <w:rFonts w:hint="eastAsia" w:ascii="宋体" w:hAnsi="宋体" w:cs="宋体"/>
                <w:kern w:val="0"/>
                <w:sz w:val="22"/>
              </w:rPr>
            </w:pPr>
          </w:p>
        </w:tc>
        <w:tc>
          <w:tcPr>
            <w:tcW w:w="709" w:type="dxa"/>
            <w:tcBorders>
              <w:top w:val="single" w:color="auto" w:sz="4" w:space="0"/>
              <w:left w:val="nil"/>
              <w:bottom w:val="single" w:color="auto" w:sz="4" w:space="0"/>
              <w:right w:val="single" w:color="auto" w:sz="4" w:space="0"/>
            </w:tcBorders>
            <w:shd w:val="clear" w:color="000000" w:fill="FFFF00"/>
            <w:vAlign w:val="center"/>
          </w:tcPr>
          <w:p w14:paraId="34C01C3F">
            <w:pPr>
              <w:widowControl/>
              <w:jc w:val="center"/>
              <w:rPr>
                <w:rFonts w:hint="eastAsia" w:ascii="宋体" w:hAnsi="宋体" w:cs="宋体"/>
                <w:kern w:val="0"/>
                <w:sz w:val="22"/>
              </w:rPr>
            </w:pPr>
            <w:r>
              <w:rPr>
                <w:rFonts w:hint="eastAsia" w:ascii="宋体" w:hAnsi="宋体" w:cs="宋体"/>
                <w:kern w:val="0"/>
                <w:sz w:val="22"/>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3D8612EF">
            <w:pPr>
              <w:widowControl/>
              <w:jc w:val="center"/>
              <w:rPr>
                <w:rFonts w:hint="eastAsia" w:ascii="宋体" w:hAnsi="宋体" w:cs="宋体"/>
                <w:kern w:val="0"/>
                <w:sz w:val="22"/>
              </w:rPr>
            </w:pPr>
            <w:r>
              <w:rPr>
                <w:rFonts w:hint="eastAsia" w:ascii="宋体" w:hAnsi="宋体" w:cs="宋体"/>
                <w:kern w:val="0"/>
                <w:sz w:val="22"/>
              </w:rPr>
              <w:t>20</w:t>
            </w:r>
          </w:p>
        </w:tc>
      </w:tr>
      <w:tr w14:paraId="59DF6E22">
        <w:tblPrEx>
          <w:tblCellMar>
            <w:top w:w="0" w:type="dxa"/>
            <w:left w:w="108" w:type="dxa"/>
            <w:bottom w:w="0" w:type="dxa"/>
            <w:right w:w="108" w:type="dxa"/>
          </w:tblCellMar>
        </w:tblPrEx>
        <w:trPr>
          <w:trHeight w:val="398"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2CF46467">
            <w:pPr>
              <w:widowControl/>
              <w:jc w:val="center"/>
              <w:rPr>
                <w:rFonts w:hint="eastAsia" w:ascii="宋体" w:hAnsi="宋体" w:cs="宋体"/>
                <w:kern w:val="0"/>
                <w:sz w:val="22"/>
              </w:rPr>
            </w:pPr>
            <w:r>
              <w:rPr>
                <w:rFonts w:hint="eastAsia" w:ascii="宋体" w:hAnsi="宋体" w:cs="宋体"/>
                <w:kern w:val="0"/>
                <w:sz w:val="22"/>
              </w:rPr>
              <w:t>四</w:t>
            </w:r>
          </w:p>
        </w:tc>
        <w:tc>
          <w:tcPr>
            <w:tcW w:w="709" w:type="dxa"/>
            <w:tcBorders>
              <w:top w:val="nil"/>
              <w:left w:val="nil"/>
              <w:bottom w:val="single" w:color="auto" w:sz="4" w:space="0"/>
              <w:right w:val="single" w:color="auto" w:sz="4" w:space="0"/>
            </w:tcBorders>
            <w:shd w:val="clear" w:color="000000" w:fill="FDE9D9"/>
            <w:noWrap/>
            <w:vAlign w:val="center"/>
          </w:tcPr>
          <w:p w14:paraId="66C1730A">
            <w:pPr>
              <w:widowControl/>
              <w:jc w:val="center"/>
              <w:rPr>
                <w:rFonts w:ascii="Times New Roman" w:hAnsi="Times New Roman"/>
                <w:kern w:val="0"/>
                <w:sz w:val="22"/>
              </w:rPr>
            </w:pPr>
            <w:r>
              <w:rPr>
                <w:rFonts w:ascii="Times New Roman" w:hAnsi="Times New Roman"/>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60A130DE">
            <w:pPr>
              <w:widowControl/>
              <w:jc w:val="center"/>
              <w:rPr>
                <w:rFonts w:hint="eastAsia"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1DBFDDB4">
            <w:pPr>
              <w:widowControl/>
              <w:jc w:val="center"/>
              <w:rPr>
                <w:rFonts w:hint="eastAsia" w:ascii="宋体" w:hAnsi="宋体" w:cs="宋体"/>
                <w:kern w:val="0"/>
                <w:sz w:val="22"/>
              </w:rPr>
            </w:pPr>
            <w:r>
              <w:rPr>
                <w:rFonts w:hint="eastAsia" w:ascii="宋体" w:hAnsi="宋体" w:cs="宋体"/>
                <w:kern w:val="0"/>
                <w:sz w:val="22"/>
              </w:rPr>
              <w:t>1</w:t>
            </w:r>
          </w:p>
        </w:tc>
        <w:tc>
          <w:tcPr>
            <w:tcW w:w="567" w:type="dxa"/>
            <w:tcBorders>
              <w:top w:val="nil"/>
              <w:left w:val="nil"/>
              <w:bottom w:val="single" w:color="auto" w:sz="4" w:space="0"/>
              <w:right w:val="single" w:color="auto" w:sz="4" w:space="0"/>
            </w:tcBorders>
            <w:shd w:val="clear" w:color="000000" w:fill="FDE9D9"/>
            <w:noWrap/>
            <w:vAlign w:val="center"/>
          </w:tcPr>
          <w:p w14:paraId="41A8E95B">
            <w:pPr>
              <w:widowControl/>
              <w:jc w:val="center"/>
              <w:rPr>
                <w:rFonts w:hint="eastAsia" w:ascii="宋体" w:hAnsi="宋体" w:cs="宋体"/>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41605336">
            <w:pPr>
              <w:widowControl/>
              <w:jc w:val="center"/>
              <w:rPr>
                <w:rFonts w:hint="eastAsia" w:ascii="宋体" w:hAnsi="宋体" w:cs="宋体"/>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5A56DA70">
            <w:pPr>
              <w:widowControl/>
              <w:jc w:val="center"/>
              <w:rPr>
                <w:rFonts w:hint="eastAsia" w:ascii="宋体" w:hAnsi="宋体" w:cs="宋体"/>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30190EE3">
            <w:pPr>
              <w:widowControl/>
              <w:jc w:val="center"/>
              <w:rPr>
                <w:rFonts w:hint="eastAsia" w:ascii="宋体" w:hAnsi="宋体" w:cs="宋体"/>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5EA06A62">
            <w:pPr>
              <w:widowControl/>
              <w:jc w:val="center"/>
              <w:rPr>
                <w:rFonts w:hint="eastAsia" w:ascii="宋体" w:hAnsi="宋体" w:cs="宋体"/>
                <w:kern w:val="0"/>
                <w:sz w:val="22"/>
              </w:rPr>
            </w:pPr>
          </w:p>
        </w:tc>
        <w:tc>
          <w:tcPr>
            <w:tcW w:w="709" w:type="dxa"/>
            <w:tcBorders>
              <w:top w:val="single" w:color="auto" w:sz="4" w:space="0"/>
              <w:left w:val="nil"/>
              <w:bottom w:val="single" w:color="auto" w:sz="4" w:space="0"/>
              <w:right w:val="single" w:color="auto" w:sz="4" w:space="0"/>
            </w:tcBorders>
            <w:shd w:val="clear" w:color="000000" w:fill="FFFF00"/>
            <w:vAlign w:val="center"/>
          </w:tcPr>
          <w:p w14:paraId="6B7BC28D">
            <w:pPr>
              <w:widowControl/>
              <w:jc w:val="center"/>
              <w:rPr>
                <w:rFonts w:hint="eastAsia" w:ascii="宋体" w:hAnsi="宋体" w:cs="宋体"/>
                <w:kern w:val="0"/>
                <w:sz w:val="22"/>
              </w:rPr>
            </w:pPr>
            <w:r>
              <w:rPr>
                <w:rFonts w:hint="eastAsia" w:ascii="宋体" w:hAnsi="宋体" w:cs="宋体"/>
                <w:kern w:val="0"/>
                <w:sz w:val="22"/>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6661CFBE">
            <w:pPr>
              <w:widowControl/>
              <w:jc w:val="center"/>
              <w:rPr>
                <w:rFonts w:hint="eastAsia" w:ascii="宋体" w:hAnsi="宋体" w:cs="宋体"/>
                <w:kern w:val="0"/>
                <w:sz w:val="22"/>
              </w:rPr>
            </w:pPr>
            <w:r>
              <w:rPr>
                <w:rFonts w:hint="eastAsia" w:ascii="宋体" w:hAnsi="宋体" w:cs="宋体"/>
                <w:kern w:val="0"/>
                <w:sz w:val="22"/>
              </w:rPr>
              <w:t>20</w:t>
            </w:r>
          </w:p>
        </w:tc>
      </w:tr>
      <w:tr w14:paraId="3C666A0B">
        <w:tblPrEx>
          <w:tblCellMar>
            <w:top w:w="0" w:type="dxa"/>
            <w:left w:w="108" w:type="dxa"/>
            <w:bottom w:w="0" w:type="dxa"/>
            <w:right w:w="108" w:type="dxa"/>
          </w:tblCellMar>
        </w:tblPrEx>
        <w:trPr>
          <w:trHeight w:val="398"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5E32BA7C">
            <w:pPr>
              <w:widowControl/>
              <w:jc w:val="center"/>
              <w:rPr>
                <w:rFonts w:hint="eastAsia" w:ascii="宋体" w:hAnsi="宋体" w:cs="宋体"/>
                <w:kern w:val="0"/>
                <w:sz w:val="22"/>
              </w:rPr>
            </w:pPr>
            <w:r>
              <w:rPr>
                <w:rFonts w:hint="eastAsia" w:ascii="宋体" w:hAnsi="宋体" w:cs="宋体"/>
                <w:kern w:val="0"/>
                <w:sz w:val="22"/>
              </w:rPr>
              <w:t>五</w:t>
            </w:r>
          </w:p>
        </w:tc>
        <w:tc>
          <w:tcPr>
            <w:tcW w:w="709" w:type="dxa"/>
            <w:tcBorders>
              <w:top w:val="nil"/>
              <w:left w:val="nil"/>
              <w:bottom w:val="single" w:color="auto" w:sz="4" w:space="0"/>
              <w:right w:val="single" w:color="auto" w:sz="4" w:space="0"/>
            </w:tcBorders>
            <w:shd w:val="clear" w:color="000000" w:fill="FDE9D9"/>
            <w:noWrap/>
            <w:vAlign w:val="center"/>
          </w:tcPr>
          <w:p w14:paraId="7DA56BA0">
            <w:pPr>
              <w:widowControl/>
              <w:jc w:val="center"/>
              <w:rPr>
                <w:rFonts w:ascii="Times New Roman" w:hAnsi="Times New Roman"/>
                <w:kern w:val="0"/>
                <w:sz w:val="22"/>
              </w:rPr>
            </w:pPr>
            <w:r>
              <w:rPr>
                <w:rFonts w:hint="eastAsia" w:ascii="Times New Roman" w:hAnsi="Times New Roman"/>
                <w:kern w:val="0"/>
                <w:sz w:val="22"/>
              </w:rPr>
              <w:t>0</w:t>
            </w:r>
          </w:p>
        </w:tc>
        <w:tc>
          <w:tcPr>
            <w:tcW w:w="567" w:type="dxa"/>
            <w:tcBorders>
              <w:top w:val="nil"/>
              <w:left w:val="nil"/>
              <w:bottom w:val="single" w:color="auto" w:sz="4" w:space="0"/>
              <w:right w:val="single" w:color="auto" w:sz="4" w:space="0"/>
            </w:tcBorders>
            <w:shd w:val="clear" w:color="000000" w:fill="FDE9D9"/>
            <w:noWrap/>
            <w:vAlign w:val="center"/>
          </w:tcPr>
          <w:p w14:paraId="24CBBAA2">
            <w:pPr>
              <w:widowControl/>
              <w:jc w:val="center"/>
              <w:rPr>
                <w:rFonts w:hint="eastAsia"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2EF2E3E7">
            <w:pPr>
              <w:widowControl/>
              <w:jc w:val="center"/>
              <w:rPr>
                <w:rFonts w:hint="eastAsia"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62D8A7E1">
            <w:pPr>
              <w:widowControl/>
              <w:jc w:val="center"/>
              <w:rPr>
                <w:rFonts w:hint="eastAsia" w:ascii="宋体" w:hAnsi="宋体" w:cs="宋体"/>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2FEAFBDC">
            <w:pPr>
              <w:widowControl/>
              <w:jc w:val="center"/>
              <w:rPr>
                <w:rFonts w:hint="eastAsia" w:ascii="宋体" w:hAnsi="宋体" w:cs="宋体"/>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BD760A2">
            <w:pPr>
              <w:widowControl/>
              <w:jc w:val="center"/>
              <w:rPr>
                <w:rFonts w:hint="eastAsia" w:ascii="宋体" w:hAnsi="宋体" w:cs="宋体"/>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61D92CC6">
            <w:pPr>
              <w:widowControl/>
              <w:jc w:val="center"/>
              <w:rPr>
                <w:rFonts w:hint="eastAsia" w:ascii="宋体" w:hAnsi="宋体" w:cs="宋体"/>
                <w:kern w:val="0"/>
                <w:sz w:val="22"/>
              </w:rPr>
            </w:pPr>
            <w:r>
              <w:rPr>
                <w:rFonts w:hint="eastAsia" w:ascii="宋体" w:hAnsi="宋体" w:cs="宋体"/>
                <w:kern w:val="0"/>
                <w:sz w:val="22"/>
              </w:rPr>
              <w:t>20</w:t>
            </w:r>
          </w:p>
        </w:tc>
        <w:tc>
          <w:tcPr>
            <w:tcW w:w="992" w:type="dxa"/>
            <w:tcBorders>
              <w:top w:val="nil"/>
              <w:left w:val="nil"/>
              <w:bottom w:val="single" w:color="auto" w:sz="4" w:space="0"/>
              <w:right w:val="single" w:color="auto" w:sz="4" w:space="0"/>
            </w:tcBorders>
            <w:shd w:val="clear" w:color="000000" w:fill="FFFF00"/>
            <w:noWrap/>
            <w:vAlign w:val="center"/>
          </w:tcPr>
          <w:p w14:paraId="704AAB91">
            <w:pPr>
              <w:widowControl/>
              <w:jc w:val="center"/>
              <w:rPr>
                <w:rFonts w:hint="eastAsia" w:ascii="宋体" w:hAnsi="宋体" w:cs="宋体"/>
                <w:kern w:val="0"/>
                <w:sz w:val="22"/>
              </w:rPr>
            </w:pPr>
          </w:p>
        </w:tc>
        <w:tc>
          <w:tcPr>
            <w:tcW w:w="709" w:type="dxa"/>
            <w:tcBorders>
              <w:top w:val="single" w:color="auto" w:sz="4" w:space="0"/>
              <w:left w:val="nil"/>
              <w:bottom w:val="single" w:color="auto" w:sz="4" w:space="0"/>
              <w:right w:val="single" w:color="auto" w:sz="4" w:space="0"/>
            </w:tcBorders>
            <w:shd w:val="clear" w:color="000000" w:fill="FFFF00"/>
            <w:vAlign w:val="center"/>
          </w:tcPr>
          <w:p w14:paraId="42C5627D">
            <w:pPr>
              <w:widowControl/>
              <w:jc w:val="center"/>
              <w:rPr>
                <w:rFonts w:hint="eastAsia" w:ascii="宋体" w:hAnsi="宋体" w:cs="宋体"/>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6B96A339">
            <w:pPr>
              <w:widowControl/>
              <w:jc w:val="center"/>
              <w:rPr>
                <w:rFonts w:hint="eastAsia" w:ascii="宋体" w:hAnsi="宋体" w:cs="宋体"/>
                <w:kern w:val="0"/>
                <w:sz w:val="22"/>
              </w:rPr>
            </w:pPr>
            <w:r>
              <w:rPr>
                <w:rFonts w:hint="eastAsia" w:ascii="宋体" w:hAnsi="宋体" w:cs="宋体"/>
                <w:kern w:val="0"/>
                <w:sz w:val="22"/>
              </w:rPr>
              <w:t>20</w:t>
            </w:r>
          </w:p>
        </w:tc>
      </w:tr>
      <w:tr w14:paraId="55A3D915">
        <w:tblPrEx>
          <w:tblCellMar>
            <w:top w:w="0" w:type="dxa"/>
            <w:left w:w="108" w:type="dxa"/>
            <w:bottom w:w="0" w:type="dxa"/>
            <w:right w:w="108" w:type="dxa"/>
          </w:tblCellMar>
        </w:tblPrEx>
        <w:trPr>
          <w:trHeight w:val="398"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07F65EF6">
            <w:pPr>
              <w:widowControl/>
              <w:jc w:val="center"/>
              <w:rPr>
                <w:rFonts w:hint="eastAsia" w:ascii="宋体" w:hAnsi="宋体" w:cs="宋体"/>
                <w:kern w:val="0"/>
                <w:sz w:val="22"/>
              </w:rPr>
            </w:pPr>
            <w:r>
              <w:rPr>
                <w:rFonts w:hint="eastAsia" w:ascii="宋体" w:hAnsi="宋体" w:cs="宋体"/>
                <w:kern w:val="0"/>
                <w:sz w:val="22"/>
              </w:rPr>
              <w:t>六</w:t>
            </w:r>
          </w:p>
        </w:tc>
        <w:tc>
          <w:tcPr>
            <w:tcW w:w="709" w:type="dxa"/>
            <w:tcBorders>
              <w:top w:val="nil"/>
              <w:left w:val="nil"/>
              <w:bottom w:val="single" w:color="auto" w:sz="4" w:space="0"/>
              <w:right w:val="single" w:color="auto" w:sz="4" w:space="0"/>
            </w:tcBorders>
            <w:shd w:val="clear" w:color="000000" w:fill="FDE9D9"/>
            <w:noWrap/>
            <w:vAlign w:val="center"/>
          </w:tcPr>
          <w:p w14:paraId="0AFDC3BA">
            <w:pPr>
              <w:widowControl/>
              <w:jc w:val="center"/>
              <w:rPr>
                <w:rFonts w:ascii="Times New Roman" w:hAnsi="Times New Roman"/>
                <w:kern w:val="0"/>
                <w:sz w:val="22"/>
              </w:rPr>
            </w:pPr>
            <w:r>
              <w:rPr>
                <w:rFonts w:hint="eastAsia" w:ascii="Times New Roman" w:hAnsi="Times New Roman"/>
                <w:kern w:val="0"/>
                <w:sz w:val="22"/>
              </w:rPr>
              <w:t>4</w:t>
            </w:r>
          </w:p>
        </w:tc>
        <w:tc>
          <w:tcPr>
            <w:tcW w:w="567" w:type="dxa"/>
            <w:tcBorders>
              <w:top w:val="nil"/>
              <w:left w:val="nil"/>
              <w:bottom w:val="single" w:color="auto" w:sz="4" w:space="0"/>
              <w:right w:val="single" w:color="auto" w:sz="4" w:space="0"/>
            </w:tcBorders>
            <w:shd w:val="clear" w:color="000000" w:fill="FDE9D9"/>
            <w:noWrap/>
            <w:vAlign w:val="center"/>
          </w:tcPr>
          <w:p w14:paraId="022D1728">
            <w:pPr>
              <w:widowControl/>
              <w:jc w:val="center"/>
              <w:rPr>
                <w:rFonts w:hint="eastAsia"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31D759E0">
            <w:pPr>
              <w:widowControl/>
              <w:jc w:val="center"/>
              <w:rPr>
                <w:rFonts w:hint="eastAsia"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33300FF4">
            <w:pPr>
              <w:widowControl/>
              <w:jc w:val="center"/>
              <w:rPr>
                <w:rFonts w:hint="eastAsia" w:ascii="宋体" w:hAnsi="宋体" w:cs="宋体"/>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5D045738">
            <w:pPr>
              <w:widowControl/>
              <w:jc w:val="center"/>
              <w:rPr>
                <w:rFonts w:hint="eastAsia" w:ascii="宋体" w:hAnsi="宋体" w:cs="宋体"/>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753F851D">
            <w:pPr>
              <w:widowControl/>
              <w:jc w:val="center"/>
              <w:rPr>
                <w:rFonts w:hint="eastAsia" w:ascii="宋体" w:hAnsi="宋体" w:cs="宋体"/>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01DB980D">
            <w:pPr>
              <w:widowControl/>
              <w:jc w:val="center"/>
              <w:rPr>
                <w:rFonts w:hint="eastAsia" w:ascii="宋体" w:hAnsi="宋体" w:cs="宋体"/>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729CCDE6">
            <w:pPr>
              <w:widowControl/>
              <w:jc w:val="center"/>
              <w:rPr>
                <w:rFonts w:hint="eastAsia" w:ascii="宋体" w:hAnsi="宋体" w:cs="宋体"/>
                <w:kern w:val="0"/>
                <w:sz w:val="22"/>
              </w:rPr>
            </w:pPr>
            <w:r>
              <w:rPr>
                <w:rFonts w:hint="eastAsia" w:ascii="宋体" w:hAnsi="宋体" w:cs="宋体"/>
                <w:kern w:val="0"/>
                <w:sz w:val="22"/>
              </w:rPr>
              <w:t>16</w:t>
            </w:r>
          </w:p>
        </w:tc>
        <w:tc>
          <w:tcPr>
            <w:tcW w:w="709" w:type="dxa"/>
            <w:tcBorders>
              <w:top w:val="single" w:color="auto" w:sz="4" w:space="0"/>
              <w:left w:val="nil"/>
              <w:bottom w:val="single" w:color="auto" w:sz="4" w:space="0"/>
              <w:right w:val="single" w:color="auto" w:sz="4" w:space="0"/>
            </w:tcBorders>
            <w:shd w:val="clear" w:color="000000" w:fill="FFFF00"/>
            <w:vAlign w:val="center"/>
          </w:tcPr>
          <w:p w14:paraId="3EC69142">
            <w:pPr>
              <w:widowControl/>
              <w:jc w:val="center"/>
              <w:rPr>
                <w:rFonts w:hint="eastAsia" w:ascii="宋体" w:hAnsi="宋体" w:cs="宋体"/>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7754986E">
            <w:pPr>
              <w:widowControl/>
              <w:jc w:val="center"/>
              <w:rPr>
                <w:rFonts w:hint="eastAsia" w:ascii="宋体" w:hAnsi="宋体" w:cs="宋体"/>
                <w:kern w:val="0"/>
                <w:sz w:val="22"/>
              </w:rPr>
            </w:pPr>
            <w:r>
              <w:rPr>
                <w:rFonts w:hint="eastAsia" w:ascii="宋体" w:hAnsi="宋体" w:cs="宋体"/>
                <w:kern w:val="0"/>
                <w:sz w:val="22"/>
              </w:rPr>
              <w:t>20</w:t>
            </w:r>
          </w:p>
        </w:tc>
      </w:tr>
      <w:tr w14:paraId="020371DB">
        <w:tblPrEx>
          <w:tblCellMar>
            <w:top w:w="0" w:type="dxa"/>
            <w:left w:w="108" w:type="dxa"/>
            <w:bottom w:w="0" w:type="dxa"/>
            <w:right w:w="108" w:type="dxa"/>
          </w:tblCellMar>
        </w:tblPrEx>
        <w:trPr>
          <w:trHeight w:val="398" w:hRule="atLeast"/>
          <w:jc w:val="center"/>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0DC103A">
            <w:pPr>
              <w:widowControl/>
              <w:jc w:val="center"/>
              <w:rPr>
                <w:rFonts w:hint="eastAsia" w:ascii="宋体" w:hAnsi="宋体" w:cs="宋体"/>
                <w:kern w:val="0"/>
                <w:sz w:val="22"/>
              </w:rPr>
            </w:pPr>
            <w:r>
              <w:rPr>
                <w:rFonts w:hint="eastAsia" w:ascii="宋体" w:hAnsi="宋体" w:cs="宋体"/>
                <w:kern w:val="0"/>
                <w:sz w:val="22"/>
              </w:rPr>
              <w:t>合</w:t>
            </w:r>
            <w:r>
              <w:rPr>
                <w:rFonts w:ascii="Times New Roman" w:hAnsi="Times New Roman"/>
                <w:kern w:val="0"/>
                <w:sz w:val="22"/>
              </w:rPr>
              <w:t xml:space="preserve">    </w:t>
            </w:r>
            <w:r>
              <w:rPr>
                <w:rFonts w:hint="eastAsia" w:ascii="宋体" w:hAnsi="宋体" w:cs="宋体"/>
                <w:kern w:val="0"/>
                <w:sz w:val="22"/>
              </w:rPr>
              <w:t>计</w:t>
            </w:r>
          </w:p>
        </w:tc>
        <w:tc>
          <w:tcPr>
            <w:tcW w:w="709" w:type="dxa"/>
            <w:tcBorders>
              <w:top w:val="nil"/>
              <w:left w:val="nil"/>
              <w:bottom w:val="single" w:color="auto" w:sz="4" w:space="0"/>
              <w:right w:val="single" w:color="auto" w:sz="4" w:space="0"/>
            </w:tcBorders>
            <w:shd w:val="clear" w:color="000000" w:fill="FDE9D9"/>
            <w:noWrap/>
            <w:vAlign w:val="center"/>
          </w:tcPr>
          <w:p w14:paraId="2AA4F200">
            <w:pPr>
              <w:widowControl/>
              <w:jc w:val="center"/>
              <w:rPr>
                <w:rFonts w:hint="eastAsia" w:ascii="宋体" w:hAnsi="宋体" w:cs="宋体"/>
                <w:kern w:val="0"/>
                <w:sz w:val="22"/>
              </w:rPr>
            </w:pPr>
            <w:r>
              <w:rPr>
                <w:rFonts w:hint="eastAsia" w:ascii="宋体" w:hAnsi="宋体" w:cs="宋体"/>
                <w:kern w:val="0"/>
                <w:sz w:val="22"/>
              </w:rPr>
              <w:t>68</w:t>
            </w:r>
          </w:p>
        </w:tc>
        <w:tc>
          <w:tcPr>
            <w:tcW w:w="567" w:type="dxa"/>
            <w:tcBorders>
              <w:top w:val="nil"/>
              <w:left w:val="nil"/>
              <w:bottom w:val="single" w:color="auto" w:sz="4" w:space="0"/>
              <w:right w:val="single" w:color="auto" w:sz="4" w:space="0"/>
            </w:tcBorders>
            <w:shd w:val="clear" w:color="000000" w:fill="FDE9D9"/>
            <w:noWrap/>
            <w:vAlign w:val="center"/>
          </w:tcPr>
          <w:p w14:paraId="3CB5D197">
            <w:pPr>
              <w:widowControl/>
              <w:jc w:val="center"/>
              <w:rPr>
                <w:rFonts w:hint="eastAsia" w:ascii="宋体" w:hAnsi="宋体" w:cs="宋体"/>
                <w:kern w:val="0"/>
                <w:sz w:val="22"/>
              </w:rPr>
            </w:pPr>
            <w:r>
              <w:rPr>
                <w:rFonts w:hint="eastAsia" w:ascii="宋体" w:hAnsi="宋体" w:cs="宋体"/>
                <w:kern w:val="0"/>
                <w:sz w:val="22"/>
              </w:rPr>
              <w:t>2</w:t>
            </w:r>
          </w:p>
        </w:tc>
        <w:tc>
          <w:tcPr>
            <w:tcW w:w="709" w:type="dxa"/>
            <w:tcBorders>
              <w:top w:val="nil"/>
              <w:left w:val="nil"/>
              <w:bottom w:val="single" w:color="auto" w:sz="4" w:space="0"/>
              <w:right w:val="single" w:color="auto" w:sz="4" w:space="0"/>
            </w:tcBorders>
            <w:shd w:val="clear" w:color="000000" w:fill="FDE9D9"/>
            <w:noWrap/>
            <w:vAlign w:val="center"/>
          </w:tcPr>
          <w:p w14:paraId="27DD8804">
            <w:pPr>
              <w:widowControl/>
              <w:jc w:val="center"/>
              <w:rPr>
                <w:rFonts w:hint="eastAsia" w:ascii="宋体" w:hAnsi="宋体" w:cs="宋体"/>
                <w:kern w:val="0"/>
                <w:sz w:val="22"/>
              </w:rPr>
            </w:pPr>
            <w:r>
              <w:rPr>
                <w:rFonts w:hint="eastAsia" w:ascii="宋体" w:hAnsi="宋体" w:cs="宋体"/>
                <w:kern w:val="0"/>
                <w:sz w:val="22"/>
              </w:rPr>
              <w:t>4</w:t>
            </w:r>
          </w:p>
        </w:tc>
        <w:tc>
          <w:tcPr>
            <w:tcW w:w="567" w:type="dxa"/>
            <w:tcBorders>
              <w:top w:val="nil"/>
              <w:left w:val="nil"/>
              <w:bottom w:val="single" w:color="auto" w:sz="4" w:space="0"/>
              <w:right w:val="single" w:color="auto" w:sz="4" w:space="0"/>
            </w:tcBorders>
            <w:shd w:val="clear" w:color="000000" w:fill="FDE9D9"/>
            <w:noWrap/>
            <w:vAlign w:val="center"/>
          </w:tcPr>
          <w:p w14:paraId="3C2FD108">
            <w:pPr>
              <w:widowControl/>
              <w:jc w:val="center"/>
              <w:rPr>
                <w:rFonts w:hint="eastAsia" w:ascii="宋体" w:hAnsi="宋体" w:cs="宋体"/>
                <w:kern w:val="0"/>
                <w:sz w:val="22"/>
              </w:rPr>
            </w:pPr>
            <w:r>
              <w:rPr>
                <w:rFonts w:hint="eastAsia" w:ascii="宋体" w:hAnsi="宋体" w:cs="宋体"/>
                <w:kern w:val="0"/>
                <w:sz w:val="22"/>
              </w:rPr>
              <w:t>1</w:t>
            </w:r>
          </w:p>
        </w:tc>
        <w:tc>
          <w:tcPr>
            <w:tcW w:w="708" w:type="dxa"/>
            <w:tcBorders>
              <w:top w:val="nil"/>
              <w:left w:val="nil"/>
              <w:bottom w:val="single" w:color="auto" w:sz="4" w:space="0"/>
              <w:right w:val="single" w:color="auto" w:sz="4" w:space="0"/>
            </w:tcBorders>
            <w:shd w:val="clear" w:color="000000" w:fill="FDE9D9"/>
            <w:noWrap/>
            <w:vAlign w:val="center"/>
          </w:tcPr>
          <w:p w14:paraId="4BC350A1">
            <w:pPr>
              <w:widowControl/>
              <w:jc w:val="center"/>
              <w:rPr>
                <w:rFonts w:hint="eastAsia" w:ascii="宋体" w:hAnsi="宋体" w:cs="宋体"/>
                <w:kern w:val="0"/>
                <w:sz w:val="22"/>
              </w:rPr>
            </w:pPr>
            <w:r>
              <w:rPr>
                <w:rFonts w:hint="eastAsia" w:ascii="宋体" w:hAnsi="宋体" w:cs="宋体"/>
                <w:kern w:val="0"/>
                <w:sz w:val="22"/>
              </w:rPr>
              <w:t>4</w:t>
            </w:r>
          </w:p>
        </w:tc>
        <w:tc>
          <w:tcPr>
            <w:tcW w:w="709" w:type="dxa"/>
            <w:tcBorders>
              <w:top w:val="nil"/>
              <w:left w:val="nil"/>
              <w:bottom w:val="single" w:color="auto" w:sz="4" w:space="0"/>
              <w:right w:val="single" w:color="auto" w:sz="4" w:space="0"/>
            </w:tcBorders>
            <w:shd w:val="clear" w:color="000000" w:fill="FFFF00"/>
            <w:noWrap/>
            <w:vAlign w:val="center"/>
          </w:tcPr>
          <w:p w14:paraId="68E6329E">
            <w:pPr>
              <w:widowControl/>
              <w:jc w:val="center"/>
              <w:rPr>
                <w:rFonts w:hint="eastAsia" w:ascii="宋体" w:hAnsi="宋体" w:cs="宋体"/>
                <w:kern w:val="0"/>
                <w:sz w:val="22"/>
              </w:rPr>
            </w:pPr>
            <w:r>
              <w:rPr>
                <w:rFonts w:hint="eastAsia" w:ascii="宋体" w:hAnsi="宋体" w:cs="宋体"/>
                <w:kern w:val="0"/>
                <w:sz w:val="22"/>
              </w:rPr>
              <w:t>1</w:t>
            </w:r>
          </w:p>
        </w:tc>
        <w:tc>
          <w:tcPr>
            <w:tcW w:w="851" w:type="dxa"/>
            <w:tcBorders>
              <w:top w:val="nil"/>
              <w:left w:val="nil"/>
              <w:bottom w:val="single" w:color="auto" w:sz="4" w:space="0"/>
              <w:right w:val="single" w:color="auto" w:sz="4" w:space="0"/>
            </w:tcBorders>
            <w:shd w:val="clear" w:color="000000" w:fill="FFFF00"/>
            <w:noWrap/>
            <w:vAlign w:val="center"/>
          </w:tcPr>
          <w:p w14:paraId="0AFBB15D">
            <w:pPr>
              <w:widowControl/>
              <w:jc w:val="center"/>
              <w:rPr>
                <w:rFonts w:hint="eastAsia" w:ascii="宋体" w:hAnsi="宋体" w:cs="宋体"/>
                <w:kern w:val="0"/>
                <w:sz w:val="22"/>
              </w:rPr>
            </w:pPr>
            <w:r>
              <w:rPr>
                <w:rFonts w:hint="eastAsia" w:ascii="宋体" w:hAnsi="宋体" w:cs="宋体"/>
                <w:kern w:val="0"/>
                <w:sz w:val="22"/>
              </w:rPr>
              <w:t>20</w:t>
            </w:r>
          </w:p>
        </w:tc>
        <w:tc>
          <w:tcPr>
            <w:tcW w:w="992" w:type="dxa"/>
            <w:tcBorders>
              <w:top w:val="nil"/>
              <w:left w:val="nil"/>
              <w:bottom w:val="single" w:color="auto" w:sz="4" w:space="0"/>
              <w:right w:val="single" w:color="auto" w:sz="4" w:space="0"/>
            </w:tcBorders>
            <w:shd w:val="clear" w:color="000000" w:fill="FFFF00"/>
            <w:noWrap/>
            <w:vAlign w:val="center"/>
          </w:tcPr>
          <w:p w14:paraId="6C00B628">
            <w:pPr>
              <w:widowControl/>
              <w:rPr>
                <w:rFonts w:hint="eastAsia" w:ascii="宋体" w:hAnsi="宋体" w:cs="宋体"/>
                <w:kern w:val="0"/>
                <w:sz w:val="22"/>
              </w:rPr>
            </w:pPr>
            <w:r>
              <w:rPr>
                <w:rFonts w:hint="eastAsia" w:ascii="宋体" w:hAnsi="宋体" w:cs="宋体"/>
                <w:kern w:val="0"/>
                <w:sz w:val="22"/>
              </w:rPr>
              <w:t>16</w:t>
            </w:r>
          </w:p>
        </w:tc>
        <w:tc>
          <w:tcPr>
            <w:tcW w:w="709" w:type="dxa"/>
            <w:tcBorders>
              <w:top w:val="single" w:color="auto" w:sz="4" w:space="0"/>
              <w:left w:val="nil"/>
              <w:bottom w:val="single" w:color="auto" w:sz="4" w:space="0"/>
              <w:right w:val="single" w:color="auto" w:sz="4" w:space="0"/>
            </w:tcBorders>
            <w:shd w:val="clear" w:color="000000" w:fill="FFFF00"/>
            <w:vAlign w:val="center"/>
          </w:tcPr>
          <w:p w14:paraId="07F3BD1B">
            <w:pPr>
              <w:widowControl/>
              <w:rPr>
                <w:rFonts w:hint="eastAsia" w:ascii="宋体" w:hAnsi="宋体" w:cs="宋体"/>
                <w:kern w:val="0"/>
                <w:sz w:val="22"/>
              </w:rPr>
            </w:pPr>
            <w:r>
              <w:rPr>
                <w:rFonts w:hint="eastAsia" w:ascii="宋体" w:hAnsi="宋体" w:cs="宋体"/>
                <w:kern w:val="0"/>
                <w:sz w:val="22"/>
              </w:rPr>
              <w:t>4</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4EA2B8E1">
            <w:pPr>
              <w:widowControl/>
              <w:jc w:val="center"/>
              <w:rPr>
                <w:rFonts w:hint="eastAsia" w:ascii="宋体" w:hAnsi="宋体" w:cs="宋体"/>
                <w:kern w:val="0"/>
                <w:sz w:val="22"/>
              </w:rPr>
            </w:pPr>
            <w:r>
              <w:rPr>
                <w:rFonts w:hint="eastAsia" w:ascii="宋体" w:hAnsi="宋体" w:cs="宋体"/>
                <w:kern w:val="0"/>
                <w:sz w:val="22"/>
              </w:rPr>
              <w:t>120</w:t>
            </w:r>
          </w:p>
        </w:tc>
      </w:tr>
      <w:tr w14:paraId="6F6C9B8C">
        <w:tblPrEx>
          <w:tblCellMar>
            <w:top w:w="0" w:type="dxa"/>
            <w:left w:w="108" w:type="dxa"/>
            <w:bottom w:w="0" w:type="dxa"/>
            <w:right w:w="108" w:type="dxa"/>
          </w:tblCellMar>
        </w:tblPrEx>
        <w:trPr>
          <w:trHeight w:val="398" w:hRule="atLeast"/>
          <w:jc w:val="center"/>
        </w:trPr>
        <w:tc>
          <w:tcPr>
            <w:tcW w:w="14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3757B54C">
            <w:pPr>
              <w:widowControl/>
              <w:jc w:val="center"/>
              <w:rPr>
                <w:rFonts w:hint="eastAsia" w:ascii="宋体" w:hAnsi="宋体" w:cs="宋体"/>
                <w:kern w:val="0"/>
                <w:sz w:val="22"/>
              </w:rPr>
            </w:pPr>
            <w:r>
              <w:rPr>
                <w:rFonts w:hint="eastAsia" w:ascii="宋体" w:hAnsi="宋体" w:cs="宋体"/>
                <w:kern w:val="0"/>
                <w:sz w:val="22"/>
              </w:rPr>
              <w:t>实践教学</w:t>
            </w:r>
          </w:p>
          <w:p w14:paraId="4DF0C005">
            <w:pPr>
              <w:widowControl/>
              <w:jc w:val="center"/>
              <w:rPr>
                <w:rFonts w:hint="eastAsia" w:ascii="宋体" w:hAnsi="宋体" w:cs="宋体"/>
                <w:kern w:val="0"/>
                <w:sz w:val="22"/>
              </w:rPr>
            </w:pPr>
            <w:r>
              <w:rPr>
                <w:rFonts w:hint="eastAsia" w:ascii="宋体" w:hAnsi="宋体" w:cs="宋体"/>
                <w:kern w:val="0"/>
                <w:sz w:val="22"/>
              </w:rPr>
              <w:t>场所</w:t>
            </w:r>
          </w:p>
        </w:tc>
        <w:tc>
          <w:tcPr>
            <w:tcW w:w="567" w:type="dxa"/>
            <w:tcBorders>
              <w:top w:val="nil"/>
              <w:left w:val="nil"/>
              <w:bottom w:val="single" w:color="auto" w:sz="4" w:space="0"/>
              <w:right w:val="single" w:color="auto" w:sz="4" w:space="0"/>
            </w:tcBorders>
            <w:shd w:val="clear" w:color="auto" w:fill="auto"/>
            <w:vAlign w:val="center"/>
          </w:tcPr>
          <w:p w14:paraId="5E06E5DD">
            <w:pPr>
              <w:widowControl/>
              <w:jc w:val="center"/>
              <w:rPr>
                <w:rFonts w:hint="eastAsia" w:ascii="宋体" w:hAnsi="宋体" w:cs="宋体"/>
                <w:kern w:val="0"/>
                <w:sz w:val="22"/>
              </w:rPr>
            </w:pPr>
            <w:r>
              <w:rPr>
                <w:rFonts w:hint="eastAsia" w:ascii="宋体" w:hAnsi="宋体" w:cs="宋体"/>
                <w:kern w:val="0"/>
                <w:sz w:val="22"/>
              </w:rPr>
              <w:t>实训室</w:t>
            </w:r>
          </w:p>
        </w:tc>
        <w:tc>
          <w:tcPr>
            <w:tcW w:w="709" w:type="dxa"/>
            <w:tcBorders>
              <w:top w:val="nil"/>
              <w:left w:val="nil"/>
              <w:bottom w:val="single" w:color="auto" w:sz="4" w:space="0"/>
              <w:right w:val="single" w:color="auto" w:sz="4" w:space="0"/>
            </w:tcBorders>
            <w:shd w:val="clear" w:color="auto" w:fill="auto"/>
            <w:vAlign w:val="center"/>
          </w:tcPr>
          <w:p w14:paraId="09BF23A8">
            <w:pPr>
              <w:widowControl/>
              <w:jc w:val="center"/>
              <w:rPr>
                <w:rFonts w:hint="eastAsia" w:ascii="宋体" w:hAnsi="宋体" w:cs="宋体"/>
                <w:kern w:val="0"/>
                <w:sz w:val="22"/>
              </w:rPr>
            </w:pPr>
            <w:r>
              <w:rPr>
                <w:rFonts w:hint="eastAsia" w:ascii="宋体" w:hAnsi="宋体" w:cs="宋体"/>
                <w:kern w:val="0"/>
                <w:sz w:val="22"/>
              </w:rPr>
              <w:t>实训室</w:t>
            </w:r>
          </w:p>
        </w:tc>
        <w:tc>
          <w:tcPr>
            <w:tcW w:w="567" w:type="dxa"/>
            <w:tcBorders>
              <w:top w:val="nil"/>
              <w:left w:val="nil"/>
              <w:bottom w:val="single" w:color="auto" w:sz="4" w:space="0"/>
              <w:right w:val="single" w:color="auto" w:sz="4" w:space="0"/>
            </w:tcBorders>
            <w:shd w:val="clear" w:color="auto" w:fill="auto"/>
            <w:vAlign w:val="center"/>
          </w:tcPr>
          <w:p w14:paraId="024C8764">
            <w:pPr>
              <w:widowControl/>
              <w:jc w:val="center"/>
              <w:rPr>
                <w:rFonts w:hint="eastAsia" w:ascii="宋体" w:hAnsi="宋体" w:cs="宋体"/>
                <w:kern w:val="0"/>
                <w:sz w:val="22"/>
              </w:rPr>
            </w:pPr>
            <w:r>
              <w:rPr>
                <w:rFonts w:hint="eastAsia" w:ascii="宋体" w:hAnsi="宋体" w:cs="宋体"/>
                <w:kern w:val="0"/>
                <w:sz w:val="22"/>
              </w:rPr>
              <w:t>实训室、校园</w:t>
            </w:r>
          </w:p>
        </w:tc>
        <w:tc>
          <w:tcPr>
            <w:tcW w:w="708" w:type="dxa"/>
            <w:tcBorders>
              <w:top w:val="nil"/>
              <w:left w:val="nil"/>
              <w:bottom w:val="single" w:color="auto" w:sz="4" w:space="0"/>
              <w:right w:val="single" w:color="auto" w:sz="4" w:space="0"/>
            </w:tcBorders>
            <w:shd w:val="clear" w:color="auto" w:fill="auto"/>
            <w:vAlign w:val="center"/>
          </w:tcPr>
          <w:p w14:paraId="52F30E9B">
            <w:pPr>
              <w:widowControl/>
              <w:jc w:val="center"/>
              <w:rPr>
                <w:rFonts w:hint="eastAsia" w:ascii="宋体" w:hAnsi="宋体" w:cs="宋体"/>
                <w:kern w:val="0"/>
                <w:sz w:val="22"/>
              </w:rPr>
            </w:pPr>
            <w:r>
              <w:rPr>
                <w:rFonts w:hint="eastAsia" w:ascii="宋体" w:hAnsi="宋体" w:cs="宋体"/>
                <w:kern w:val="0"/>
                <w:sz w:val="22"/>
              </w:rPr>
              <w:t>实训室</w:t>
            </w:r>
          </w:p>
        </w:tc>
        <w:tc>
          <w:tcPr>
            <w:tcW w:w="709" w:type="dxa"/>
            <w:tcBorders>
              <w:top w:val="nil"/>
              <w:left w:val="nil"/>
              <w:bottom w:val="single" w:color="auto" w:sz="4" w:space="0"/>
              <w:right w:val="single" w:color="auto" w:sz="4" w:space="0"/>
            </w:tcBorders>
            <w:shd w:val="clear" w:color="auto" w:fill="auto"/>
            <w:vAlign w:val="center"/>
          </w:tcPr>
          <w:p w14:paraId="6CDDF781">
            <w:pPr>
              <w:widowControl/>
              <w:jc w:val="center"/>
              <w:rPr>
                <w:rFonts w:hint="eastAsia" w:ascii="宋体" w:hAnsi="宋体" w:cs="宋体"/>
                <w:kern w:val="0"/>
                <w:sz w:val="22"/>
              </w:rPr>
            </w:pPr>
            <w:r>
              <w:rPr>
                <w:rFonts w:hint="eastAsia" w:ascii="宋体" w:hAnsi="宋体" w:cs="宋体"/>
                <w:kern w:val="0"/>
                <w:sz w:val="22"/>
              </w:rPr>
              <w:t>实训室、职场</w:t>
            </w:r>
          </w:p>
        </w:tc>
        <w:tc>
          <w:tcPr>
            <w:tcW w:w="851" w:type="dxa"/>
            <w:tcBorders>
              <w:top w:val="nil"/>
              <w:left w:val="nil"/>
              <w:bottom w:val="single" w:color="auto" w:sz="4" w:space="0"/>
              <w:right w:val="single" w:color="auto" w:sz="4" w:space="0"/>
            </w:tcBorders>
            <w:shd w:val="clear" w:color="auto" w:fill="auto"/>
            <w:vAlign w:val="center"/>
          </w:tcPr>
          <w:p w14:paraId="7F3ADCDD">
            <w:pPr>
              <w:widowControl/>
              <w:jc w:val="center"/>
              <w:rPr>
                <w:rFonts w:hint="eastAsia" w:ascii="宋体" w:hAnsi="宋体" w:cs="宋体"/>
                <w:kern w:val="0"/>
                <w:sz w:val="22"/>
              </w:rPr>
            </w:pPr>
            <w:r>
              <w:rPr>
                <w:rFonts w:hint="eastAsia" w:ascii="宋体" w:hAnsi="宋体" w:cs="宋体"/>
                <w:kern w:val="0"/>
                <w:sz w:val="22"/>
              </w:rPr>
              <w:t>企业职场</w:t>
            </w:r>
          </w:p>
        </w:tc>
        <w:tc>
          <w:tcPr>
            <w:tcW w:w="992" w:type="dxa"/>
            <w:tcBorders>
              <w:top w:val="nil"/>
              <w:left w:val="nil"/>
              <w:bottom w:val="single" w:color="auto" w:sz="4" w:space="0"/>
              <w:right w:val="single" w:color="auto" w:sz="4" w:space="0"/>
            </w:tcBorders>
            <w:shd w:val="clear" w:color="auto" w:fill="auto"/>
            <w:vAlign w:val="center"/>
          </w:tcPr>
          <w:p w14:paraId="4AD84AAF">
            <w:pPr>
              <w:widowControl/>
              <w:jc w:val="left"/>
              <w:rPr>
                <w:rFonts w:hint="eastAsia" w:ascii="宋体" w:hAnsi="宋体" w:cs="宋体"/>
                <w:kern w:val="0"/>
                <w:sz w:val="22"/>
              </w:rPr>
            </w:pPr>
            <w:r>
              <w:rPr>
                <w:rFonts w:hint="eastAsia" w:ascii="宋体" w:hAnsi="宋体" w:cs="宋体"/>
                <w:kern w:val="0"/>
                <w:sz w:val="22"/>
              </w:rPr>
              <w:t>企业职场</w:t>
            </w:r>
          </w:p>
        </w:tc>
        <w:tc>
          <w:tcPr>
            <w:tcW w:w="709" w:type="dxa"/>
            <w:tcBorders>
              <w:top w:val="single" w:color="auto" w:sz="4" w:space="0"/>
              <w:left w:val="nil"/>
              <w:bottom w:val="single" w:color="auto" w:sz="4" w:space="0"/>
              <w:right w:val="single" w:color="auto" w:sz="4" w:space="0"/>
            </w:tcBorders>
          </w:tcPr>
          <w:p w14:paraId="4C46039E">
            <w:pPr>
              <w:widowControl/>
              <w:jc w:val="left"/>
              <w:rPr>
                <w:rFonts w:hint="eastAsia" w:ascii="宋体" w:hAnsi="宋体" w:cs="宋体"/>
                <w:kern w:val="0"/>
                <w:sz w:val="22"/>
              </w:rPr>
            </w:pPr>
            <w:r>
              <w:rPr>
                <w:rFonts w:hint="eastAsia" w:ascii="宋体" w:hAnsi="宋体" w:cs="宋体"/>
                <w:kern w:val="0"/>
                <w:sz w:val="22"/>
              </w:rPr>
              <w:t>实训室</w:t>
            </w: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272013B8">
            <w:pPr>
              <w:widowControl/>
              <w:jc w:val="center"/>
              <w:rPr>
                <w:rFonts w:hint="eastAsia" w:ascii="宋体" w:hAnsi="宋体" w:cs="宋体"/>
                <w:kern w:val="0"/>
                <w:sz w:val="22"/>
              </w:rPr>
            </w:pPr>
            <w:r>
              <w:rPr>
                <w:rFonts w:hint="eastAsia" w:ascii="宋体" w:hAnsi="宋体" w:cs="宋体"/>
                <w:kern w:val="0"/>
                <w:sz w:val="22"/>
              </w:rPr>
              <w:t>　</w:t>
            </w:r>
          </w:p>
        </w:tc>
      </w:tr>
    </w:tbl>
    <w:p w14:paraId="11A901F9">
      <w:pPr>
        <w:ind w:firstLine="562" w:firstLineChars="200"/>
        <w:rPr>
          <w:rFonts w:ascii="Arial" w:hAnsi="Arial" w:eastAsia="黑体"/>
          <w:b/>
          <w:bCs/>
          <w:sz w:val="28"/>
          <w:szCs w:val="28"/>
        </w:rPr>
      </w:pPr>
      <w:r>
        <w:rPr>
          <w:rFonts w:hint="eastAsia" w:ascii="Arial" w:hAnsi="Arial" w:eastAsia="黑体"/>
          <w:b/>
          <w:bCs/>
          <w:sz w:val="28"/>
          <w:szCs w:val="28"/>
        </w:rPr>
        <w:t>（四）素质教育体系</w:t>
      </w:r>
    </w:p>
    <w:p w14:paraId="4EF8947A">
      <w:pPr>
        <w:keepNext/>
        <w:keepLines/>
        <w:spacing w:line="500" w:lineRule="exact"/>
        <w:ind w:firstLine="482" w:firstLineChars="200"/>
        <w:outlineLvl w:val="1"/>
        <w:rPr>
          <w:rFonts w:ascii="Arial" w:hAnsi="Arial" w:eastAsia="黑体"/>
          <w:b/>
          <w:bCs/>
          <w:color w:val="000000"/>
          <w:sz w:val="24"/>
          <w:szCs w:val="24"/>
        </w:rPr>
      </w:pPr>
      <w:r>
        <w:rPr>
          <w:rFonts w:hint="eastAsia" w:ascii="Arial" w:hAnsi="Arial" w:eastAsia="黑体"/>
          <w:b/>
          <w:bCs/>
          <w:color w:val="000000"/>
          <w:sz w:val="24"/>
          <w:szCs w:val="24"/>
        </w:rPr>
        <w:t>1.综合素养提升教育</w:t>
      </w:r>
    </w:p>
    <w:p w14:paraId="72F344CF">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2048298F">
      <w:pPr>
        <w:spacing w:line="360" w:lineRule="auto"/>
        <w:ind w:firstLine="480" w:firstLineChars="200"/>
        <w:rPr>
          <w:sz w:val="24"/>
        </w:rPr>
      </w:pPr>
      <w:r>
        <w:rPr>
          <w:rFonts w:hint="eastAsia"/>
          <w:sz w:val="24"/>
        </w:rPr>
        <w:t>不得修学：</w:t>
      </w:r>
    </w:p>
    <w:p w14:paraId="6DB35CF2">
      <w:pPr>
        <w:spacing w:line="360" w:lineRule="auto"/>
        <w:ind w:firstLine="480" w:firstLineChars="200"/>
        <w:rPr>
          <w:b/>
          <w:bCs/>
          <w:sz w:val="24"/>
        </w:rPr>
      </w:pPr>
      <w:r>
        <w:rPr>
          <w:rFonts w:hint="eastAsia"/>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2D8EB19D">
      <w:pPr>
        <w:spacing w:line="360" w:lineRule="auto"/>
        <w:ind w:firstLine="480" w:firstLineChars="200"/>
        <w:rPr>
          <w:sz w:val="24"/>
        </w:rPr>
      </w:pPr>
      <w:r>
        <w:rPr>
          <w:rFonts w:hint="eastAsia"/>
          <w:sz w:val="24"/>
        </w:rPr>
        <w:t>（2）</w:t>
      </w:r>
      <w:r>
        <w:rPr>
          <w:rFonts w:hint="eastAsia"/>
          <w:b/>
          <w:bCs/>
          <w:sz w:val="24"/>
        </w:rPr>
        <w:t>已考核通过的公共任选、限选课程</w:t>
      </w:r>
      <w:r>
        <w:rPr>
          <w:rFonts w:hint="eastAsia"/>
          <w:sz w:val="24"/>
        </w:rPr>
        <w:t>，否则不予记载学分。</w:t>
      </w:r>
    </w:p>
    <w:p w14:paraId="60094C6D">
      <w:pPr>
        <w:spacing w:line="500" w:lineRule="exact"/>
        <w:ind w:left="241" w:hanging="241" w:hangingChars="100"/>
        <w:jc w:val="center"/>
        <w:rPr>
          <w:rFonts w:hint="eastAsia" w:ascii="宋体" w:hAnsi="宋体"/>
          <w:b/>
          <w:color w:val="000000"/>
          <w:sz w:val="24"/>
          <w:szCs w:val="24"/>
        </w:rPr>
      </w:pPr>
      <w:r>
        <w:rPr>
          <w:rFonts w:hint="eastAsia" w:ascii="宋体" w:hAnsi="宋体"/>
          <w:b/>
          <w:color w:val="000000"/>
          <w:sz w:val="24"/>
          <w:szCs w:val="24"/>
        </w:rPr>
        <w:t xml:space="preserve">表7 </w:t>
      </w:r>
      <w:r>
        <w:rPr>
          <w:rFonts w:ascii="宋体" w:hAnsi="宋体"/>
          <w:b/>
          <w:color w:val="000000"/>
          <w:sz w:val="24"/>
          <w:szCs w:val="24"/>
        </w:rPr>
        <w:t xml:space="preserve"> </w:t>
      </w:r>
      <w:r>
        <w:rPr>
          <w:rFonts w:hint="eastAsia" w:ascii="宋体" w:hAnsi="宋体"/>
          <w:b/>
          <w:color w:val="000000"/>
          <w:sz w:val="24"/>
          <w:szCs w:val="24"/>
        </w:rPr>
        <w:t>素养提升课程一览表</w:t>
      </w:r>
    </w:p>
    <w:tbl>
      <w:tblPr>
        <w:tblStyle w:val="24"/>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14:paraId="07EE1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14:paraId="3BEA9297">
            <w:pPr>
              <w:widowControl/>
              <w:jc w:val="center"/>
              <w:rPr>
                <w:rFonts w:hint="eastAsia" w:ascii="宋体" w:hAnsi="宋体" w:cs="宋体"/>
                <w:b/>
                <w:bCs/>
                <w:kern w:val="0"/>
                <w:szCs w:val="21"/>
              </w:rPr>
            </w:pPr>
            <w:r>
              <w:rPr>
                <w:rFonts w:hint="eastAsia" w:ascii="宋体" w:hAnsi="宋体" w:cs="宋体"/>
                <w:b/>
                <w:bCs/>
                <w:kern w:val="0"/>
                <w:szCs w:val="21"/>
              </w:rPr>
              <w:t>类别</w:t>
            </w:r>
          </w:p>
        </w:tc>
        <w:tc>
          <w:tcPr>
            <w:tcW w:w="827" w:type="dxa"/>
            <w:vAlign w:val="center"/>
          </w:tcPr>
          <w:p w14:paraId="6A66515E">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14:paraId="56201396">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14:paraId="54F750F0">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14:paraId="07504B5E">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14:paraId="2AEF9A22">
            <w:pPr>
              <w:widowControl/>
              <w:jc w:val="center"/>
              <w:rPr>
                <w:rFonts w:ascii="宋体"/>
                <w:b/>
                <w:bCs/>
                <w:kern w:val="0"/>
                <w:szCs w:val="21"/>
              </w:rPr>
            </w:pPr>
            <w:r>
              <w:rPr>
                <w:rFonts w:hint="eastAsia" w:ascii="宋体" w:hAnsi="宋体" w:cs="宋体"/>
                <w:b/>
                <w:bCs/>
                <w:kern w:val="0"/>
                <w:szCs w:val="21"/>
              </w:rPr>
              <w:t>学时</w:t>
            </w:r>
          </w:p>
        </w:tc>
        <w:tc>
          <w:tcPr>
            <w:tcW w:w="1640" w:type="dxa"/>
            <w:vAlign w:val="center"/>
          </w:tcPr>
          <w:p w14:paraId="29F3456E">
            <w:pPr>
              <w:widowControl/>
              <w:jc w:val="center"/>
              <w:rPr>
                <w:rFonts w:ascii="宋体"/>
                <w:b/>
                <w:bCs/>
                <w:kern w:val="0"/>
                <w:szCs w:val="21"/>
              </w:rPr>
            </w:pPr>
            <w:r>
              <w:rPr>
                <w:rFonts w:hint="eastAsia" w:ascii="宋体" w:hAnsi="宋体" w:cs="宋体"/>
                <w:b/>
                <w:bCs/>
                <w:kern w:val="0"/>
                <w:szCs w:val="21"/>
              </w:rPr>
              <w:t>备注</w:t>
            </w:r>
          </w:p>
        </w:tc>
      </w:tr>
      <w:tr w14:paraId="0AF99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49D9D6AE">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14:paraId="7FB87900">
            <w:pPr>
              <w:widowControl/>
              <w:jc w:val="center"/>
              <w:rPr>
                <w:rFonts w:ascii="宋体"/>
                <w:kern w:val="0"/>
                <w:sz w:val="18"/>
                <w:szCs w:val="18"/>
              </w:rPr>
            </w:pPr>
            <w:r>
              <w:rPr>
                <w:rFonts w:hint="eastAsia" w:ascii="宋体" w:cs="宋体"/>
                <w:kern w:val="0"/>
                <w:sz w:val="18"/>
                <w:szCs w:val="18"/>
              </w:rPr>
              <w:t>1</w:t>
            </w:r>
          </w:p>
        </w:tc>
        <w:tc>
          <w:tcPr>
            <w:tcW w:w="2016" w:type="dxa"/>
            <w:vAlign w:val="center"/>
          </w:tcPr>
          <w:p w14:paraId="6A2E161E">
            <w:pPr>
              <w:widowControl/>
              <w:jc w:val="center"/>
              <w:rPr>
                <w:rFonts w:ascii="宋体"/>
                <w:sz w:val="18"/>
                <w:szCs w:val="18"/>
              </w:rPr>
            </w:pPr>
            <w:r>
              <w:rPr>
                <w:rFonts w:hint="eastAsia" w:ascii="宋体" w:cs="宋体"/>
                <w:sz w:val="18"/>
                <w:szCs w:val="18"/>
              </w:rPr>
              <w:t>国家安全教育</w:t>
            </w:r>
          </w:p>
        </w:tc>
        <w:tc>
          <w:tcPr>
            <w:tcW w:w="1385" w:type="dxa"/>
            <w:vAlign w:val="center"/>
          </w:tcPr>
          <w:p w14:paraId="3FCB8C60">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256648F">
            <w:pPr>
              <w:widowControl/>
              <w:jc w:val="center"/>
              <w:rPr>
                <w:rFonts w:ascii="宋体"/>
                <w:kern w:val="0"/>
                <w:sz w:val="18"/>
                <w:szCs w:val="18"/>
              </w:rPr>
            </w:pPr>
            <w:r>
              <w:rPr>
                <w:rFonts w:ascii="宋体" w:cs="宋体"/>
                <w:kern w:val="0"/>
                <w:sz w:val="18"/>
                <w:szCs w:val="18"/>
              </w:rPr>
              <w:t>1</w:t>
            </w:r>
          </w:p>
        </w:tc>
        <w:tc>
          <w:tcPr>
            <w:tcW w:w="912" w:type="dxa"/>
            <w:vAlign w:val="center"/>
          </w:tcPr>
          <w:p w14:paraId="5D9F0207">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176FCB0D">
            <w:pPr>
              <w:jc w:val="center"/>
              <w:rPr>
                <w:rFonts w:ascii="宋体"/>
                <w:b/>
                <w:color w:val="FF0000"/>
                <w:kern w:val="0"/>
                <w:sz w:val="18"/>
                <w:szCs w:val="18"/>
              </w:rPr>
            </w:pPr>
            <w:r>
              <w:rPr>
                <w:rFonts w:hint="eastAsia" w:ascii="宋体"/>
                <w:b/>
                <w:color w:val="FF0000"/>
                <w:kern w:val="0"/>
                <w:sz w:val="18"/>
                <w:szCs w:val="18"/>
              </w:rPr>
              <w:t>每位学生公共选修课程总学分数最少4学分</w:t>
            </w:r>
          </w:p>
        </w:tc>
      </w:tr>
      <w:tr w14:paraId="6A17F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C551D84">
            <w:pPr>
              <w:widowControl/>
              <w:jc w:val="center"/>
              <w:rPr>
                <w:rFonts w:hint="eastAsia" w:ascii="宋体" w:hAnsi="宋体" w:cs="宋体"/>
                <w:kern w:val="0"/>
                <w:sz w:val="18"/>
                <w:szCs w:val="18"/>
              </w:rPr>
            </w:pPr>
          </w:p>
        </w:tc>
        <w:tc>
          <w:tcPr>
            <w:tcW w:w="827" w:type="dxa"/>
            <w:vAlign w:val="center"/>
          </w:tcPr>
          <w:p w14:paraId="5FDF648B">
            <w:pPr>
              <w:widowControl/>
              <w:jc w:val="center"/>
              <w:rPr>
                <w:rFonts w:hint="eastAsia" w:ascii="宋体" w:hAnsi="宋体"/>
                <w:kern w:val="0"/>
                <w:sz w:val="18"/>
                <w:szCs w:val="18"/>
              </w:rPr>
            </w:pPr>
            <w:r>
              <w:rPr>
                <w:rFonts w:hint="eastAsia" w:ascii="宋体" w:hAnsi="宋体" w:cs="宋体"/>
                <w:kern w:val="0"/>
                <w:sz w:val="18"/>
                <w:szCs w:val="18"/>
              </w:rPr>
              <w:t>2</w:t>
            </w:r>
          </w:p>
        </w:tc>
        <w:tc>
          <w:tcPr>
            <w:tcW w:w="2016" w:type="dxa"/>
            <w:vAlign w:val="center"/>
          </w:tcPr>
          <w:p w14:paraId="51F9FC6A">
            <w:pPr>
              <w:widowControl/>
              <w:jc w:val="center"/>
              <w:rPr>
                <w:rFonts w:ascii="宋体"/>
                <w:sz w:val="18"/>
                <w:szCs w:val="18"/>
              </w:rPr>
            </w:pPr>
            <w:r>
              <w:rPr>
                <w:rFonts w:hint="eastAsia" w:ascii="宋体" w:cs="宋体"/>
                <w:sz w:val="18"/>
                <w:szCs w:val="18"/>
              </w:rPr>
              <w:t>文学鉴赏</w:t>
            </w:r>
          </w:p>
        </w:tc>
        <w:tc>
          <w:tcPr>
            <w:tcW w:w="1385" w:type="dxa"/>
            <w:vAlign w:val="center"/>
          </w:tcPr>
          <w:p w14:paraId="431B3056">
            <w:pPr>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42CAED9">
            <w:pPr>
              <w:jc w:val="center"/>
              <w:rPr>
                <w:rFonts w:hint="eastAsia" w:ascii="宋体" w:hAnsi="宋体"/>
                <w:kern w:val="0"/>
                <w:sz w:val="18"/>
                <w:szCs w:val="18"/>
              </w:rPr>
            </w:pPr>
            <w:r>
              <w:rPr>
                <w:rFonts w:ascii="宋体" w:cs="宋体"/>
                <w:kern w:val="0"/>
                <w:sz w:val="18"/>
                <w:szCs w:val="18"/>
              </w:rPr>
              <w:t>1</w:t>
            </w:r>
          </w:p>
        </w:tc>
        <w:tc>
          <w:tcPr>
            <w:tcW w:w="912" w:type="dxa"/>
            <w:vAlign w:val="center"/>
          </w:tcPr>
          <w:p w14:paraId="3B81AB02">
            <w:pPr>
              <w:jc w:val="center"/>
              <w:rPr>
                <w:rFonts w:hint="eastAsia" w:ascii="宋体" w:hAnsi="宋体"/>
                <w:kern w:val="0"/>
                <w:sz w:val="18"/>
                <w:szCs w:val="18"/>
              </w:rPr>
            </w:pPr>
            <w:r>
              <w:rPr>
                <w:rFonts w:ascii="宋体" w:cs="宋体"/>
                <w:kern w:val="0"/>
                <w:sz w:val="18"/>
                <w:szCs w:val="18"/>
              </w:rPr>
              <w:t>32</w:t>
            </w:r>
          </w:p>
        </w:tc>
        <w:tc>
          <w:tcPr>
            <w:tcW w:w="1640" w:type="dxa"/>
            <w:vMerge w:val="continue"/>
            <w:vAlign w:val="center"/>
          </w:tcPr>
          <w:p w14:paraId="38D4CDD3">
            <w:pPr>
              <w:jc w:val="center"/>
              <w:rPr>
                <w:rFonts w:ascii="宋体"/>
                <w:kern w:val="0"/>
                <w:sz w:val="18"/>
                <w:szCs w:val="18"/>
              </w:rPr>
            </w:pPr>
          </w:p>
        </w:tc>
      </w:tr>
      <w:tr w14:paraId="4176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8C4E4E2">
            <w:pPr>
              <w:widowControl/>
              <w:jc w:val="center"/>
              <w:rPr>
                <w:rFonts w:hint="eastAsia" w:ascii="宋体" w:hAnsi="宋体" w:cs="宋体"/>
                <w:kern w:val="0"/>
                <w:sz w:val="18"/>
                <w:szCs w:val="18"/>
              </w:rPr>
            </w:pPr>
          </w:p>
        </w:tc>
        <w:tc>
          <w:tcPr>
            <w:tcW w:w="827" w:type="dxa"/>
            <w:vAlign w:val="center"/>
          </w:tcPr>
          <w:p w14:paraId="7ECF4EC8">
            <w:pPr>
              <w:widowControl/>
              <w:jc w:val="center"/>
              <w:rPr>
                <w:rFonts w:hint="eastAsia" w:ascii="宋体" w:hAnsi="宋体"/>
                <w:kern w:val="0"/>
                <w:sz w:val="18"/>
                <w:szCs w:val="18"/>
              </w:rPr>
            </w:pPr>
            <w:r>
              <w:rPr>
                <w:rFonts w:hint="eastAsia" w:ascii="宋体" w:hAnsi="宋体" w:cs="宋体"/>
                <w:kern w:val="0"/>
                <w:sz w:val="18"/>
                <w:szCs w:val="18"/>
              </w:rPr>
              <w:t>3</w:t>
            </w:r>
          </w:p>
        </w:tc>
        <w:tc>
          <w:tcPr>
            <w:tcW w:w="2016" w:type="dxa"/>
            <w:vAlign w:val="center"/>
          </w:tcPr>
          <w:p w14:paraId="21C20F97">
            <w:pPr>
              <w:widowControl/>
              <w:jc w:val="center"/>
              <w:rPr>
                <w:rFonts w:ascii="宋体"/>
                <w:sz w:val="18"/>
                <w:szCs w:val="18"/>
              </w:rPr>
            </w:pPr>
            <w:r>
              <w:rPr>
                <w:rFonts w:hint="eastAsia" w:ascii="宋体" w:cs="宋体"/>
                <w:sz w:val="18"/>
                <w:szCs w:val="18"/>
              </w:rPr>
              <w:t>影视鉴赏</w:t>
            </w:r>
          </w:p>
        </w:tc>
        <w:tc>
          <w:tcPr>
            <w:tcW w:w="1385" w:type="dxa"/>
            <w:vAlign w:val="center"/>
          </w:tcPr>
          <w:p w14:paraId="4594829F">
            <w:pPr>
              <w:widowControl/>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89DC05B">
            <w:pPr>
              <w:widowControl/>
              <w:jc w:val="center"/>
              <w:rPr>
                <w:rFonts w:hint="eastAsia" w:ascii="宋体" w:hAnsi="宋体"/>
                <w:kern w:val="0"/>
                <w:sz w:val="18"/>
                <w:szCs w:val="18"/>
              </w:rPr>
            </w:pPr>
            <w:r>
              <w:rPr>
                <w:rFonts w:ascii="宋体" w:cs="宋体"/>
                <w:kern w:val="0"/>
                <w:sz w:val="18"/>
                <w:szCs w:val="18"/>
              </w:rPr>
              <w:t>1</w:t>
            </w:r>
          </w:p>
        </w:tc>
        <w:tc>
          <w:tcPr>
            <w:tcW w:w="912" w:type="dxa"/>
            <w:vAlign w:val="center"/>
          </w:tcPr>
          <w:p w14:paraId="4560D21A">
            <w:pPr>
              <w:widowControl/>
              <w:jc w:val="center"/>
              <w:rPr>
                <w:rFonts w:hint="eastAsia" w:ascii="宋体" w:hAnsi="宋体"/>
                <w:kern w:val="0"/>
                <w:sz w:val="18"/>
                <w:szCs w:val="18"/>
              </w:rPr>
            </w:pPr>
            <w:r>
              <w:rPr>
                <w:rFonts w:ascii="宋体" w:cs="宋体"/>
                <w:kern w:val="0"/>
                <w:sz w:val="18"/>
                <w:szCs w:val="18"/>
              </w:rPr>
              <w:t>32</w:t>
            </w:r>
          </w:p>
        </w:tc>
        <w:tc>
          <w:tcPr>
            <w:tcW w:w="1640" w:type="dxa"/>
            <w:vMerge w:val="continue"/>
            <w:vAlign w:val="center"/>
          </w:tcPr>
          <w:p w14:paraId="74D265BF">
            <w:pPr>
              <w:jc w:val="center"/>
              <w:rPr>
                <w:rFonts w:ascii="宋体"/>
                <w:kern w:val="0"/>
                <w:sz w:val="18"/>
                <w:szCs w:val="18"/>
              </w:rPr>
            </w:pPr>
          </w:p>
        </w:tc>
      </w:tr>
      <w:tr w14:paraId="1FF3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2249AC3">
            <w:pPr>
              <w:widowControl/>
              <w:jc w:val="center"/>
              <w:rPr>
                <w:rFonts w:hint="eastAsia" w:ascii="宋体" w:hAnsi="宋体" w:cs="宋体"/>
                <w:kern w:val="0"/>
                <w:sz w:val="18"/>
                <w:szCs w:val="18"/>
              </w:rPr>
            </w:pPr>
          </w:p>
        </w:tc>
        <w:tc>
          <w:tcPr>
            <w:tcW w:w="827" w:type="dxa"/>
            <w:vAlign w:val="center"/>
          </w:tcPr>
          <w:p w14:paraId="7D615F11">
            <w:pPr>
              <w:widowControl/>
              <w:jc w:val="center"/>
              <w:rPr>
                <w:rFonts w:hint="eastAsia" w:ascii="宋体" w:hAnsi="宋体"/>
                <w:kern w:val="0"/>
                <w:sz w:val="18"/>
                <w:szCs w:val="18"/>
              </w:rPr>
            </w:pPr>
            <w:r>
              <w:rPr>
                <w:rFonts w:hint="eastAsia" w:ascii="宋体" w:hAnsi="宋体" w:cs="宋体"/>
                <w:kern w:val="0"/>
                <w:sz w:val="18"/>
                <w:szCs w:val="18"/>
              </w:rPr>
              <w:t>4</w:t>
            </w:r>
          </w:p>
        </w:tc>
        <w:tc>
          <w:tcPr>
            <w:tcW w:w="2016" w:type="dxa"/>
            <w:vAlign w:val="center"/>
          </w:tcPr>
          <w:p w14:paraId="3F1CB5B1">
            <w:pPr>
              <w:widowControl/>
              <w:jc w:val="center"/>
              <w:rPr>
                <w:rFonts w:ascii="宋体"/>
                <w:sz w:val="18"/>
                <w:szCs w:val="18"/>
              </w:rPr>
            </w:pPr>
            <w:r>
              <w:rPr>
                <w:rFonts w:hint="eastAsia" w:ascii="宋体" w:cs="宋体"/>
                <w:sz w:val="18"/>
                <w:szCs w:val="18"/>
              </w:rPr>
              <w:t>创新中国</w:t>
            </w:r>
          </w:p>
        </w:tc>
        <w:tc>
          <w:tcPr>
            <w:tcW w:w="1385" w:type="dxa"/>
            <w:vAlign w:val="center"/>
          </w:tcPr>
          <w:p w14:paraId="7777AD4E">
            <w:pPr>
              <w:widowControl/>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1E44719">
            <w:pPr>
              <w:widowControl/>
              <w:jc w:val="center"/>
              <w:rPr>
                <w:rFonts w:hint="eastAsia" w:ascii="宋体" w:hAnsi="宋体"/>
                <w:kern w:val="0"/>
                <w:sz w:val="18"/>
                <w:szCs w:val="18"/>
              </w:rPr>
            </w:pPr>
            <w:r>
              <w:rPr>
                <w:rFonts w:ascii="宋体" w:cs="宋体"/>
                <w:kern w:val="0"/>
                <w:sz w:val="18"/>
                <w:szCs w:val="18"/>
              </w:rPr>
              <w:t>1</w:t>
            </w:r>
          </w:p>
        </w:tc>
        <w:tc>
          <w:tcPr>
            <w:tcW w:w="912" w:type="dxa"/>
            <w:vAlign w:val="center"/>
          </w:tcPr>
          <w:p w14:paraId="4D6FDC0E">
            <w:pPr>
              <w:widowControl/>
              <w:jc w:val="center"/>
              <w:rPr>
                <w:rFonts w:hint="eastAsia" w:ascii="宋体" w:hAnsi="宋体"/>
                <w:kern w:val="0"/>
                <w:sz w:val="18"/>
                <w:szCs w:val="18"/>
              </w:rPr>
            </w:pPr>
            <w:r>
              <w:rPr>
                <w:rFonts w:ascii="宋体" w:cs="宋体"/>
                <w:kern w:val="0"/>
                <w:sz w:val="18"/>
                <w:szCs w:val="18"/>
              </w:rPr>
              <w:t>32</w:t>
            </w:r>
          </w:p>
        </w:tc>
        <w:tc>
          <w:tcPr>
            <w:tcW w:w="1640" w:type="dxa"/>
            <w:vMerge w:val="continue"/>
            <w:vAlign w:val="center"/>
          </w:tcPr>
          <w:p w14:paraId="671D61F4">
            <w:pPr>
              <w:jc w:val="center"/>
              <w:rPr>
                <w:rFonts w:ascii="宋体"/>
                <w:kern w:val="0"/>
                <w:sz w:val="18"/>
                <w:szCs w:val="18"/>
              </w:rPr>
            </w:pPr>
          </w:p>
        </w:tc>
      </w:tr>
      <w:tr w14:paraId="590E4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B1C0577">
            <w:pPr>
              <w:widowControl/>
              <w:jc w:val="center"/>
              <w:rPr>
                <w:rFonts w:hint="eastAsia" w:ascii="宋体" w:hAnsi="宋体" w:cs="宋体"/>
                <w:kern w:val="0"/>
                <w:sz w:val="18"/>
                <w:szCs w:val="18"/>
              </w:rPr>
            </w:pPr>
          </w:p>
        </w:tc>
        <w:tc>
          <w:tcPr>
            <w:tcW w:w="827" w:type="dxa"/>
            <w:vAlign w:val="center"/>
          </w:tcPr>
          <w:p w14:paraId="69DCE21E">
            <w:pPr>
              <w:widowControl/>
              <w:jc w:val="center"/>
              <w:rPr>
                <w:rFonts w:hint="eastAsia" w:ascii="宋体" w:hAnsi="宋体"/>
                <w:kern w:val="0"/>
                <w:sz w:val="18"/>
                <w:szCs w:val="18"/>
              </w:rPr>
            </w:pPr>
            <w:r>
              <w:rPr>
                <w:rFonts w:hint="eastAsia" w:ascii="宋体" w:hAnsi="宋体" w:cs="宋体"/>
                <w:kern w:val="0"/>
                <w:sz w:val="18"/>
                <w:szCs w:val="18"/>
              </w:rPr>
              <w:t>5</w:t>
            </w:r>
          </w:p>
        </w:tc>
        <w:tc>
          <w:tcPr>
            <w:tcW w:w="2016" w:type="dxa"/>
            <w:vAlign w:val="center"/>
          </w:tcPr>
          <w:p w14:paraId="7B59661F">
            <w:pPr>
              <w:widowControl/>
              <w:jc w:val="center"/>
              <w:rPr>
                <w:rFonts w:ascii="宋体"/>
                <w:sz w:val="18"/>
                <w:szCs w:val="18"/>
              </w:rPr>
            </w:pPr>
            <w:r>
              <w:rPr>
                <w:rFonts w:hint="eastAsia" w:ascii="宋体" w:cs="宋体"/>
                <w:sz w:val="18"/>
                <w:szCs w:val="18"/>
              </w:rPr>
              <w:t>企业绿色管理</w:t>
            </w:r>
          </w:p>
        </w:tc>
        <w:tc>
          <w:tcPr>
            <w:tcW w:w="1385" w:type="dxa"/>
            <w:vAlign w:val="center"/>
          </w:tcPr>
          <w:p w14:paraId="07ADBA16">
            <w:pPr>
              <w:widowControl/>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A9A933C">
            <w:pPr>
              <w:widowControl/>
              <w:jc w:val="center"/>
              <w:rPr>
                <w:rFonts w:hint="eastAsia" w:ascii="宋体" w:hAnsi="宋体"/>
                <w:kern w:val="0"/>
                <w:sz w:val="18"/>
                <w:szCs w:val="18"/>
              </w:rPr>
            </w:pPr>
            <w:r>
              <w:rPr>
                <w:rFonts w:ascii="宋体" w:cs="宋体"/>
                <w:kern w:val="0"/>
                <w:sz w:val="18"/>
                <w:szCs w:val="18"/>
              </w:rPr>
              <w:t>1</w:t>
            </w:r>
          </w:p>
        </w:tc>
        <w:tc>
          <w:tcPr>
            <w:tcW w:w="912" w:type="dxa"/>
            <w:vAlign w:val="center"/>
          </w:tcPr>
          <w:p w14:paraId="49B491BF">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3BAF8CE6">
            <w:pPr>
              <w:jc w:val="center"/>
              <w:rPr>
                <w:rFonts w:ascii="宋体"/>
                <w:kern w:val="0"/>
                <w:sz w:val="18"/>
                <w:szCs w:val="18"/>
              </w:rPr>
            </w:pPr>
          </w:p>
        </w:tc>
      </w:tr>
      <w:tr w14:paraId="14C94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42F7661">
            <w:pPr>
              <w:widowControl/>
              <w:jc w:val="center"/>
              <w:rPr>
                <w:rFonts w:hint="eastAsia" w:ascii="宋体" w:hAnsi="宋体" w:cs="宋体"/>
                <w:kern w:val="0"/>
                <w:sz w:val="18"/>
                <w:szCs w:val="18"/>
              </w:rPr>
            </w:pPr>
          </w:p>
        </w:tc>
        <w:tc>
          <w:tcPr>
            <w:tcW w:w="827" w:type="dxa"/>
            <w:vAlign w:val="center"/>
          </w:tcPr>
          <w:p w14:paraId="6CA3A2AB">
            <w:pPr>
              <w:widowControl/>
              <w:jc w:val="center"/>
              <w:rPr>
                <w:rFonts w:hint="eastAsia" w:ascii="宋体" w:hAnsi="宋体"/>
                <w:kern w:val="0"/>
                <w:sz w:val="18"/>
                <w:szCs w:val="18"/>
              </w:rPr>
            </w:pPr>
            <w:r>
              <w:rPr>
                <w:rFonts w:ascii="宋体" w:hAnsi="宋体" w:cs="宋体"/>
                <w:kern w:val="0"/>
                <w:sz w:val="18"/>
                <w:szCs w:val="18"/>
              </w:rPr>
              <w:t>6</w:t>
            </w:r>
          </w:p>
        </w:tc>
        <w:tc>
          <w:tcPr>
            <w:tcW w:w="2016" w:type="dxa"/>
            <w:vAlign w:val="center"/>
          </w:tcPr>
          <w:p w14:paraId="1EA7B0F9">
            <w:pPr>
              <w:widowControl/>
              <w:jc w:val="center"/>
              <w:rPr>
                <w:rFonts w:ascii="宋体"/>
                <w:sz w:val="18"/>
                <w:szCs w:val="18"/>
              </w:rPr>
            </w:pPr>
            <w:r>
              <w:rPr>
                <w:rFonts w:hint="eastAsia" w:ascii="宋体" w:cs="宋体"/>
                <w:sz w:val="18"/>
                <w:szCs w:val="18"/>
              </w:rPr>
              <w:t>文献信息检索与利用</w:t>
            </w:r>
          </w:p>
        </w:tc>
        <w:tc>
          <w:tcPr>
            <w:tcW w:w="1385" w:type="dxa"/>
            <w:vAlign w:val="center"/>
          </w:tcPr>
          <w:p w14:paraId="160747D7">
            <w:pPr>
              <w:widowControl/>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1344207">
            <w:pPr>
              <w:widowControl/>
              <w:jc w:val="center"/>
              <w:rPr>
                <w:rFonts w:hint="eastAsia" w:ascii="宋体" w:hAnsi="宋体"/>
                <w:kern w:val="0"/>
                <w:sz w:val="18"/>
                <w:szCs w:val="18"/>
              </w:rPr>
            </w:pPr>
            <w:r>
              <w:rPr>
                <w:rFonts w:ascii="宋体" w:cs="宋体"/>
                <w:kern w:val="0"/>
                <w:sz w:val="18"/>
                <w:szCs w:val="18"/>
              </w:rPr>
              <w:t>1</w:t>
            </w:r>
          </w:p>
        </w:tc>
        <w:tc>
          <w:tcPr>
            <w:tcW w:w="912" w:type="dxa"/>
            <w:vAlign w:val="center"/>
          </w:tcPr>
          <w:p w14:paraId="468172EC">
            <w:pPr>
              <w:jc w:val="center"/>
              <w:rPr>
                <w:rFonts w:hint="eastAsia" w:ascii="宋体" w:hAnsi="宋体"/>
                <w:kern w:val="0"/>
                <w:sz w:val="18"/>
                <w:szCs w:val="18"/>
              </w:rPr>
            </w:pPr>
            <w:r>
              <w:rPr>
                <w:rFonts w:ascii="宋体" w:cs="宋体"/>
                <w:kern w:val="0"/>
                <w:sz w:val="18"/>
                <w:szCs w:val="18"/>
              </w:rPr>
              <w:t>32</w:t>
            </w:r>
          </w:p>
        </w:tc>
        <w:tc>
          <w:tcPr>
            <w:tcW w:w="1640" w:type="dxa"/>
            <w:vMerge w:val="continue"/>
            <w:vAlign w:val="center"/>
          </w:tcPr>
          <w:p w14:paraId="17867F26">
            <w:pPr>
              <w:widowControl/>
              <w:jc w:val="center"/>
              <w:rPr>
                <w:rFonts w:ascii="宋体"/>
                <w:kern w:val="0"/>
                <w:sz w:val="18"/>
                <w:szCs w:val="18"/>
              </w:rPr>
            </w:pPr>
          </w:p>
        </w:tc>
      </w:tr>
      <w:tr w14:paraId="5EF4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EDA413A">
            <w:pPr>
              <w:widowControl/>
              <w:jc w:val="center"/>
              <w:rPr>
                <w:rFonts w:hint="eastAsia" w:ascii="宋体" w:hAnsi="宋体" w:cs="宋体"/>
                <w:kern w:val="0"/>
                <w:sz w:val="18"/>
                <w:szCs w:val="18"/>
              </w:rPr>
            </w:pPr>
          </w:p>
        </w:tc>
        <w:tc>
          <w:tcPr>
            <w:tcW w:w="827" w:type="dxa"/>
            <w:vAlign w:val="center"/>
          </w:tcPr>
          <w:p w14:paraId="2559E10D">
            <w:pPr>
              <w:widowControl/>
              <w:jc w:val="center"/>
              <w:rPr>
                <w:rFonts w:hint="eastAsia" w:ascii="宋体" w:hAnsi="宋体"/>
                <w:kern w:val="0"/>
                <w:sz w:val="18"/>
                <w:szCs w:val="18"/>
              </w:rPr>
            </w:pPr>
            <w:r>
              <w:rPr>
                <w:rFonts w:ascii="宋体" w:hAnsi="宋体" w:cs="宋体"/>
                <w:kern w:val="0"/>
                <w:sz w:val="18"/>
                <w:szCs w:val="18"/>
              </w:rPr>
              <w:t>7</w:t>
            </w:r>
          </w:p>
        </w:tc>
        <w:tc>
          <w:tcPr>
            <w:tcW w:w="2016" w:type="dxa"/>
            <w:vAlign w:val="center"/>
          </w:tcPr>
          <w:p w14:paraId="1B8EFD40">
            <w:pPr>
              <w:widowControl/>
              <w:jc w:val="center"/>
              <w:rPr>
                <w:rFonts w:ascii="宋体"/>
                <w:sz w:val="18"/>
                <w:szCs w:val="18"/>
              </w:rPr>
            </w:pPr>
            <w:r>
              <w:rPr>
                <w:rFonts w:hint="eastAsia" w:ascii="宋体" w:cs="宋体"/>
                <w:sz w:val="18"/>
                <w:szCs w:val="18"/>
              </w:rPr>
              <w:t>艺术鉴赏</w:t>
            </w:r>
          </w:p>
        </w:tc>
        <w:tc>
          <w:tcPr>
            <w:tcW w:w="1385" w:type="dxa"/>
            <w:vAlign w:val="center"/>
          </w:tcPr>
          <w:p w14:paraId="122BB498">
            <w:pPr>
              <w:widowControl/>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7A6E82A">
            <w:pPr>
              <w:widowControl/>
              <w:jc w:val="center"/>
              <w:rPr>
                <w:rFonts w:hint="eastAsia" w:ascii="宋体" w:hAnsi="宋体"/>
                <w:kern w:val="0"/>
                <w:sz w:val="18"/>
                <w:szCs w:val="18"/>
              </w:rPr>
            </w:pPr>
            <w:r>
              <w:rPr>
                <w:rFonts w:ascii="宋体" w:cs="宋体"/>
                <w:kern w:val="0"/>
                <w:sz w:val="18"/>
                <w:szCs w:val="18"/>
              </w:rPr>
              <w:t>1</w:t>
            </w:r>
          </w:p>
        </w:tc>
        <w:tc>
          <w:tcPr>
            <w:tcW w:w="912" w:type="dxa"/>
            <w:vAlign w:val="center"/>
          </w:tcPr>
          <w:p w14:paraId="6D101ABE">
            <w:pPr>
              <w:widowControl/>
              <w:jc w:val="center"/>
              <w:rPr>
                <w:rFonts w:hint="eastAsia" w:ascii="宋体" w:hAnsi="宋体"/>
                <w:kern w:val="0"/>
                <w:sz w:val="18"/>
                <w:szCs w:val="18"/>
              </w:rPr>
            </w:pPr>
            <w:r>
              <w:rPr>
                <w:rFonts w:ascii="宋体" w:cs="宋体"/>
                <w:kern w:val="0"/>
                <w:sz w:val="18"/>
                <w:szCs w:val="18"/>
              </w:rPr>
              <w:t>32</w:t>
            </w:r>
          </w:p>
        </w:tc>
        <w:tc>
          <w:tcPr>
            <w:tcW w:w="1640" w:type="dxa"/>
            <w:vMerge w:val="continue"/>
            <w:vAlign w:val="center"/>
          </w:tcPr>
          <w:p w14:paraId="74511799">
            <w:pPr>
              <w:widowControl/>
              <w:jc w:val="center"/>
              <w:rPr>
                <w:rFonts w:ascii="宋体"/>
                <w:kern w:val="0"/>
                <w:sz w:val="18"/>
                <w:szCs w:val="18"/>
              </w:rPr>
            </w:pPr>
          </w:p>
        </w:tc>
      </w:tr>
      <w:tr w14:paraId="52BD5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EB102CC">
            <w:pPr>
              <w:widowControl/>
              <w:jc w:val="center"/>
              <w:rPr>
                <w:rFonts w:hint="eastAsia" w:ascii="宋体" w:hAnsi="宋体" w:cs="宋体"/>
                <w:kern w:val="0"/>
                <w:sz w:val="18"/>
                <w:szCs w:val="18"/>
              </w:rPr>
            </w:pPr>
          </w:p>
        </w:tc>
        <w:tc>
          <w:tcPr>
            <w:tcW w:w="827" w:type="dxa"/>
            <w:vAlign w:val="center"/>
          </w:tcPr>
          <w:p w14:paraId="61D4DC67">
            <w:pPr>
              <w:widowControl/>
              <w:jc w:val="center"/>
              <w:rPr>
                <w:rFonts w:hint="eastAsia" w:ascii="宋体" w:hAnsi="宋体"/>
                <w:kern w:val="0"/>
                <w:sz w:val="18"/>
                <w:szCs w:val="18"/>
              </w:rPr>
            </w:pPr>
            <w:r>
              <w:rPr>
                <w:rFonts w:ascii="宋体" w:hAnsi="宋体" w:cs="宋体"/>
                <w:kern w:val="0"/>
                <w:sz w:val="18"/>
                <w:szCs w:val="18"/>
              </w:rPr>
              <w:t>8</w:t>
            </w:r>
          </w:p>
        </w:tc>
        <w:tc>
          <w:tcPr>
            <w:tcW w:w="2016" w:type="dxa"/>
            <w:vAlign w:val="center"/>
          </w:tcPr>
          <w:p w14:paraId="2DE6ACA4">
            <w:pPr>
              <w:widowControl/>
              <w:jc w:val="center"/>
              <w:rPr>
                <w:rFonts w:ascii="宋体"/>
                <w:sz w:val="18"/>
                <w:szCs w:val="18"/>
              </w:rPr>
            </w:pPr>
            <w:r>
              <w:rPr>
                <w:rFonts w:hint="eastAsia" w:ascii="宋体" w:cs="宋体"/>
                <w:sz w:val="18"/>
                <w:szCs w:val="18"/>
              </w:rPr>
              <w:t>常见病的健康管理</w:t>
            </w:r>
          </w:p>
        </w:tc>
        <w:tc>
          <w:tcPr>
            <w:tcW w:w="1385" w:type="dxa"/>
            <w:vAlign w:val="center"/>
          </w:tcPr>
          <w:p w14:paraId="6BAF38BB">
            <w:pPr>
              <w:widowControl/>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C1FAD9F">
            <w:pPr>
              <w:widowControl/>
              <w:jc w:val="center"/>
              <w:rPr>
                <w:rFonts w:hint="eastAsia" w:ascii="宋体" w:hAnsi="宋体"/>
                <w:kern w:val="0"/>
                <w:sz w:val="18"/>
                <w:szCs w:val="18"/>
              </w:rPr>
            </w:pPr>
            <w:r>
              <w:rPr>
                <w:rFonts w:ascii="宋体" w:cs="宋体"/>
                <w:kern w:val="0"/>
                <w:sz w:val="18"/>
                <w:szCs w:val="18"/>
              </w:rPr>
              <w:t>1</w:t>
            </w:r>
          </w:p>
        </w:tc>
        <w:tc>
          <w:tcPr>
            <w:tcW w:w="912" w:type="dxa"/>
            <w:vAlign w:val="center"/>
          </w:tcPr>
          <w:p w14:paraId="3B77CCE7">
            <w:pPr>
              <w:widowControl/>
              <w:jc w:val="center"/>
              <w:rPr>
                <w:rFonts w:hint="eastAsia" w:ascii="宋体" w:hAnsi="宋体"/>
                <w:kern w:val="0"/>
                <w:sz w:val="18"/>
                <w:szCs w:val="18"/>
              </w:rPr>
            </w:pPr>
            <w:r>
              <w:rPr>
                <w:rFonts w:ascii="宋体" w:cs="宋体"/>
                <w:kern w:val="0"/>
                <w:sz w:val="18"/>
                <w:szCs w:val="18"/>
              </w:rPr>
              <w:t>32</w:t>
            </w:r>
          </w:p>
        </w:tc>
        <w:tc>
          <w:tcPr>
            <w:tcW w:w="1640" w:type="dxa"/>
            <w:vMerge w:val="continue"/>
            <w:vAlign w:val="center"/>
          </w:tcPr>
          <w:p w14:paraId="4B7AA45B">
            <w:pPr>
              <w:widowControl/>
              <w:jc w:val="center"/>
              <w:rPr>
                <w:rFonts w:ascii="宋体"/>
                <w:kern w:val="0"/>
                <w:sz w:val="18"/>
                <w:szCs w:val="18"/>
              </w:rPr>
            </w:pPr>
          </w:p>
        </w:tc>
      </w:tr>
      <w:tr w14:paraId="5D9F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1878FE0">
            <w:pPr>
              <w:widowControl/>
              <w:jc w:val="center"/>
              <w:rPr>
                <w:rFonts w:hint="eastAsia" w:ascii="宋体" w:hAnsi="宋体" w:cs="宋体"/>
                <w:kern w:val="0"/>
                <w:sz w:val="18"/>
                <w:szCs w:val="18"/>
              </w:rPr>
            </w:pPr>
          </w:p>
        </w:tc>
        <w:tc>
          <w:tcPr>
            <w:tcW w:w="827" w:type="dxa"/>
            <w:vAlign w:val="center"/>
          </w:tcPr>
          <w:p w14:paraId="132A9863">
            <w:pPr>
              <w:widowControl/>
              <w:jc w:val="center"/>
              <w:rPr>
                <w:rFonts w:hint="eastAsia" w:ascii="宋体" w:hAnsi="宋体" w:cs="宋体"/>
                <w:kern w:val="0"/>
                <w:sz w:val="18"/>
                <w:szCs w:val="18"/>
              </w:rPr>
            </w:pPr>
            <w:r>
              <w:rPr>
                <w:rFonts w:hint="eastAsia" w:ascii="宋体" w:hAnsi="宋体" w:cs="宋体"/>
                <w:kern w:val="0"/>
                <w:sz w:val="18"/>
                <w:szCs w:val="18"/>
              </w:rPr>
              <w:t>9</w:t>
            </w:r>
          </w:p>
        </w:tc>
        <w:tc>
          <w:tcPr>
            <w:tcW w:w="2016" w:type="dxa"/>
            <w:vAlign w:val="center"/>
          </w:tcPr>
          <w:p w14:paraId="46A00E17">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14:paraId="12B09202">
            <w:pPr>
              <w:widowControl/>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56796C6">
            <w:pPr>
              <w:widowControl/>
              <w:jc w:val="center"/>
              <w:rPr>
                <w:rFonts w:hint="eastAsia" w:ascii="宋体" w:hAnsi="宋体"/>
                <w:kern w:val="0"/>
                <w:sz w:val="18"/>
                <w:szCs w:val="18"/>
              </w:rPr>
            </w:pPr>
            <w:r>
              <w:rPr>
                <w:rFonts w:ascii="宋体" w:cs="宋体"/>
                <w:kern w:val="0"/>
                <w:sz w:val="18"/>
                <w:szCs w:val="18"/>
              </w:rPr>
              <w:t>1</w:t>
            </w:r>
          </w:p>
        </w:tc>
        <w:tc>
          <w:tcPr>
            <w:tcW w:w="912" w:type="dxa"/>
            <w:vAlign w:val="center"/>
          </w:tcPr>
          <w:p w14:paraId="7E50B78E">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0B57767E">
            <w:pPr>
              <w:widowControl/>
              <w:jc w:val="center"/>
              <w:rPr>
                <w:rFonts w:ascii="宋体"/>
                <w:kern w:val="0"/>
                <w:sz w:val="18"/>
                <w:szCs w:val="18"/>
              </w:rPr>
            </w:pPr>
          </w:p>
        </w:tc>
      </w:tr>
      <w:tr w14:paraId="45D65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8E92C51">
            <w:pPr>
              <w:widowControl/>
              <w:jc w:val="center"/>
              <w:rPr>
                <w:rFonts w:hint="eastAsia" w:ascii="宋体" w:hAnsi="宋体" w:cs="宋体"/>
                <w:kern w:val="0"/>
                <w:sz w:val="18"/>
                <w:szCs w:val="18"/>
              </w:rPr>
            </w:pPr>
          </w:p>
        </w:tc>
        <w:tc>
          <w:tcPr>
            <w:tcW w:w="827" w:type="dxa"/>
            <w:vAlign w:val="center"/>
          </w:tcPr>
          <w:p w14:paraId="017A445C">
            <w:pPr>
              <w:widowControl/>
              <w:jc w:val="center"/>
              <w:rPr>
                <w:rFonts w:hint="eastAsia"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14:paraId="6635457E">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14:paraId="34AF4A55">
            <w:pPr>
              <w:widowControl/>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94BE7C8">
            <w:pPr>
              <w:widowControl/>
              <w:jc w:val="center"/>
              <w:rPr>
                <w:rFonts w:hint="eastAsia" w:ascii="宋体" w:hAnsi="宋体"/>
                <w:kern w:val="0"/>
                <w:sz w:val="18"/>
                <w:szCs w:val="18"/>
              </w:rPr>
            </w:pPr>
            <w:r>
              <w:rPr>
                <w:rFonts w:ascii="宋体" w:cs="宋体"/>
                <w:kern w:val="0"/>
                <w:sz w:val="18"/>
                <w:szCs w:val="18"/>
              </w:rPr>
              <w:t>1</w:t>
            </w:r>
          </w:p>
        </w:tc>
        <w:tc>
          <w:tcPr>
            <w:tcW w:w="912" w:type="dxa"/>
            <w:vAlign w:val="center"/>
          </w:tcPr>
          <w:p w14:paraId="28B59FD8">
            <w:pPr>
              <w:jc w:val="center"/>
              <w:rPr>
                <w:rFonts w:hint="eastAsia" w:ascii="宋体" w:hAnsi="宋体"/>
                <w:kern w:val="0"/>
                <w:sz w:val="18"/>
                <w:szCs w:val="18"/>
              </w:rPr>
            </w:pPr>
            <w:r>
              <w:rPr>
                <w:rFonts w:ascii="宋体" w:cs="宋体"/>
                <w:kern w:val="0"/>
                <w:sz w:val="18"/>
                <w:szCs w:val="18"/>
              </w:rPr>
              <w:t>32</w:t>
            </w:r>
          </w:p>
        </w:tc>
        <w:tc>
          <w:tcPr>
            <w:tcW w:w="1640" w:type="dxa"/>
            <w:vMerge w:val="continue"/>
            <w:vAlign w:val="center"/>
          </w:tcPr>
          <w:p w14:paraId="3174660F">
            <w:pPr>
              <w:widowControl/>
              <w:jc w:val="center"/>
              <w:rPr>
                <w:rFonts w:ascii="宋体"/>
                <w:kern w:val="0"/>
                <w:sz w:val="18"/>
                <w:szCs w:val="18"/>
              </w:rPr>
            </w:pPr>
          </w:p>
        </w:tc>
      </w:tr>
      <w:tr w14:paraId="20907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03AEBDD">
            <w:pPr>
              <w:widowControl/>
              <w:jc w:val="center"/>
              <w:rPr>
                <w:rFonts w:hint="eastAsia" w:ascii="宋体" w:hAnsi="宋体" w:cs="宋体"/>
                <w:kern w:val="0"/>
                <w:sz w:val="18"/>
                <w:szCs w:val="18"/>
              </w:rPr>
            </w:pPr>
          </w:p>
        </w:tc>
        <w:tc>
          <w:tcPr>
            <w:tcW w:w="827" w:type="dxa"/>
            <w:vAlign w:val="center"/>
          </w:tcPr>
          <w:p w14:paraId="5DF0D64D">
            <w:pPr>
              <w:widowControl/>
              <w:jc w:val="center"/>
              <w:rPr>
                <w:rFonts w:hint="eastAsia"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14:paraId="060A5C28">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14:paraId="15FDD4DE">
            <w:pPr>
              <w:widowControl/>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6B45FB0">
            <w:pPr>
              <w:widowControl/>
              <w:jc w:val="center"/>
              <w:rPr>
                <w:rFonts w:hint="eastAsia" w:ascii="宋体" w:hAnsi="宋体"/>
                <w:kern w:val="0"/>
                <w:sz w:val="18"/>
                <w:szCs w:val="18"/>
              </w:rPr>
            </w:pPr>
            <w:r>
              <w:rPr>
                <w:rFonts w:ascii="宋体" w:cs="宋体"/>
                <w:kern w:val="0"/>
                <w:sz w:val="18"/>
                <w:szCs w:val="18"/>
              </w:rPr>
              <w:t>1</w:t>
            </w:r>
          </w:p>
        </w:tc>
        <w:tc>
          <w:tcPr>
            <w:tcW w:w="912" w:type="dxa"/>
            <w:vAlign w:val="center"/>
          </w:tcPr>
          <w:p w14:paraId="0AFD419A">
            <w:pPr>
              <w:widowControl/>
              <w:jc w:val="center"/>
              <w:rPr>
                <w:rFonts w:hint="eastAsia" w:ascii="宋体" w:hAnsi="宋体"/>
                <w:kern w:val="0"/>
                <w:sz w:val="18"/>
                <w:szCs w:val="18"/>
              </w:rPr>
            </w:pPr>
            <w:r>
              <w:rPr>
                <w:rFonts w:ascii="宋体" w:cs="宋体"/>
                <w:kern w:val="0"/>
                <w:sz w:val="18"/>
                <w:szCs w:val="18"/>
              </w:rPr>
              <w:t>32</w:t>
            </w:r>
          </w:p>
        </w:tc>
        <w:tc>
          <w:tcPr>
            <w:tcW w:w="1640" w:type="dxa"/>
            <w:vMerge w:val="continue"/>
            <w:vAlign w:val="center"/>
          </w:tcPr>
          <w:p w14:paraId="24AB95CF">
            <w:pPr>
              <w:widowControl/>
              <w:jc w:val="center"/>
              <w:rPr>
                <w:rFonts w:ascii="宋体"/>
                <w:kern w:val="0"/>
                <w:sz w:val="18"/>
                <w:szCs w:val="18"/>
              </w:rPr>
            </w:pPr>
          </w:p>
        </w:tc>
      </w:tr>
      <w:tr w14:paraId="38E93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5CD87431">
            <w:pPr>
              <w:widowControl/>
              <w:jc w:val="center"/>
              <w:rPr>
                <w:rFonts w:hint="eastAsia" w:ascii="宋体" w:hAnsi="宋体" w:cs="宋体"/>
                <w:kern w:val="0"/>
                <w:sz w:val="18"/>
                <w:szCs w:val="18"/>
              </w:rPr>
            </w:pPr>
            <w:r>
              <w:rPr>
                <w:rFonts w:hint="eastAsia" w:ascii="宋体" w:hAnsi="宋体" w:cs="宋体"/>
                <w:kern w:val="0"/>
                <w:sz w:val="18"/>
                <w:szCs w:val="18"/>
              </w:rPr>
              <w:t>公共限选课</w:t>
            </w:r>
          </w:p>
        </w:tc>
        <w:tc>
          <w:tcPr>
            <w:tcW w:w="827" w:type="dxa"/>
            <w:vAlign w:val="center"/>
          </w:tcPr>
          <w:p w14:paraId="044C4CE3">
            <w:pPr>
              <w:widowControl/>
              <w:jc w:val="center"/>
              <w:rPr>
                <w:rFonts w:hint="eastAsia"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14:paraId="4B1F8F81">
            <w:pPr>
              <w:widowControl/>
              <w:jc w:val="center"/>
              <w:rPr>
                <w:rFonts w:ascii="宋体" w:cs="宋体"/>
                <w:sz w:val="18"/>
                <w:szCs w:val="18"/>
              </w:rPr>
            </w:pPr>
            <w:r>
              <w:rPr>
                <w:rFonts w:hint="eastAsia" w:ascii="宋体" w:cs="宋体"/>
                <w:sz w:val="18"/>
                <w:szCs w:val="18"/>
              </w:rPr>
              <w:t>人文素养类</w:t>
            </w:r>
          </w:p>
        </w:tc>
        <w:tc>
          <w:tcPr>
            <w:tcW w:w="1385" w:type="dxa"/>
            <w:vAlign w:val="center"/>
          </w:tcPr>
          <w:p w14:paraId="506E3DDD">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BAD7707">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5800480">
            <w:pPr>
              <w:widowControl/>
              <w:jc w:val="center"/>
              <w:rPr>
                <w:rFonts w:hint="eastAsia" w:ascii="宋体" w:hAnsi="宋体"/>
                <w:kern w:val="0"/>
                <w:sz w:val="18"/>
                <w:szCs w:val="18"/>
              </w:rPr>
            </w:pPr>
            <w:r>
              <w:rPr>
                <w:rFonts w:ascii="宋体" w:cs="宋体"/>
                <w:kern w:val="0"/>
                <w:sz w:val="18"/>
                <w:szCs w:val="18"/>
              </w:rPr>
              <w:t>32</w:t>
            </w:r>
          </w:p>
        </w:tc>
        <w:tc>
          <w:tcPr>
            <w:tcW w:w="1640" w:type="dxa"/>
            <w:vMerge w:val="restart"/>
            <w:vAlign w:val="center"/>
          </w:tcPr>
          <w:p w14:paraId="5D8B1C15">
            <w:pPr>
              <w:widowControl/>
              <w:jc w:val="center"/>
              <w:rPr>
                <w:rFonts w:ascii="宋体"/>
                <w:b/>
                <w:kern w:val="0"/>
                <w:sz w:val="18"/>
                <w:szCs w:val="18"/>
              </w:rPr>
            </w:pPr>
            <w:r>
              <w:rPr>
                <w:rFonts w:hint="eastAsia" w:ascii="宋体"/>
                <w:b/>
                <w:kern w:val="0"/>
                <w:sz w:val="18"/>
                <w:szCs w:val="18"/>
              </w:rPr>
              <w:t>每位学生公共限选课程总学分数最少4学分，其中美育教育不少于1学分。</w:t>
            </w:r>
          </w:p>
        </w:tc>
      </w:tr>
      <w:tr w14:paraId="03DD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25F2E6F">
            <w:pPr>
              <w:widowControl/>
              <w:jc w:val="center"/>
              <w:rPr>
                <w:rFonts w:hint="eastAsia" w:ascii="宋体" w:hAnsi="宋体" w:cs="宋体"/>
                <w:kern w:val="0"/>
                <w:sz w:val="18"/>
                <w:szCs w:val="18"/>
              </w:rPr>
            </w:pPr>
          </w:p>
        </w:tc>
        <w:tc>
          <w:tcPr>
            <w:tcW w:w="827" w:type="dxa"/>
            <w:vAlign w:val="center"/>
          </w:tcPr>
          <w:p w14:paraId="50267640">
            <w:pPr>
              <w:widowControl/>
              <w:jc w:val="center"/>
              <w:rPr>
                <w:rFonts w:hint="eastAsia"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14:paraId="4338AEA0">
            <w:pPr>
              <w:widowControl/>
              <w:jc w:val="center"/>
              <w:rPr>
                <w:rFonts w:ascii="宋体" w:cs="宋体"/>
                <w:sz w:val="18"/>
                <w:szCs w:val="18"/>
              </w:rPr>
            </w:pPr>
            <w:r>
              <w:rPr>
                <w:rFonts w:hint="eastAsia" w:ascii="宋体" w:cs="宋体"/>
                <w:sz w:val="18"/>
                <w:szCs w:val="18"/>
              </w:rPr>
              <w:t>前沿科技类</w:t>
            </w:r>
          </w:p>
        </w:tc>
        <w:tc>
          <w:tcPr>
            <w:tcW w:w="1385" w:type="dxa"/>
            <w:vAlign w:val="center"/>
          </w:tcPr>
          <w:p w14:paraId="09C5A61B">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7CCCC69">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393CA55">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7BC9119C">
            <w:pPr>
              <w:widowControl/>
              <w:jc w:val="center"/>
              <w:rPr>
                <w:rFonts w:ascii="宋体"/>
                <w:kern w:val="0"/>
                <w:sz w:val="18"/>
                <w:szCs w:val="18"/>
              </w:rPr>
            </w:pPr>
          </w:p>
        </w:tc>
      </w:tr>
      <w:tr w14:paraId="54CD3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756AD15">
            <w:pPr>
              <w:widowControl/>
              <w:jc w:val="center"/>
              <w:rPr>
                <w:rFonts w:hint="eastAsia" w:ascii="宋体" w:hAnsi="宋体" w:cs="宋体"/>
                <w:kern w:val="0"/>
                <w:sz w:val="18"/>
                <w:szCs w:val="18"/>
              </w:rPr>
            </w:pPr>
          </w:p>
        </w:tc>
        <w:tc>
          <w:tcPr>
            <w:tcW w:w="827" w:type="dxa"/>
            <w:vAlign w:val="center"/>
          </w:tcPr>
          <w:p w14:paraId="22DF848B">
            <w:pPr>
              <w:widowControl/>
              <w:jc w:val="center"/>
              <w:rPr>
                <w:rFonts w:hint="eastAsia"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14:paraId="26B39E6C">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14:paraId="4E95C752">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DBAC59D">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1EBC091F">
            <w:pPr>
              <w:jc w:val="center"/>
              <w:rPr>
                <w:rFonts w:hint="eastAsia" w:ascii="宋体" w:hAnsi="宋体"/>
                <w:kern w:val="0"/>
                <w:sz w:val="18"/>
                <w:szCs w:val="18"/>
              </w:rPr>
            </w:pPr>
            <w:r>
              <w:rPr>
                <w:rFonts w:ascii="宋体" w:cs="宋体"/>
                <w:kern w:val="0"/>
                <w:sz w:val="18"/>
                <w:szCs w:val="18"/>
              </w:rPr>
              <w:t>32</w:t>
            </w:r>
          </w:p>
        </w:tc>
        <w:tc>
          <w:tcPr>
            <w:tcW w:w="1640" w:type="dxa"/>
            <w:vMerge w:val="continue"/>
            <w:vAlign w:val="center"/>
          </w:tcPr>
          <w:p w14:paraId="3259C8FF">
            <w:pPr>
              <w:widowControl/>
              <w:jc w:val="center"/>
              <w:rPr>
                <w:rFonts w:ascii="宋体"/>
                <w:kern w:val="0"/>
                <w:sz w:val="18"/>
                <w:szCs w:val="18"/>
              </w:rPr>
            </w:pPr>
          </w:p>
        </w:tc>
      </w:tr>
      <w:tr w14:paraId="169F6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55FB3FE">
            <w:pPr>
              <w:widowControl/>
              <w:jc w:val="center"/>
              <w:rPr>
                <w:rFonts w:hint="eastAsia" w:ascii="宋体" w:hAnsi="宋体" w:cs="宋体"/>
                <w:kern w:val="0"/>
                <w:sz w:val="18"/>
                <w:szCs w:val="18"/>
              </w:rPr>
            </w:pPr>
          </w:p>
        </w:tc>
        <w:tc>
          <w:tcPr>
            <w:tcW w:w="827" w:type="dxa"/>
            <w:vAlign w:val="center"/>
          </w:tcPr>
          <w:p w14:paraId="5836FC4E">
            <w:pPr>
              <w:widowControl/>
              <w:jc w:val="center"/>
              <w:rPr>
                <w:rFonts w:hint="eastAsia"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14:paraId="4B484333">
            <w:pPr>
              <w:widowControl/>
              <w:jc w:val="center"/>
              <w:rPr>
                <w:rFonts w:ascii="宋体" w:cs="宋体"/>
                <w:sz w:val="18"/>
                <w:szCs w:val="18"/>
              </w:rPr>
            </w:pPr>
            <w:r>
              <w:rPr>
                <w:rFonts w:hint="eastAsia" w:ascii="宋体" w:cs="宋体"/>
                <w:sz w:val="18"/>
                <w:szCs w:val="18"/>
              </w:rPr>
              <w:t>党史国史类</w:t>
            </w:r>
          </w:p>
        </w:tc>
        <w:tc>
          <w:tcPr>
            <w:tcW w:w="1385" w:type="dxa"/>
            <w:vAlign w:val="center"/>
          </w:tcPr>
          <w:p w14:paraId="5C2204E9">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007B9F5">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8B26FD4">
            <w:pPr>
              <w:widowControl/>
              <w:jc w:val="center"/>
              <w:rPr>
                <w:rFonts w:hint="eastAsia" w:ascii="宋体" w:hAnsi="宋体"/>
                <w:kern w:val="0"/>
                <w:sz w:val="18"/>
                <w:szCs w:val="18"/>
              </w:rPr>
            </w:pPr>
            <w:r>
              <w:rPr>
                <w:rFonts w:ascii="宋体" w:cs="宋体"/>
                <w:kern w:val="0"/>
                <w:sz w:val="18"/>
                <w:szCs w:val="18"/>
              </w:rPr>
              <w:t>32</w:t>
            </w:r>
          </w:p>
        </w:tc>
        <w:tc>
          <w:tcPr>
            <w:tcW w:w="1640" w:type="dxa"/>
            <w:vMerge w:val="continue"/>
            <w:vAlign w:val="center"/>
          </w:tcPr>
          <w:p w14:paraId="174802B9">
            <w:pPr>
              <w:widowControl/>
              <w:jc w:val="center"/>
              <w:rPr>
                <w:rFonts w:ascii="宋体"/>
                <w:kern w:val="0"/>
                <w:sz w:val="18"/>
                <w:szCs w:val="18"/>
              </w:rPr>
            </w:pPr>
          </w:p>
        </w:tc>
      </w:tr>
      <w:tr w14:paraId="58AC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E05B8F2">
            <w:pPr>
              <w:widowControl/>
              <w:jc w:val="center"/>
              <w:rPr>
                <w:rFonts w:hint="eastAsia" w:ascii="宋体" w:hAnsi="宋体" w:cs="宋体"/>
                <w:kern w:val="0"/>
                <w:sz w:val="18"/>
                <w:szCs w:val="18"/>
              </w:rPr>
            </w:pPr>
          </w:p>
        </w:tc>
        <w:tc>
          <w:tcPr>
            <w:tcW w:w="827" w:type="dxa"/>
            <w:vAlign w:val="center"/>
          </w:tcPr>
          <w:p w14:paraId="06B4441C">
            <w:pPr>
              <w:widowControl/>
              <w:jc w:val="center"/>
              <w:rPr>
                <w:rFonts w:hint="eastAsia"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14:paraId="3A9B13FD">
            <w:pPr>
              <w:widowControl/>
              <w:jc w:val="center"/>
              <w:rPr>
                <w:rFonts w:ascii="宋体" w:cs="宋体"/>
                <w:sz w:val="18"/>
                <w:szCs w:val="18"/>
              </w:rPr>
            </w:pPr>
            <w:r>
              <w:rPr>
                <w:rFonts w:hint="eastAsia" w:ascii="宋体" w:cs="宋体"/>
                <w:sz w:val="18"/>
                <w:szCs w:val="18"/>
              </w:rPr>
              <w:t>传统文化类</w:t>
            </w:r>
          </w:p>
        </w:tc>
        <w:tc>
          <w:tcPr>
            <w:tcW w:w="1385" w:type="dxa"/>
            <w:vAlign w:val="center"/>
          </w:tcPr>
          <w:p w14:paraId="148040DD">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79E0574">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12284052">
            <w:pPr>
              <w:widowControl/>
              <w:jc w:val="center"/>
              <w:rPr>
                <w:rFonts w:hint="eastAsia" w:ascii="宋体" w:hAnsi="宋体"/>
                <w:kern w:val="0"/>
                <w:sz w:val="18"/>
                <w:szCs w:val="18"/>
              </w:rPr>
            </w:pPr>
            <w:r>
              <w:rPr>
                <w:rFonts w:ascii="宋体" w:cs="宋体"/>
                <w:kern w:val="0"/>
                <w:sz w:val="18"/>
                <w:szCs w:val="18"/>
              </w:rPr>
              <w:t>32</w:t>
            </w:r>
          </w:p>
        </w:tc>
        <w:tc>
          <w:tcPr>
            <w:tcW w:w="1640" w:type="dxa"/>
            <w:vMerge w:val="continue"/>
            <w:vAlign w:val="center"/>
          </w:tcPr>
          <w:p w14:paraId="56B47A8C">
            <w:pPr>
              <w:widowControl/>
              <w:jc w:val="center"/>
              <w:rPr>
                <w:rFonts w:ascii="宋体"/>
                <w:kern w:val="0"/>
                <w:sz w:val="18"/>
                <w:szCs w:val="18"/>
              </w:rPr>
            </w:pPr>
          </w:p>
        </w:tc>
      </w:tr>
      <w:tr w14:paraId="7AE99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FE26352">
            <w:pPr>
              <w:widowControl/>
              <w:jc w:val="center"/>
              <w:rPr>
                <w:rFonts w:hint="eastAsia" w:ascii="宋体" w:hAnsi="宋体" w:cs="宋体"/>
                <w:kern w:val="0"/>
                <w:sz w:val="18"/>
                <w:szCs w:val="18"/>
              </w:rPr>
            </w:pPr>
          </w:p>
        </w:tc>
        <w:tc>
          <w:tcPr>
            <w:tcW w:w="827" w:type="dxa"/>
            <w:vAlign w:val="center"/>
          </w:tcPr>
          <w:p w14:paraId="5868E7AA">
            <w:pPr>
              <w:widowControl/>
              <w:jc w:val="center"/>
              <w:rPr>
                <w:rFonts w:hint="eastAsia" w:ascii="宋体" w:hAnsi="宋体" w:cs="宋体"/>
                <w:kern w:val="0"/>
                <w:sz w:val="18"/>
                <w:szCs w:val="18"/>
              </w:rPr>
            </w:pPr>
            <w:r>
              <w:rPr>
                <w:rFonts w:hint="eastAsia" w:ascii="宋体" w:hAnsi="宋体" w:cs="宋体"/>
                <w:kern w:val="0"/>
                <w:sz w:val="18"/>
                <w:szCs w:val="18"/>
              </w:rPr>
              <w:t>17</w:t>
            </w:r>
          </w:p>
        </w:tc>
        <w:tc>
          <w:tcPr>
            <w:tcW w:w="2016" w:type="dxa"/>
            <w:vAlign w:val="center"/>
          </w:tcPr>
          <w:p w14:paraId="21C630B4">
            <w:pPr>
              <w:widowControl/>
              <w:jc w:val="center"/>
              <w:rPr>
                <w:rFonts w:ascii="宋体" w:cs="宋体"/>
                <w:sz w:val="18"/>
                <w:szCs w:val="18"/>
              </w:rPr>
            </w:pPr>
            <w:r>
              <w:rPr>
                <w:rFonts w:hint="eastAsia" w:ascii="宋体" w:cs="宋体"/>
                <w:sz w:val="18"/>
                <w:szCs w:val="18"/>
              </w:rPr>
              <w:t>身心健康类</w:t>
            </w:r>
          </w:p>
        </w:tc>
        <w:tc>
          <w:tcPr>
            <w:tcW w:w="1385" w:type="dxa"/>
            <w:vAlign w:val="center"/>
          </w:tcPr>
          <w:p w14:paraId="460C735A">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136934E">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7B4C7DB4">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61D702C9">
            <w:pPr>
              <w:widowControl/>
              <w:jc w:val="center"/>
              <w:rPr>
                <w:rFonts w:ascii="宋体"/>
                <w:kern w:val="0"/>
                <w:sz w:val="18"/>
                <w:szCs w:val="18"/>
              </w:rPr>
            </w:pPr>
          </w:p>
        </w:tc>
      </w:tr>
      <w:tr w14:paraId="19A12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6FC2D32">
            <w:pPr>
              <w:widowControl/>
              <w:jc w:val="center"/>
              <w:rPr>
                <w:rFonts w:hint="eastAsia" w:ascii="宋体" w:hAnsi="宋体" w:cs="宋体"/>
                <w:kern w:val="0"/>
                <w:sz w:val="18"/>
                <w:szCs w:val="18"/>
              </w:rPr>
            </w:pPr>
          </w:p>
        </w:tc>
        <w:tc>
          <w:tcPr>
            <w:tcW w:w="827" w:type="dxa"/>
            <w:vAlign w:val="center"/>
          </w:tcPr>
          <w:p w14:paraId="24682D88">
            <w:pPr>
              <w:widowControl/>
              <w:jc w:val="center"/>
              <w:rPr>
                <w:rFonts w:hint="eastAsia" w:ascii="宋体" w:hAnsi="宋体" w:cs="宋体"/>
                <w:kern w:val="0"/>
                <w:sz w:val="18"/>
                <w:szCs w:val="18"/>
              </w:rPr>
            </w:pPr>
            <w:r>
              <w:rPr>
                <w:rFonts w:hint="eastAsia" w:ascii="宋体" w:hAnsi="宋体" w:cs="宋体"/>
                <w:kern w:val="0"/>
                <w:sz w:val="18"/>
                <w:szCs w:val="18"/>
              </w:rPr>
              <w:t>18</w:t>
            </w:r>
          </w:p>
        </w:tc>
        <w:tc>
          <w:tcPr>
            <w:tcW w:w="2016" w:type="dxa"/>
            <w:vAlign w:val="center"/>
          </w:tcPr>
          <w:p w14:paraId="6D302848">
            <w:pPr>
              <w:widowControl/>
              <w:jc w:val="center"/>
              <w:rPr>
                <w:rFonts w:ascii="宋体" w:cs="宋体"/>
                <w:sz w:val="18"/>
                <w:szCs w:val="18"/>
              </w:rPr>
            </w:pPr>
            <w:r>
              <w:rPr>
                <w:rFonts w:hint="eastAsia" w:ascii="宋体" w:cs="宋体"/>
                <w:sz w:val="18"/>
                <w:szCs w:val="18"/>
              </w:rPr>
              <w:t>职业素养类</w:t>
            </w:r>
          </w:p>
        </w:tc>
        <w:tc>
          <w:tcPr>
            <w:tcW w:w="1385" w:type="dxa"/>
            <w:vAlign w:val="center"/>
          </w:tcPr>
          <w:p w14:paraId="1C6C6E59">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A1772E5">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AAF3527">
            <w:pPr>
              <w:jc w:val="center"/>
              <w:rPr>
                <w:rFonts w:hint="eastAsia" w:ascii="宋体" w:hAnsi="宋体"/>
                <w:kern w:val="0"/>
                <w:sz w:val="18"/>
                <w:szCs w:val="18"/>
              </w:rPr>
            </w:pPr>
            <w:r>
              <w:rPr>
                <w:rFonts w:ascii="宋体" w:cs="宋体"/>
                <w:kern w:val="0"/>
                <w:sz w:val="18"/>
                <w:szCs w:val="18"/>
              </w:rPr>
              <w:t>32</w:t>
            </w:r>
          </w:p>
        </w:tc>
        <w:tc>
          <w:tcPr>
            <w:tcW w:w="1640" w:type="dxa"/>
            <w:vMerge w:val="continue"/>
            <w:vAlign w:val="center"/>
          </w:tcPr>
          <w:p w14:paraId="320855DF">
            <w:pPr>
              <w:widowControl/>
              <w:jc w:val="center"/>
              <w:rPr>
                <w:rFonts w:ascii="宋体"/>
                <w:kern w:val="0"/>
                <w:sz w:val="18"/>
                <w:szCs w:val="18"/>
              </w:rPr>
            </w:pPr>
          </w:p>
        </w:tc>
      </w:tr>
      <w:tr w14:paraId="30E83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73CC5B4">
            <w:pPr>
              <w:widowControl/>
              <w:jc w:val="center"/>
              <w:rPr>
                <w:rFonts w:hint="eastAsia" w:ascii="宋体" w:hAnsi="宋体" w:cs="宋体"/>
                <w:kern w:val="0"/>
                <w:sz w:val="18"/>
                <w:szCs w:val="18"/>
              </w:rPr>
            </w:pPr>
          </w:p>
        </w:tc>
        <w:tc>
          <w:tcPr>
            <w:tcW w:w="827" w:type="dxa"/>
            <w:vAlign w:val="center"/>
          </w:tcPr>
          <w:p w14:paraId="682E70C6">
            <w:pPr>
              <w:widowControl/>
              <w:jc w:val="center"/>
              <w:rPr>
                <w:rFonts w:hint="eastAsia" w:ascii="宋体" w:hAnsi="宋体" w:cs="宋体"/>
                <w:kern w:val="0"/>
                <w:sz w:val="18"/>
                <w:szCs w:val="18"/>
              </w:rPr>
            </w:pPr>
            <w:r>
              <w:rPr>
                <w:rFonts w:hint="eastAsia" w:ascii="宋体" w:hAnsi="宋体" w:cs="宋体"/>
                <w:kern w:val="0"/>
                <w:sz w:val="18"/>
                <w:szCs w:val="18"/>
              </w:rPr>
              <w:t>19</w:t>
            </w:r>
          </w:p>
        </w:tc>
        <w:tc>
          <w:tcPr>
            <w:tcW w:w="2016" w:type="dxa"/>
            <w:vAlign w:val="center"/>
          </w:tcPr>
          <w:p w14:paraId="7550FB6E">
            <w:pPr>
              <w:widowControl/>
              <w:jc w:val="center"/>
              <w:rPr>
                <w:rFonts w:ascii="宋体" w:cs="宋体"/>
                <w:sz w:val="18"/>
                <w:szCs w:val="18"/>
              </w:rPr>
            </w:pPr>
            <w:r>
              <w:rPr>
                <w:rFonts w:hint="eastAsia" w:ascii="宋体" w:cs="宋体"/>
                <w:sz w:val="18"/>
                <w:szCs w:val="18"/>
              </w:rPr>
              <w:t>美育教育类</w:t>
            </w:r>
          </w:p>
        </w:tc>
        <w:tc>
          <w:tcPr>
            <w:tcW w:w="1385" w:type="dxa"/>
            <w:vAlign w:val="center"/>
          </w:tcPr>
          <w:p w14:paraId="3DB6654C">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D8A6BF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76E3D44">
            <w:pPr>
              <w:jc w:val="center"/>
              <w:rPr>
                <w:rFonts w:ascii="宋体" w:cs="宋体"/>
                <w:kern w:val="0"/>
                <w:sz w:val="18"/>
                <w:szCs w:val="18"/>
              </w:rPr>
            </w:pPr>
            <w:r>
              <w:rPr>
                <w:rFonts w:ascii="宋体" w:cs="宋体"/>
                <w:kern w:val="0"/>
                <w:sz w:val="18"/>
                <w:szCs w:val="18"/>
              </w:rPr>
              <w:t>32</w:t>
            </w:r>
          </w:p>
        </w:tc>
        <w:tc>
          <w:tcPr>
            <w:tcW w:w="1640" w:type="dxa"/>
            <w:vAlign w:val="center"/>
          </w:tcPr>
          <w:p w14:paraId="6DE971D1">
            <w:pPr>
              <w:widowControl/>
              <w:jc w:val="center"/>
              <w:rPr>
                <w:rFonts w:ascii="宋体"/>
                <w:kern w:val="0"/>
                <w:sz w:val="18"/>
                <w:szCs w:val="18"/>
              </w:rPr>
            </w:pPr>
          </w:p>
        </w:tc>
      </w:tr>
    </w:tbl>
    <w:p w14:paraId="2AA597FB">
      <w:pPr>
        <w:pStyle w:val="4"/>
        <w:rPr>
          <w:rFonts w:hint="eastAsia"/>
        </w:rPr>
      </w:pPr>
    </w:p>
    <w:bookmarkEnd w:id="29"/>
    <w:bookmarkEnd w:id="30"/>
    <w:bookmarkEnd w:id="31"/>
    <w:p w14:paraId="7C51717D"/>
    <w:p w14:paraId="44CC60C9">
      <w:pPr>
        <w:ind w:firstLine="562" w:firstLineChars="200"/>
        <w:rPr>
          <w:rFonts w:ascii="Arial" w:hAnsi="Arial" w:eastAsia="黑体"/>
          <w:b/>
          <w:bCs/>
          <w:sz w:val="28"/>
          <w:szCs w:val="28"/>
        </w:rPr>
      </w:pPr>
      <w:bookmarkStart w:id="55" w:name="_Toc46303717"/>
      <w:bookmarkStart w:id="56" w:name="_Hlk45719100"/>
      <w:r>
        <w:rPr>
          <w:rFonts w:hint="eastAsia" w:ascii="Arial" w:hAnsi="Arial" w:eastAsia="黑体"/>
          <w:b/>
          <w:bCs/>
          <w:sz w:val="28"/>
          <w:szCs w:val="28"/>
        </w:rPr>
        <w:t>（五</w:t>
      </w:r>
      <w:bookmarkEnd w:id="55"/>
      <w:r>
        <w:rPr>
          <w:rFonts w:hint="eastAsia" w:ascii="Arial" w:hAnsi="Arial" w:eastAsia="黑体"/>
          <w:b/>
          <w:bCs/>
          <w:sz w:val="28"/>
          <w:szCs w:val="28"/>
        </w:rPr>
        <w:t>）思想政治素质教育</w:t>
      </w:r>
    </w:p>
    <w:p w14:paraId="77696D9D">
      <w:pPr>
        <w:keepNext/>
        <w:keepLines/>
        <w:spacing w:line="360" w:lineRule="auto"/>
        <w:ind w:firstLine="562" w:firstLineChars="200"/>
        <w:outlineLvl w:val="1"/>
        <w:rPr>
          <w:rFonts w:hint="eastAsia" w:ascii="黑体" w:hAnsi="黑体" w:eastAsia="黑体" w:cs="黑体"/>
          <w:b/>
          <w:bCs/>
          <w:sz w:val="28"/>
          <w:szCs w:val="28"/>
        </w:rPr>
      </w:pPr>
      <w:bookmarkStart w:id="57" w:name="_Toc9466"/>
      <w:bookmarkStart w:id="58" w:name="_Toc20767"/>
      <w:bookmarkStart w:id="59" w:name="_Toc4157"/>
      <w:r>
        <w:rPr>
          <w:rFonts w:hint="eastAsia" w:ascii="黑体" w:hAnsi="黑体" w:eastAsia="黑体" w:cs="黑体"/>
          <w:b/>
          <w:bCs/>
          <w:sz w:val="28"/>
          <w:szCs w:val="28"/>
        </w:rPr>
        <w:t>1.课程思政目标要求</w:t>
      </w:r>
      <w:bookmarkEnd w:id="57"/>
      <w:bookmarkEnd w:id="58"/>
      <w:bookmarkEnd w:id="59"/>
    </w:p>
    <w:p w14:paraId="0B4536F4">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5CABE550">
      <w:pPr>
        <w:spacing w:line="360" w:lineRule="auto"/>
        <w:ind w:firstLine="442" w:firstLineChars="200"/>
        <w:jc w:val="center"/>
        <w:rPr>
          <w:rFonts w:hint="eastAsia" w:ascii="宋体" w:hAnsi="宋体" w:cs="宋体"/>
          <w:b/>
          <w:bCs/>
          <w:sz w:val="22"/>
        </w:rPr>
      </w:pPr>
      <w:r>
        <w:rPr>
          <w:rFonts w:hint="eastAsia" w:ascii="宋体" w:hAnsi="宋体" w:cs="宋体"/>
          <w:b/>
          <w:bCs/>
          <w:sz w:val="22"/>
        </w:rPr>
        <w:t>表 8 课程思政指标</w:t>
      </w:r>
    </w:p>
    <w:tbl>
      <w:tblPr>
        <w:tblStyle w:val="2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4"/>
        <w:gridCol w:w="1069"/>
        <w:gridCol w:w="696"/>
        <w:gridCol w:w="5553"/>
      </w:tblGrid>
      <w:tr w14:paraId="4CCE8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70FE0">
            <w:pPr>
              <w:jc w:val="center"/>
              <w:rPr>
                <w:b/>
              </w:rPr>
            </w:pPr>
            <w:r>
              <w:rPr>
                <w:rFonts w:hint="eastAsia"/>
                <w:b/>
              </w:rPr>
              <w:t>基本原则</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4B935">
            <w:pPr>
              <w:jc w:val="center"/>
              <w:rPr>
                <w:b/>
              </w:rPr>
            </w:pPr>
            <w:r>
              <w:rPr>
                <w:rFonts w:hint="eastAsia"/>
                <w:b/>
              </w:rPr>
              <w:t>一级指标</w:t>
            </w:r>
          </w:p>
        </w:tc>
        <w:tc>
          <w:tcPr>
            <w:tcW w:w="6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260BC3">
            <w:pPr>
              <w:jc w:val="center"/>
              <w:rPr>
                <w:b/>
              </w:rPr>
            </w:pPr>
            <w:r>
              <w:rPr>
                <w:rFonts w:hint="eastAsia"/>
                <w:b/>
              </w:rPr>
              <w:t>二级指标</w:t>
            </w:r>
          </w:p>
        </w:tc>
      </w:tr>
      <w:tr w14:paraId="3AB3C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restart"/>
            <w:tcBorders>
              <w:top w:val="single" w:color="000000" w:sz="4" w:space="0"/>
              <w:left w:val="single" w:color="000000" w:sz="4" w:space="0"/>
              <w:right w:val="single" w:color="000000" w:sz="4" w:space="0"/>
            </w:tcBorders>
            <w:vAlign w:val="center"/>
          </w:tcPr>
          <w:p w14:paraId="4972F448">
            <w:pPr>
              <w:jc w:val="center"/>
            </w:pPr>
            <w:r>
              <w:rPr>
                <w:rFonts w:hint="eastAsia"/>
              </w:rPr>
              <w:t>社会</w:t>
            </w:r>
          </w:p>
          <w:p w14:paraId="31201B01">
            <w:pPr>
              <w:jc w:val="center"/>
            </w:pPr>
            <w:r>
              <w:rPr>
                <w:rFonts w:hint="eastAsia"/>
              </w:rPr>
              <w:t>主义</w:t>
            </w:r>
          </w:p>
          <w:p w14:paraId="31052E59">
            <w:pPr>
              <w:jc w:val="center"/>
            </w:pPr>
            <w:r>
              <w:rPr>
                <w:rFonts w:hint="eastAsia"/>
              </w:rPr>
              <w:t>核心</w:t>
            </w:r>
          </w:p>
          <w:p w14:paraId="12D6E6EE">
            <w:pPr>
              <w:jc w:val="center"/>
            </w:pPr>
            <w:r>
              <w:rPr>
                <w:rFonts w:hint="eastAsia"/>
              </w:rPr>
              <w:t>价值</w:t>
            </w:r>
          </w:p>
          <w:p w14:paraId="00404D4F">
            <w:pPr>
              <w:jc w:val="center"/>
            </w:pPr>
            <w:r>
              <w:rPr>
                <w:rFonts w:hint="eastAsia"/>
              </w:rPr>
              <w:t>观</w:t>
            </w:r>
          </w:p>
        </w:tc>
        <w:tc>
          <w:tcPr>
            <w:tcW w:w="1085" w:type="dxa"/>
            <w:vMerge w:val="restart"/>
            <w:tcBorders>
              <w:top w:val="single" w:color="000000" w:sz="4" w:space="0"/>
              <w:left w:val="single" w:color="000000" w:sz="4" w:space="0"/>
              <w:right w:val="single" w:color="000000" w:sz="4" w:space="0"/>
            </w:tcBorders>
            <w:vAlign w:val="center"/>
          </w:tcPr>
          <w:p w14:paraId="544D8835">
            <w:r>
              <w:rPr>
                <w:rFonts w:hint="eastAsia"/>
              </w:rPr>
              <w:t>1.富强</w:t>
            </w:r>
          </w:p>
        </w:tc>
        <w:tc>
          <w:tcPr>
            <w:tcW w:w="699" w:type="dxa"/>
            <w:tcBorders>
              <w:top w:val="single" w:color="000000" w:sz="4" w:space="0"/>
              <w:left w:val="single" w:color="000000" w:sz="4" w:space="0"/>
              <w:right w:val="single" w:color="000000" w:sz="4" w:space="0"/>
            </w:tcBorders>
            <w:vAlign w:val="center"/>
          </w:tcPr>
          <w:p w14:paraId="67ADC363">
            <w:r>
              <w:rPr>
                <w:rFonts w:hint="eastAsia"/>
              </w:rPr>
              <w:t>1.1</w:t>
            </w:r>
          </w:p>
        </w:tc>
        <w:tc>
          <w:tcPr>
            <w:tcW w:w="5688" w:type="dxa"/>
            <w:tcBorders>
              <w:top w:val="single" w:color="000000" w:sz="4" w:space="0"/>
              <w:left w:val="single" w:color="000000" w:sz="4" w:space="0"/>
              <w:bottom w:val="single" w:color="000000" w:sz="4" w:space="0"/>
              <w:right w:val="single" w:color="000000" w:sz="4" w:space="0"/>
            </w:tcBorders>
            <w:vAlign w:val="center"/>
          </w:tcPr>
          <w:p w14:paraId="10672D86">
            <w:r>
              <w:rPr>
                <w:rFonts w:hint="eastAsia"/>
              </w:rPr>
              <w:t>了解国情现状、政治经济文化状况。</w:t>
            </w:r>
          </w:p>
        </w:tc>
      </w:tr>
      <w:tr w14:paraId="4B4A1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C0F93F5"/>
        </w:tc>
        <w:tc>
          <w:tcPr>
            <w:tcW w:w="1085" w:type="dxa"/>
            <w:vMerge w:val="continue"/>
            <w:tcBorders>
              <w:left w:val="single" w:color="000000" w:sz="4" w:space="0"/>
              <w:right w:val="single" w:color="000000" w:sz="4" w:space="0"/>
            </w:tcBorders>
            <w:vAlign w:val="center"/>
          </w:tcPr>
          <w:p w14:paraId="0A25CDF3"/>
        </w:tc>
        <w:tc>
          <w:tcPr>
            <w:tcW w:w="699" w:type="dxa"/>
            <w:tcBorders>
              <w:left w:val="single" w:color="000000" w:sz="4" w:space="0"/>
              <w:right w:val="single" w:color="000000" w:sz="4" w:space="0"/>
            </w:tcBorders>
            <w:vAlign w:val="center"/>
          </w:tcPr>
          <w:p w14:paraId="6207DFE3">
            <w:r>
              <w:rPr>
                <w:rFonts w:hint="eastAsia"/>
              </w:rPr>
              <w:t>1.2</w:t>
            </w:r>
          </w:p>
        </w:tc>
        <w:tc>
          <w:tcPr>
            <w:tcW w:w="5688" w:type="dxa"/>
            <w:tcBorders>
              <w:top w:val="single" w:color="000000" w:sz="4" w:space="0"/>
              <w:left w:val="single" w:color="000000" w:sz="4" w:space="0"/>
              <w:bottom w:val="single" w:color="000000" w:sz="4" w:space="0"/>
              <w:right w:val="single" w:color="000000" w:sz="4" w:space="0"/>
            </w:tcBorders>
            <w:vAlign w:val="center"/>
          </w:tcPr>
          <w:p w14:paraId="560A72BD">
            <w:r>
              <w:rPr>
                <w:rFonts w:hint="eastAsia"/>
              </w:rPr>
              <w:t>关心所处国际环境，</w:t>
            </w:r>
          </w:p>
        </w:tc>
      </w:tr>
      <w:tr w14:paraId="16DA4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0378FF4"/>
        </w:tc>
        <w:tc>
          <w:tcPr>
            <w:tcW w:w="1085" w:type="dxa"/>
            <w:vMerge w:val="continue"/>
            <w:tcBorders>
              <w:left w:val="single" w:color="000000" w:sz="4" w:space="0"/>
              <w:bottom w:val="single" w:color="000000" w:sz="4" w:space="0"/>
              <w:right w:val="single" w:color="000000" w:sz="4" w:space="0"/>
            </w:tcBorders>
            <w:vAlign w:val="center"/>
          </w:tcPr>
          <w:p w14:paraId="78A953CA"/>
        </w:tc>
        <w:tc>
          <w:tcPr>
            <w:tcW w:w="699" w:type="dxa"/>
            <w:tcBorders>
              <w:left w:val="single" w:color="000000" w:sz="4" w:space="0"/>
              <w:bottom w:val="single" w:color="000000" w:sz="4" w:space="0"/>
              <w:right w:val="single" w:color="000000" w:sz="4" w:space="0"/>
            </w:tcBorders>
            <w:vAlign w:val="center"/>
          </w:tcPr>
          <w:p w14:paraId="705B712D">
            <w:r>
              <w:rPr>
                <w:rFonts w:hint="eastAsia"/>
              </w:rPr>
              <w:t>1.3</w:t>
            </w:r>
          </w:p>
        </w:tc>
        <w:tc>
          <w:tcPr>
            <w:tcW w:w="5688" w:type="dxa"/>
            <w:tcBorders>
              <w:top w:val="single" w:color="000000" w:sz="4" w:space="0"/>
              <w:left w:val="single" w:color="000000" w:sz="4" w:space="0"/>
              <w:bottom w:val="single" w:color="000000" w:sz="4" w:space="0"/>
              <w:right w:val="single" w:color="000000" w:sz="4" w:space="0"/>
            </w:tcBorders>
            <w:vAlign w:val="center"/>
          </w:tcPr>
          <w:p w14:paraId="1932E5EC">
            <w:r>
              <w:rPr>
                <w:rFonts w:hint="eastAsia"/>
              </w:rPr>
              <w:t>增强建设社会主义强国的使命感和责任感</w:t>
            </w:r>
          </w:p>
        </w:tc>
      </w:tr>
      <w:tr w14:paraId="65B92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D1F10C2">
            <w:pPr>
              <w:widowControl/>
            </w:pPr>
          </w:p>
        </w:tc>
        <w:tc>
          <w:tcPr>
            <w:tcW w:w="1085" w:type="dxa"/>
            <w:vMerge w:val="restart"/>
            <w:tcBorders>
              <w:top w:val="single" w:color="000000" w:sz="4" w:space="0"/>
              <w:left w:val="single" w:color="000000" w:sz="4" w:space="0"/>
              <w:right w:val="single" w:color="000000" w:sz="4" w:space="0"/>
            </w:tcBorders>
            <w:vAlign w:val="center"/>
          </w:tcPr>
          <w:p w14:paraId="441060C5">
            <w:r>
              <w:rPr>
                <w:rFonts w:hint="eastAsia"/>
              </w:rPr>
              <w:t>2.民主</w:t>
            </w:r>
          </w:p>
        </w:tc>
        <w:tc>
          <w:tcPr>
            <w:tcW w:w="699" w:type="dxa"/>
            <w:tcBorders>
              <w:top w:val="single" w:color="000000" w:sz="4" w:space="0"/>
              <w:left w:val="single" w:color="000000" w:sz="4" w:space="0"/>
              <w:right w:val="single" w:color="000000" w:sz="4" w:space="0"/>
            </w:tcBorders>
            <w:vAlign w:val="center"/>
          </w:tcPr>
          <w:p w14:paraId="668B7869">
            <w:r>
              <w:rPr>
                <w:rFonts w:hint="eastAsia"/>
              </w:rPr>
              <w:t>2.1</w:t>
            </w:r>
          </w:p>
        </w:tc>
        <w:tc>
          <w:tcPr>
            <w:tcW w:w="5688" w:type="dxa"/>
            <w:tcBorders>
              <w:top w:val="single" w:color="000000" w:sz="4" w:space="0"/>
              <w:left w:val="single" w:color="000000" w:sz="4" w:space="0"/>
              <w:bottom w:val="single" w:color="000000" w:sz="4" w:space="0"/>
              <w:right w:val="single" w:color="000000" w:sz="4" w:space="0"/>
            </w:tcBorders>
            <w:vAlign w:val="center"/>
          </w:tcPr>
          <w:p w14:paraId="12862B20">
            <w:r>
              <w:rPr>
                <w:rFonts w:hint="eastAsia"/>
              </w:rPr>
              <w:t>坚定以人民为中心的执政理念</w:t>
            </w:r>
          </w:p>
        </w:tc>
      </w:tr>
      <w:tr w14:paraId="7AF32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04AA1EB">
            <w:pPr>
              <w:widowControl/>
            </w:pPr>
          </w:p>
        </w:tc>
        <w:tc>
          <w:tcPr>
            <w:tcW w:w="1085" w:type="dxa"/>
            <w:vMerge w:val="continue"/>
            <w:tcBorders>
              <w:left w:val="single" w:color="000000" w:sz="4" w:space="0"/>
              <w:right w:val="single" w:color="000000" w:sz="4" w:space="0"/>
            </w:tcBorders>
            <w:vAlign w:val="center"/>
          </w:tcPr>
          <w:p w14:paraId="69320926"/>
        </w:tc>
        <w:tc>
          <w:tcPr>
            <w:tcW w:w="699" w:type="dxa"/>
            <w:tcBorders>
              <w:left w:val="single" w:color="000000" w:sz="4" w:space="0"/>
              <w:right w:val="single" w:color="000000" w:sz="4" w:space="0"/>
            </w:tcBorders>
            <w:vAlign w:val="center"/>
          </w:tcPr>
          <w:p w14:paraId="0A73F73B">
            <w:r>
              <w:rPr>
                <w:rFonts w:hint="eastAsia"/>
              </w:rPr>
              <w:t>2.2</w:t>
            </w:r>
          </w:p>
        </w:tc>
        <w:tc>
          <w:tcPr>
            <w:tcW w:w="5688" w:type="dxa"/>
            <w:tcBorders>
              <w:top w:val="single" w:color="000000" w:sz="4" w:space="0"/>
              <w:left w:val="single" w:color="000000" w:sz="4" w:space="0"/>
              <w:bottom w:val="single" w:color="000000" w:sz="4" w:space="0"/>
              <w:right w:val="single" w:color="000000" w:sz="4" w:space="0"/>
            </w:tcBorders>
            <w:vAlign w:val="center"/>
          </w:tcPr>
          <w:p w14:paraId="106AFD28">
            <w:r>
              <w:rPr>
                <w:rFonts w:hint="eastAsia"/>
              </w:rPr>
              <w:t>认同中国特色社会主义政治制度的优越性</w:t>
            </w:r>
          </w:p>
        </w:tc>
      </w:tr>
      <w:tr w14:paraId="2D646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F0E6326">
            <w:pPr>
              <w:widowControl/>
            </w:pPr>
          </w:p>
        </w:tc>
        <w:tc>
          <w:tcPr>
            <w:tcW w:w="1085" w:type="dxa"/>
            <w:vMerge w:val="continue"/>
            <w:tcBorders>
              <w:left w:val="single" w:color="000000" w:sz="4" w:space="0"/>
              <w:bottom w:val="single" w:color="000000" w:sz="4" w:space="0"/>
              <w:right w:val="single" w:color="000000" w:sz="4" w:space="0"/>
            </w:tcBorders>
            <w:vAlign w:val="center"/>
          </w:tcPr>
          <w:p w14:paraId="1ED307BD"/>
        </w:tc>
        <w:tc>
          <w:tcPr>
            <w:tcW w:w="699" w:type="dxa"/>
            <w:tcBorders>
              <w:left w:val="single" w:color="000000" w:sz="4" w:space="0"/>
              <w:bottom w:val="single" w:color="000000" w:sz="4" w:space="0"/>
              <w:right w:val="single" w:color="000000" w:sz="4" w:space="0"/>
            </w:tcBorders>
            <w:vAlign w:val="center"/>
          </w:tcPr>
          <w:p w14:paraId="1AABA3B8">
            <w:r>
              <w:rPr>
                <w:rFonts w:hint="eastAsia"/>
              </w:rPr>
              <w:t>2.3</w:t>
            </w:r>
          </w:p>
        </w:tc>
        <w:tc>
          <w:tcPr>
            <w:tcW w:w="5688" w:type="dxa"/>
            <w:tcBorders>
              <w:top w:val="single" w:color="000000" w:sz="4" w:space="0"/>
              <w:left w:val="single" w:color="000000" w:sz="4" w:space="0"/>
              <w:bottom w:val="single" w:color="000000" w:sz="4" w:space="0"/>
              <w:right w:val="single" w:color="000000" w:sz="4" w:space="0"/>
            </w:tcBorders>
            <w:vAlign w:val="center"/>
          </w:tcPr>
          <w:p w14:paraId="112E8EF5">
            <w:r>
              <w:rPr>
                <w:rFonts w:hint="eastAsia"/>
              </w:rPr>
              <w:t>保障社会公平正义和人民群众的基本权利。</w:t>
            </w:r>
          </w:p>
        </w:tc>
      </w:tr>
      <w:tr w14:paraId="756A8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1BA41CF">
            <w:pPr>
              <w:widowControl/>
            </w:pPr>
          </w:p>
        </w:tc>
        <w:tc>
          <w:tcPr>
            <w:tcW w:w="1085" w:type="dxa"/>
            <w:vMerge w:val="restart"/>
            <w:tcBorders>
              <w:top w:val="single" w:color="000000" w:sz="4" w:space="0"/>
              <w:left w:val="single" w:color="000000" w:sz="4" w:space="0"/>
              <w:right w:val="single" w:color="000000" w:sz="4" w:space="0"/>
            </w:tcBorders>
            <w:vAlign w:val="center"/>
          </w:tcPr>
          <w:p w14:paraId="3889316D">
            <w:r>
              <w:rPr>
                <w:rFonts w:hint="eastAsia"/>
              </w:rPr>
              <w:t>3.文明</w:t>
            </w:r>
          </w:p>
        </w:tc>
        <w:tc>
          <w:tcPr>
            <w:tcW w:w="699" w:type="dxa"/>
            <w:tcBorders>
              <w:top w:val="single" w:color="000000" w:sz="4" w:space="0"/>
              <w:left w:val="single" w:color="000000" w:sz="4" w:space="0"/>
              <w:right w:val="single" w:color="000000" w:sz="4" w:space="0"/>
            </w:tcBorders>
            <w:vAlign w:val="center"/>
          </w:tcPr>
          <w:p w14:paraId="6F88D360">
            <w:r>
              <w:rPr>
                <w:rFonts w:hint="eastAsia"/>
              </w:rPr>
              <w:t>3.1</w:t>
            </w:r>
          </w:p>
        </w:tc>
        <w:tc>
          <w:tcPr>
            <w:tcW w:w="5688" w:type="dxa"/>
            <w:tcBorders>
              <w:top w:val="single" w:color="000000" w:sz="4" w:space="0"/>
              <w:left w:val="single" w:color="000000" w:sz="4" w:space="0"/>
              <w:bottom w:val="single" w:color="000000" w:sz="4" w:space="0"/>
              <w:right w:val="single" w:color="000000" w:sz="4" w:space="0"/>
            </w:tcBorders>
            <w:vAlign w:val="center"/>
          </w:tcPr>
          <w:p w14:paraId="0FE05BBE">
            <w:r>
              <w:rPr>
                <w:rFonts w:hint="eastAsia"/>
              </w:rPr>
              <w:t>坚定文化自信</w:t>
            </w:r>
          </w:p>
        </w:tc>
      </w:tr>
      <w:tr w14:paraId="589B4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C44A542">
            <w:pPr>
              <w:widowControl/>
            </w:pPr>
          </w:p>
        </w:tc>
        <w:tc>
          <w:tcPr>
            <w:tcW w:w="1085" w:type="dxa"/>
            <w:vMerge w:val="continue"/>
            <w:tcBorders>
              <w:left w:val="single" w:color="000000" w:sz="4" w:space="0"/>
              <w:right w:val="single" w:color="000000" w:sz="4" w:space="0"/>
            </w:tcBorders>
            <w:vAlign w:val="center"/>
          </w:tcPr>
          <w:p w14:paraId="30ACF071"/>
        </w:tc>
        <w:tc>
          <w:tcPr>
            <w:tcW w:w="699" w:type="dxa"/>
            <w:tcBorders>
              <w:left w:val="single" w:color="000000" w:sz="4" w:space="0"/>
              <w:right w:val="single" w:color="000000" w:sz="4" w:space="0"/>
            </w:tcBorders>
            <w:vAlign w:val="center"/>
          </w:tcPr>
          <w:p w14:paraId="4D4A1639">
            <w:r>
              <w:rPr>
                <w:rFonts w:hint="eastAsia"/>
              </w:rPr>
              <w:t>3.2</w:t>
            </w:r>
          </w:p>
        </w:tc>
        <w:tc>
          <w:tcPr>
            <w:tcW w:w="5688" w:type="dxa"/>
            <w:tcBorders>
              <w:top w:val="single" w:color="000000" w:sz="4" w:space="0"/>
              <w:left w:val="single" w:color="000000" w:sz="4" w:space="0"/>
              <w:bottom w:val="single" w:color="000000" w:sz="4" w:space="0"/>
              <w:right w:val="single" w:color="000000" w:sz="4" w:space="0"/>
            </w:tcBorders>
            <w:vAlign w:val="center"/>
          </w:tcPr>
          <w:p w14:paraId="57EE98F8">
            <w:r>
              <w:rPr>
                <w:rFonts w:hint="eastAsia"/>
              </w:rPr>
              <w:t>自觉弘扬中华民族优秀传统文化、革命文化</w:t>
            </w:r>
          </w:p>
        </w:tc>
      </w:tr>
      <w:tr w14:paraId="4D5A4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682E6D1">
            <w:pPr>
              <w:widowControl/>
            </w:pPr>
          </w:p>
        </w:tc>
        <w:tc>
          <w:tcPr>
            <w:tcW w:w="1085" w:type="dxa"/>
            <w:vMerge w:val="continue"/>
            <w:tcBorders>
              <w:left w:val="single" w:color="000000" w:sz="4" w:space="0"/>
              <w:right w:val="single" w:color="000000" w:sz="4" w:space="0"/>
            </w:tcBorders>
            <w:vAlign w:val="center"/>
          </w:tcPr>
          <w:p w14:paraId="71AB336B"/>
        </w:tc>
        <w:tc>
          <w:tcPr>
            <w:tcW w:w="699" w:type="dxa"/>
            <w:tcBorders>
              <w:left w:val="single" w:color="000000" w:sz="4" w:space="0"/>
              <w:right w:val="single" w:color="000000" w:sz="4" w:space="0"/>
            </w:tcBorders>
            <w:vAlign w:val="center"/>
          </w:tcPr>
          <w:p w14:paraId="73C5D007">
            <w:r>
              <w:rPr>
                <w:rFonts w:hint="eastAsia"/>
              </w:rPr>
              <w:t>3.3</w:t>
            </w:r>
          </w:p>
        </w:tc>
        <w:tc>
          <w:tcPr>
            <w:tcW w:w="5688" w:type="dxa"/>
            <w:tcBorders>
              <w:top w:val="single" w:color="000000" w:sz="4" w:space="0"/>
              <w:left w:val="single" w:color="000000" w:sz="4" w:space="0"/>
              <w:bottom w:val="single" w:color="000000" w:sz="4" w:space="0"/>
              <w:right w:val="single" w:color="000000" w:sz="4" w:space="0"/>
            </w:tcBorders>
            <w:vAlign w:val="center"/>
          </w:tcPr>
          <w:p w14:paraId="041FB916">
            <w:r>
              <w:rPr>
                <w:rFonts w:hint="eastAsia"/>
              </w:rPr>
              <w:t>学好本专业专业知识，掌握专业理论，提升专业技能</w:t>
            </w:r>
          </w:p>
        </w:tc>
      </w:tr>
      <w:tr w14:paraId="74844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BA7D4F0">
            <w:pPr>
              <w:widowControl/>
            </w:pPr>
          </w:p>
        </w:tc>
        <w:tc>
          <w:tcPr>
            <w:tcW w:w="1085" w:type="dxa"/>
            <w:vMerge w:val="continue"/>
            <w:tcBorders>
              <w:left w:val="single" w:color="000000" w:sz="4" w:space="0"/>
              <w:right w:val="single" w:color="000000" w:sz="4" w:space="0"/>
            </w:tcBorders>
            <w:vAlign w:val="center"/>
          </w:tcPr>
          <w:p w14:paraId="37ED649E"/>
        </w:tc>
        <w:tc>
          <w:tcPr>
            <w:tcW w:w="699" w:type="dxa"/>
            <w:tcBorders>
              <w:left w:val="single" w:color="000000" w:sz="4" w:space="0"/>
              <w:right w:val="single" w:color="000000" w:sz="4" w:space="0"/>
            </w:tcBorders>
            <w:vAlign w:val="center"/>
          </w:tcPr>
          <w:p w14:paraId="2ADC8C38">
            <w:r>
              <w:rPr>
                <w:rFonts w:hint="eastAsia"/>
              </w:rPr>
              <w:t>3.4</w:t>
            </w:r>
          </w:p>
        </w:tc>
        <w:tc>
          <w:tcPr>
            <w:tcW w:w="5688" w:type="dxa"/>
            <w:tcBorders>
              <w:top w:val="single" w:color="000000" w:sz="4" w:space="0"/>
              <w:left w:val="single" w:color="000000" w:sz="4" w:space="0"/>
              <w:bottom w:val="single" w:color="000000" w:sz="4" w:space="0"/>
              <w:right w:val="single" w:color="000000" w:sz="4" w:space="0"/>
            </w:tcBorders>
            <w:vAlign w:val="center"/>
          </w:tcPr>
          <w:p w14:paraId="353F03D2">
            <w:r>
              <w:rPr>
                <w:rFonts w:hint="eastAsia"/>
              </w:rPr>
              <w:t>养成科学思维，具备科学思想</w:t>
            </w:r>
          </w:p>
        </w:tc>
      </w:tr>
      <w:tr w14:paraId="206B1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7390DEF">
            <w:pPr>
              <w:widowControl/>
            </w:pPr>
          </w:p>
        </w:tc>
        <w:tc>
          <w:tcPr>
            <w:tcW w:w="1085" w:type="dxa"/>
            <w:vMerge w:val="continue"/>
            <w:tcBorders>
              <w:left w:val="single" w:color="000000" w:sz="4" w:space="0"/>
              <w:bottom w:val="single" w:color="000000" w:sz="4" w:space="0"/>
              <w:right w:val="single" w:color="000000" w:sz="4" w:space="0"/>
            </w:tcBorders>
            <w:vAlign w:val="center"/>
          </w:tcPr>
          <w:p w14:paraId="67B22EB0"/>
        </w:tc>
        <w:tc>
          <w:tcPr>
            <w:tcW w:w="699" w:type="dxa"/>
            <w:tcBorders>
              <w:left w:val="single" w:color="000000" w:sz="4" w:space="0"/>
              <w:bottom w:val="single" w:color="000000" w:sz="4" w:space="0"/>
              <w:right w:val="single" w:color="000000" w:sz="4" w:space="0"/>
            </w:tcBorders>
            <w:vAlign w:val="center"/>
          </w:tcPr>
          <w:p w14:paraId="649EFA6A">
            <w:r>
              <w:rPr>
                <w:rFonts w:hint="eastAsia"/>
              </w:rPr>
              <w:t>3.5</w:t>
            </w:r>
          </w:p>
        </w:tc>
        <w:tc>
          <w:tcPr>
            <w:tcW w:w="5688" w:type="dxa"/>
            <w:tcBorders>
              <w:top w:val="single" w:color="000000" w:sz="4" w:space="0"/>
              <w:left w:val="single" w:color="000000" w:sz="4" w:space="0"/>
              <w:bottom w:val="single" w:color="000000" w:sz="4" w:space="0"/>
              <w:right w:val="single" w:color="000000" w:sz="4" w:space="0"/>
            </w:tcBorders>
            <w:vAlign w:val="center"/>
          </w:tcPr>
          <w:p w14:paraId="529F051F">
            <w:r>
              <w:rPr>
                <w:rFonts w:hint="eastAsia"/>
              </w:rPr>
              <w:t>独立思考，独立判断</w:t>
            </w:r>
          </w:p>
        </w:tc>
      </w:tr>
      <w:tr w14:paraId="7A6A1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33CE680">
            <w:pPr>
              <w:widowControl/>
            </w:pPr>
          </w:p>
        </w:tc>
        <w:tc>
          <w:tcPr>
            <w:tcW w:w="1085" w:type="dxa"/>
            <w:vMerge w:val="restart"/>
            <w:tcBorders>
              <w:top w:val="single" w:color="000000" w:sz="4" w:space="0"/>
              <w:left w:val="single" w:color="000000" w:sz="4" w:space="0"/>
              <w:right w:val="single" w:color="000000" w:sz="4" w:space="0"/>
            </w:tcBorders>
            <w:vAlign w:val="center"/>
          </w:tcPr>
          <w:p w14:paraId="1B7A58FA">
            <w:r>
              <w:rPr>
                <w:rFonts w:hint="eastAsia"/>
              </w:rPr>
              <w:t>4.和谐</w:t>
            </w:r>
          </w:p>
        </w:tc>
        <w:tc>
          <w:tcPr>
            <w:tcW w:w="699" w:type="dxa"/>
            <w:tcBorders>
              <w:top w:val="single" w:color="000000" w:sz="4" w:space="0"/>
              <w:left w:val="single" w:color="000000" w:sz="4" w:space="0"/>
              <w:right w:val="single" w:color="000000" w:sz="4" w:space="0"/>
            </w:tcBorders>
            <w:vAlign w:val="center"/>
          </w:tcPr>
          <w:p w14:paraId="6CA47366">
            <w:r>
              <w:rPr>
                <w:rFonts w:hint="eastAsia"/>
              </w:rPr>
              <w:t>4.1</w:t>
            </w:r>
          </w:p>
        </w:tc>
        <w:tc>
          <w:tcPr>
            <w:tcW w:w="5688" w:type="dxa"/>
            <w:tcBorders>
              <w:top w:val="single" w:color="000000" w:sz="4" w:space="0"/>
              <w:left w:val="single" w:color="000000" w:sz="4" w:space="0"/>
              <w:bottom w:val="single" w:color="000000" w:sz="4" w:space="0"/>
              <w:right w:val="single" w:color="000000" w:sz="4" w:space="0"/>
            </w:tcBorders>
            <w:vAlign w:val="center"/>
          </w:tcPr>
          <w:p w14:paraId="5F346CA5">
            <w:r>
              <w:rPr>
                <w:rFonts w:hint="eastAsia"/>
              </w:rPr>
              <w:t>树立绿水青山就是金山银山理念</w:t>
            </w:r>
          </w:p>
        </w:tc>
      </w:tr>
      <w:tr w14:paraId="3D77A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0" w:hRule="atLeast"/>
        </w:trPr>
        <w:tc>
          <w:tcPr>
            <w:tcW w:w="1226" w:type="dxa"/>
            <w:vMerge w:val="continue"/>
            <w:tcBorders>
              <w:left w:val="single" w:color="000000" w:sz="4" w:space="0"/>
              <w:right w:val="single" w:color="000000" w:sz="4" w:space="0"/>
            </w:tcBorders>
            <w:vAlign w:val="center"/>
          </w:tcPr>
          <w:p w14:paraId="250AE47C">
            <w:pPr>
              <w:widowControl/>
            </w:pPr>
          </w:p>
        </w:tc>
        <w:tc>
          <w:tcPr>
            <w:tcW w:w="1085" w:type="dxa"/>
            <w:vMerge w:val="continue"/>
            <w:tcBorders>
              <w:left w:val="single" w:color="000000" w:sz="4" w:space="0"/>
              <w:bottom w:val="single" w:color="000000" w:sz="4" w:space="0"/>
              <w:right w:val="single" w:color="000000" w:sz="4" w:space="0"/>
            </w:tcBorders>
            <w:vAlign w:val="center"/>
          </w:tcPr>
          <w:p w14:paraId="22DA9E16"/>
        </w:tc>
        <w:tc>
          <w:tcPr>
            <w:tcW w:w="699" w:type="dxa"/>
            <w:tcBorders>
              <w:left w:val="single" w:color="000000" w:sz="4" w:space="0"/>
              <w:bottom w:val="single" w:color="000000" w:sz="4" w:space="0"/>
              <w:right w:val="single" w:color="000000" w:sz="4" w:space="0"/>
            </w:tcBorders>
            <w:vAlign w:val="center"/>
          </w:tcPr>
          <w:p w14:paraId="0BD8EC1D">
            <w:r>
              <w:rPr>
                <w:rFonts w:hint="eastAsia"/>
              </w:rPr>
              <w:t>4.2</w:t>
            </w:r>
          </w:p>
        </w:tc>
        <w:tc>
          <w:tcPr>
            <w:tcW w:w="5688" w:type="dxa"/>
            <w:tcBorders>
              <w:top w:val="single" w:color="000000" w:sz="4" w:space="0"/>
              <w:left w:val="single" w:color="000000" w:sz="4" w:space="0"/>
              <w:bottom w:val="single" w:color="000000" w:sz="4" w:space="0"/>
              <w:right w:val="single" w:color="000000" w:sz="4" w:space="0"/>
            </w:tcBorders>
            <w:vAlign w:val="center"/>
          </w:tcPr>
          <w:p w14:paraId="4524DC5B">
            <w:r>
              <w:rPr>
                <w:rFonts w:hint="eastAsia"/>
              </w:rPr>
              <w:t>尊重自然、保护自然、顺应自然</w:t>
            </w:r>
          </w:p>
        </w:tc>
      </w:tr>
      <w:tr w14:paraId="611C1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1903CEA">
            <w:pPr>
              <w:widowControl/>
            </w:pPr>
          </w:p>
        </w:tc>
        <w:tc>
          <w:tcPr>
            <w:tcW w:w="1085" w:type="dxa"/>
            <w:vMerge w:val="restart"/>
            <w:tcBorders>
              <w:top w:val="single" w:color="000000" w:sz="4" w:space="0"/>
              <w:left w:val="single" w:color="000000" w:sz="4" w:space="0"/>
              <w:right w:val="single" w:color="000000" w:sz="4" w:space="0"/>
            </w:tcBorders>
            <w:vAlign w:val="center"/>
          </w:tcPr>
          <w:p w14:paraId="144493C9">
            <w:r>
              <w:rPr>
                <w:rFonts w:hint="eastAsia"/>
              </w:rPr>
              <w:t>5.自由</w:t>
            </w:r>
          </w:p>
        </w:tc>
        <w:tc>
          <w:tcPr>
            <w:tcW w:w="699" w:type="dxa"/>
            <w:tcBorders>
              <w:top w:val="single" w:color="000000" w:sz="4" w:space="0"/>
              <w:left w:val="single" w:color="000000" w:sz="4" w:space="0"/>
              <w:right w:val="single" w:color="000000" w:sz="4" w:space="0"/>
            </w:tcBorders>
            <w:vAlign w:val="center"/>
          </w:tcPr>
          <w:p w14:paraId="694A499E">
            <w:r>
              <w:rPr>
                <w:rFonts w:hint="eastAsia"/>
              </w:rPr>
              <w:t>5.1</w:t>
            </w:r>
          </w:p>
        </w:tc>
        <w:tc>
          <w:tcPr>
            <w:tcW w:w="5688" w:type="dxa"/>
            <w:tcBorders>
              <w:top w:val="single" w:color="000000" w:sz="4" w:space="0"/>
              <w:left w:val="single" w:color="000000" w:sz="4" w:space="0"/>
              <w:bottom w:val="single" w:color="000000" w:sz="4" w:space="0"/>
              <w:right w:val="single" w:color="000000" w:sz="4" w:space="0"/>
            </w:tcBorders>
            <w:vAlign w:val="center"/>
          </w:tcPr>
          <w:p w14:paraId="2E5CD528">
            <w:r>
              <w:rPr>
                <w:rFonts w:hint="eastAsia"/>
              </w:rPr>
              <w:t>有追求，有理想</w:t>
            </w:r>
          </w:p>
        </w:tc>
      </w:tr>
      <w:tr w14:paraId="1E0B0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3378004">
            <w:pPr>
              <w:widowControl/>
            </w:pPr>
          </w:p>
        </w:tc>
        <w:tc>
          <w:tcPr>
            <w:tcW w:w="1085" w:type="dxa"/>
            <w:vMerge w:val="continue"/>
            <w:tcBorders>
              <w:left w:val="single" w:color="000000" w:sz="4" w:space="0"/>
              <w:right w:val="single" w:color="000000" w:sz="4" w:space="0"/>
            </w:tcBorders>
            <w:vAlign w:val="center"/>
          </w:tcPr>
          <w:p w14:paraId="2084C4BD"/>
        </w:tc>
        <w:tc>
          <w:tcPr>
            <w:tcW w:w="699" w:type="dxa"/>
            <w:tcBorders>
              <w:left w:val="single" w:color="000000" w:sz="4" w:space="0"/>
              <w:right w:val="single" w:color="000000" w:sz="4" w:space="0"/>
            </w:tcBorders>
            <w:vAlign w:val="center"/>
          </w:tcPr>
          <w:p w14:paraId="23749FC2">
            <w:r>
              <w:rPr>
                <w:rFonts w:hint="eastAsia"/>
              </w:rPr>
              <w:t>5.2</w:t>
            </w:r>
          </w:p>
        </w:tc>
        <w:tc>
          <w:tcPr>
            <w:tcW w:w="5688" w:type="dxa"/>
            <w:tcBorders>
              <w:top w:val="single" w:color="000000" w:sz="4" w:space="0"/>
              <w:left w:val="single" w:color="000000" w:sz="4" w:space="0"/>
              <w:bottom w:val="single" w:color="000000" w:sz="4" w:space="0"/>
              <w:right w:val="single" w:color="000000" w:sz="4" w:space="0"/>
            </w:tcBorders>
            <w:vAlign w:val="center"/>
          </w:tcPr>
          <w:p w14:paraId="010FFD02">
            <w:r>
              <w:rPr>
                <w:rFonts w:hint="eastAsia"/>
              </w:rPr>
              <w:t>明确自己的发展目标</w:t>
            </w:r>
          </w:p>
        </w:tc>
      </w:tr>
      <w:tr w14:paraId="6AF50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C4B0878">
            <w:pPr>
              <w:widowControl/>
            </w:pPr>
          </w:p>
        </w:tc>
        <w:tc>
          <w:tcPr>
            <w:tcW w:w="1085" w:type="dxa"/>
            <w:vMerge w:val="continue"/>
            <w:tcBorders>
              <w:left w:val="single" w:color="000000" w:sz="4" w:space="0"/>
              <w:right w:val="single" w:color="000000" w:sz="4" w:space="0"/>
            </w:tcBorders>
            <w:vAlign w:val="center"/>
          </w:tcPr>
          <w:p w14:paraId="0BE2FD62"/>
        </w:tc>
        <w:tc>
          <w:tcPr>
            <w:tcW w:w="699" w:type="dxa"/>
            <w:tcBorders>
              <w:left w:val="single" w:color="000000" w:sz="4" w:space="0"/>
              <w:bottom w:val="single" w:color="000000" w:sz="4" w:space="0"/>
              <w:right w:val="single" w:color="000000" w:sz="4" w:space="0"/>
            </w:tcBorders>
            <w:vAlign w:val="center"/>
          </w:tcPr>
          <w:p w14:paraId="617319BF">
            <w:r>
              <w:rPr>
                <w:rFonts w:hint="eastAsia"/>
              </w:rPr>
              <w:t>5.3</w:t>
            </w:r>
          </w:p>
        </w:tc>
        <w:tc>
          <w:tcPr>
            <w:tcW w:w="5688" w:type="dxa"/>
            <w:tcBorders>
              <w:top w:val="single" w:color="000000" w:sz="4" w:space="0"/>
              <w:left w:val="single" w:color="000000" w:sz="4" w:space="0"/>
              <w:bottom w:val="single" w:color="000000" w:sz="4" w:space="0"/>
              <w:right w:val="single" w:color="000000" w:sz="4" w:space="0"/>
            </w:tcBorders>
            <w:vAlign w:val="center"/>
          </w:tcPr>
          <w:p w14:paraId="23A6FF3A">
            <w:r>
              <w:rPr>
                <w:rFonts w:hint="eastAsia"/>
              </w:rPr>
              <w:t>明确自己做什么样的人，走什么样的路</w:t>
            </w:r>
          </w:p>
        </w:tc>
      </w:tr>
      <w:tr w14:paraId="769F7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6DBCFCB">
            <w:pPr>
              <w:widowControl/>
            </w:pPr>
          </w:p>
        </w:tc>
        <w:tc>
          <w:tcPr>
            <w:tcW w:w="1085" w:type="dxa"/>
            <w:vMerge w:val="continue"/>
            <w:tcBorders>
              <w:left w:val="single" w:color="000000" w:sz="4" w:space="0"/>
              <w:bottom w:val="single" w:color="000000" w:sz="4" w:space="0"/>
              <w:right w:val="single" w:color="000000" w:sz="4" w:space="0"/>
            </w:tcBorders>
            <w:vAlign w:val="center"/>
          </w:tcPr>
          <w:p w14:paraId="2019B224"/>
        </w:tc>
        <w:tc>
          <w:tcPr>
            <w:tcW w:w="699" w:type="dxa"/>
            <w:tcBorders>
              <w:left w:val="single" w:color="000000" w:sz="4" w:space="0"/>
              <w:bottom w:val="single" w:color="000000" w:sz="4" w:space="0"/>
              <w:right w:val="single" w:color="000000" w:sz="4" w:space="0"/>
            </w:tcBorders>
            <w:vAlign w:val="center"/>
          </w:tcPr>
          <w:p w14:paraId="5140D2EB">
            <w:r>
              <w:rPr>
                <w:rFonts w:hint="eastAsia"/>
              </w:rPr>
              <w:t>5.4</w:t>
            </w:r>
          </w:p>
        </w:tc>
        <w:tc>
          <w:tcPr>
            <w:tcW w:w="5688" w:type="dxa"/>
            <w:tcBorders>
              <w:top w:val="single" w:color="000000" w:sz="4" w:space="0"/>
              <w:left w:val="single" w:color="000000" w:sz="4" w:space="0"/>
              <w:bottom w:val="single" w:color="000000" w:sz="4" w:space="0"/>
              <w:right w:val="single" w:color="000000" w:sz="4" w:space="0"/>
            </w:tcBorders>
            <w:vAlign w:val="center"/>
          </w:tcPr>
          <w:p w14:paraId="50051D4C">
            <w:r>
              <w:rPr>
                <w:rFonts w:hint="eastAsia"/>
              </w:rPr>
              <w:t>开拓创新、勇于创业</w:t>
            </w:r>
          </w:p>
        </w:tc>
      </w:tr>
      <w:tr w14:paraId="56A50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BD5DAAE">
            <w:pPr>
              <w:widowControl/>
            </w:pPr>
          </w:p>
        </w:tc>
        <w:tc>
          <w:tcPr>
            <w:tcW w:w="1085" w:type="dxa"/>
            <w:vMerge w:val="restart"/>
            <w:tcBorders>
              <w:top w:val="single" w:color="000000" w:sz="4" w:space="0"/>
              <w:left w:val="single" w:color="000000" w:sz="4" w:space="0"/>
              <w:right w:val="single" w:color="000000" w:sz="4" w:space="0"/>
            </w:tcBorders>
            <w:vAlign w:val="center"/>
          </w:tcPr>
          <w:p w14:paraId="29C0A415">
            <w:r>
              <w:rPr>
                <w:rFonts w:hint="eastAsia"/>
              </w:rPr>
              <w:t>6.平等</w:t>
            </w:r>
          </w:p>
        </w:tc>
        <w:tc>
          <w:tcPr>
            <w:tcW w:w="699" w:type="dxa"/>
            <w:tcBorders>
              <w:top w:val="single" w:color="000000" w:sz="4" w:space="0"/>
              <w:left w:val="single" w:color="000000" w:sz="4" w:space="0"/>
              <w:right w:val="single" w:color="000000" w:sz="4" w:space="0"/>
            </w:tcBorders>
            <w:vAlign w:val="center"/>
          </w:tcPr>
          <w:p w14:paraId="62EAF7E3">
            <w:r>
              <w:rPr>
                <w:rFonts w:hint="eastAsia"/>
              </w:rPr>
              <w:t>6.1</w:t>
            </w:r>
          </w:p>
        </w:tc>
        <w:tc>
          <w:tcPr>
            <w:tcW w:w="5688" w:type="dxa"/>
            <w:tcBorders>
              <w:top w:val="single" w:color="000000" w:sz="4" w:space="0"/>
              <w:left w:val="single" w:color="000000" w:sz="4" w:space="0"/>
              <w:bottom w:val="single" w:color="000000" w:sz="4" w:space="0"/>
              <w:right w:val="single" w:color="000000" w:sz="4" w:space="0"/>
            </w:tcBorders>
            <w:vAlign w:val="center"/>
          </w:tcPr>
          <w:p w14:paraId="4EECB715">
            <w:r>
              <w:rPr>
                <w:rFonts w:hint="eastAsia"/>
              </w:rPr>
              <w:t>法律面前人人平等</w:t>
            </w:r>
          </w:p>
        </w:tc>
      </w:tr>
      <w:tr w14:paraId="45557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30902B0">
            <w:pPr>
              <w:widowControl/>
            </w:pPr>
          </w:p>
        </w:tc>
        <w:tc>
          <w:tcPr>
            <w:tcW w:w="1085" w:type="dxa"/>
            <w:vMerge w:val="continue"/>
            <w:tcBorders>
              <w:left w:val="single" w:color="000000" w:sz="4" w:space="0"/>
              <w:bottom w:val="single" w:color="000000" w:sz="4" w:space="0"/>
              <w:right w:val="single" w:color="000000" w:sz="4" w:space="0"/>
            </w:tcBorders>
            <w:vAlign w:val="center"/>
          </w:tcPr>
          <w:p w14:paraId="6FFBA564"/>
        </w:tc>
        <w:tc>
          <w:tcPr>
            <w:tcW w:w="699" w:type="dxa"/>
            <w:tcBorders>
              <w:left w:val="single" w:color="000000" w:sz="4" w:space="0"/>
              <w:bottom w:val="single" w:color="000000" w:sz="4" w:space="0"/>
              <w:right w:val="single" w:color="000000" w:sz="4" w:space="0"/>
            </w:tcBorders>
            <w:vAlign w:val="center"/>
          </w:tcPr>
          <w:p w14:paraId="686024A9">
            <w:r>
              <w:rPr>
                <w:rFonts w:hint="eastAsia"/>
              </w:rPr>
              <w:t>6.2</w:t>
            </w:r>
          </w:p>
        </w:tc>
        <w:tc>
          <w:tcPr>
            <w:tcW w:w="5688" w:type="dxa"/>
            <w:tcBorders>
              <w:top w:val="single" w:color="000000" w:sz="4" w:space="0"/>
              <w:left w:val="single" w:color="000000" w:sz="4" w:space="0"/>
              <w:bottom w:val="single" w:color="000000" w:sz="4" w:space="0"/>
              <w:right w:val="single" w:color="000000" w:sz="4" w:space="0"/>
            </w:tcBorders>
            <w:vAlign w:val="center"/>
          </w:tcPr>
          <w:p w14:paraId="11391F16">
            <w:r>
              <w:rPr>
                <w:rFonts w:hint="eastAsia"/>
              </w:rPr>
              <w:t>破除和防范特权意识，树立尊崇法律的理念。</w:t>
            </w:r>
          </w:p>
        </w:tc>
      </w:tr>
      <w:tr w14:paraId="168BE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B597BCE">
            <w:pPr>
              <w:widowControl/>
            </w:pPr>
          </w:p>
        </w:tc>
        <w:tc>
          <w:tcPr>
            <w:tcW w:w="1085" w:type="dxa"/>
            <w:vMerge w:val="restart"/>
            <w:tcBorders>
              <w:top w:val="single" w:color="000000" w:sz="4" w:space="0"/>
              <w:left w:val="single" w:color="000000" w:sz="4" w:space="0"/>
              <w:right w:val="single" w:color="000000" w:sz="4" w:space="0"/>
            </w:tcBorders>
            <w:vAlign w:val="center"/>
          </w:tcPr>
          <w:p w14:paraId="203564B5">
            <w:r>
              <w:rPr>
                <w:rFonts w:hint="eastAsia"/>
              </w:rPr>
              <w:t>7公正</w:t>
            </w:r>
          </w:p>
        </w:tc>
        <w:tc>
          <w:tcPr>
            <w:tcW w:w="699" w:type="dxa"/>
            <w:tcBorders>
              <w:top w:val="single" w:color="000000" w:sz="4" w:space="0"/>
              <w:left w:val="single" w:color="000000" w:sz="4" w:space="0"/>
              <w:right w:val="single" w:color="000000" w:sz="4" w:space="0"/>
            </w:tcBorders>
            <w:vAlign w:val="center"/>
          </w:tcPr>
          <w:p w14:paraId="77E95355">
            <w:r>
              <w:rPr>
                <w:rFonts w:hint="eastAsia"/>
              </w:rPr>
              <w:t>7.1</w:t>
            </w:r>
          </w:p>
        </w:tc>
        <w:tc>
          <w:tcPr>
            <w:tcW w:w="5688" w:type="dxa"/>
            <w:tcBorders>
              <w:top w:val="single" w:color="000000" w:sz="4" w:space="0"/>
              <w:left w:val="single" w:color="000000" w:sz="4" w:space="0"/>
              <w:bottom w:val="single" w:color="000000" w:sz="4" w:space="0"/>
              <w:right w:val="single" w:color="000000" w:sz="4" w:space="0"/>
            </w:tcBorders>
            <w:vAlign w:val="center"/>
          </w:tcPr>
          <w:p w14:paraId="6BE79108">
            <w:r>
              <w:rPr>
                <w:rFonts w:hint="eastAsia"/>
              </w:rPr>
              <w:t>遵守公共秩序</w:t>
            </w:r>
          </w:p>
        </w:tc>
      </w:tr>
      <w:tr w14:paraId="3E12E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8D99763">
            <w:pPr>
              <w:widowControl/>
            </w:pPr>
          </w:p>
        </w:tc>
        <w:tc>
          <w:tcPr>
            <w:tcW w:w="1085" w:type="dxa"/>
            <w:vMerge w:val="continue"/>
            <w:tcBorders>
              <w:left w:val="single" w:color="000000" w:sz="4" w:space="0"/>
              <w:bottom w:val="single" w:color="000000" w:sz="4" w:space="0"/>
              <w:right w:val="single" w:color="000000" w:sz="4" w:space="0"/>
            </w:tcBorders>
            <w:vAlign w:val="center"/>
          </w:tcPr>
          <w:p w14:paraId="5C07A6F1"/>
        </w:tc>
        <w:tc>
          <w:tcPr>
            <w:tcW w:w="699" w:type="dxa"/>
            <w:tcBorders>
              <w:left w:val="single" w:color="000000" w:sz="4" w:space="0"/>
              <w:bottom w:val="single" w:color="000000" w:sz="4" w:space="0"/>
              <w:right w:val="single" w:color="000000" w:sz="4" w:space="0"/>
            </w:tcBorders>
            <w:vAlign w:val="center"/>
          </w:tcPr>
          <w:p w14:paraId="040FA9CA">
            <w:r>
              <w:rPr>
                <w:rFonts w:hint="eastAsia"/>
              </w:rPr>
              <w:t>7.2</w:t>
            </w:r>
          </w:p>
        </w:tc>
        <w:tc>
          <w:tcPr>
            <w:tcW w:w="5688" w:type="dxa"/>
            <w:tcBorders>
              <w:top w:val="single" w:color="000000" w:sz="4" w:space="0"/>
              <w:left w:val="single" w:color="000000" w:sz="4" w:space="0"/>
              <w:bottom w:val="single" w:color="000000" w:sz="4" w:space="0"/>
              <w:right w:val="single" w:color="000000" w:sz="4" w:space="0"/>
            </w:tcBorders>
            <w:vAlign w:val="center"/>
          </w:tcPr>
          <w:p w14:paraId="690CE3AE">
            <w:r>
              <w:rPr>
                <w:rFonts w:hint="eastAsia"/>
              </w:rPr>
              <w:t>自居履行公民义务</w:t>
            </w:r>
          </w:p>
        </w:tc>
      </w:tr>
      <w:tr w14:paraId="6CC08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94A0ED1">
            <w:pPr>
              <w:widowControl/>
            </w:pPr>
          </w:p>
        </w:tc>
        <w:tc>
          <w:tcPr>
            <w:tcW w:w="1085" w:type="dxa"/>
            <w:vMerge w:val="restart"/>
            <w:tcBorders>
              <w:top w:val="single" w:color="000000" w:sz="4" w:space="0"/>
              <w:left w:val="single" w:color="000000" w:sz="4" w:space="0"/>
              <w:right w:val="single" w:color="000000" w:sz="4" w:space="0"/>
            </w:tcBorders>
            <w:vAlign w:val="center"/>
          </w:tcPr>
          <w:p w14:paraId="7AC5947B">
            <w:r>
              <w:rPr>
                <w:rFonts w:hint="eastAsia"/>
              </w:rPr>
              <w:t>8.法治</w:t>
            </w:r>
          </w:p>
        </w:tc>
        <w:tc>
          <w:tcPr>
            <w:tcW w:w="699" w:type="dxa"/>
            <w:tcBorders>
              <w:top w:val="single" w:color="000000" w:sz="4" w:space="0"/>
              <w:left w:val="single" w:color="000000" w:sz="4" w:space="0"/>
              <w:right w:val="single" w:color="000000" w:sz="4" w:space="0"/>
            </w:tcBorders>
            <w:vAlign w:val="center"/>
          </w:tcPr>
          <w:p w14:paraId="7C7602B5">
            <w:r>
              <w:rPr>
                <w:rFonts w:hint="eastAsia"/>
              </w:rPr>
              <w:t>8.1</w:t>
            </w:r>
          </w:p>
        </w:tc>
        <w:tc>
          <w:tcPr>
            <w:tcW w:w="5688" w:type="dxa"/>
            <w:tcBorders>
              <w:top w:val="single" w:color="000000" w:sz="4" w:space="0"/>
              <w:left w:val="single" w:color="000000" w:sz="4" w:space="0"/>
              <w:bottom w:val="single" w:color="000000" w:sz="4" w:space="0"/>
              <w:right w:val="single" w:color="000000" w:sz="4" w:space="0"/>
            </w:tcBorders>
            <w:vAlign w:val="center"/>
          </w:tcPr>
          <w:p w14:paraId="44F472CC">
            <w:r>
              <w:rPr>
                <w:rFonts w:hint="eastAsia"/>
              </w:rPr>
              <w:t>弘扬宪法精神</w:t>
            </w:r>
          </w:p>
        </w:tc>
      </w:tr>
      <w:tr w14:paraId="3F062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C14FD1F">
            <w:pPr>
              <w:widowControl/>
            </w:pPr>
          </w:p>
        </w:tc>
        <w:tc>
          <w:tcPr>
            <w:tcW w:w="1085" w:type="dxa"/>
            <w:vMerge w:val="continue"/>
            <w:tcBorders>
              <w:left w:val="single" w:color="000000" w:sz="4" w:space="0"/>
              <w:right w:val="single" w:color="000000" w:sz="4" w:space="0"/>
            </w:tcBorders>
            <w:vAlign w:val="center"/>
          </w:tcPr>
          <w:p w14:paraId="31E1F195"/>
        </w:tc>
        <w:tc>
          <w:tcPr>
            <w:tcW w:w="699" w:type="dxa"/>
            <w:tcBorders>
              <w:left w:val="single" w:color="000000" w:sz="4" w:space="0"/>
              <w:right w:val="single" w:color="000000" w:sz="4" w:space="0"/>
            </w:tcBorders>
            <w:vAlign w:val="center"/>
          </w:tcPr>
          <w:p w14:paraId="32E5E87D">
            <w:r>
              <w:rPr>
                <w:rFonts w:hint="eastAsia"/>
              </w:rPr>
              <w:t>8.2</w:t>
            </w:r>
          </w:p>
        </w:tc>
        <w:tc>
          <w:tcPr>
            <w:tcW w:w="5688" w:type="dxa"/>
            <w:tcBorders>
              <w:top w:val="single" w:color="000000" w:sz="4" w:space="0"/>
              <w:left w:val="single" w:color="000000" w:sz="4" w:space="0"/>
              <w:bottom w:val="single" w:color="000000" w:sz="4" w:space="0"/>
              <w:right w:val="single" w:color="000000" w:sz="4" w:space="0"/>
            </w:tcBorders>
            <w:vAlign w:val="center"/>
          </w:tcPr>
          <w:p w14:paraId="68FD93A5">
            <w:r>
              <w:rPr>
                <w:rFonts w:hint="eastAsia"/>
              </w:rPr>
              <w:t>尊重法律权威</w:t>
            </w:r>
          </w:p>
        </w:tc>
      </w:tr>
      <w:tr w14:paraId="4A4DD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8CD7DB7">
            <w:pPr>
              <w:widowControl/>
            </w:pPr>
          </w:p>
        </w:tc>
        <w:tc>
          <w:tcPr>
            <w:tcW w:w="1085" w:type="dxa"/>
            <w:vMerge w:val="continue"/>
            <w:tcBorders>
              <w:left w:val="single" w:color="000000" w:sz="4" w:space="0"/>
              <w:right w:val="single" w:color="000000" w:sz="4" w:space="0"/>
            </w:tcBorders>
            <w:vAlign w:val="center"/>
          </w:tcPr>
          <w:p w14:paraId="0C6F0F50"/>
        </w:tc>
        <w:tc>
          <w:tcPr>
            <w:tcW w:w="699" w:type="dxa"/>
            <w:tcBorders>
              <w:left w:val="single" w:color="000000" w:sz="4" w:space="0"/>
              <w:right w:val="single" w:color="000000" w:sz="4" w:space="0"/>
            </w:tcBorders>
            <w:vAlign w:val="center"/>
          </w:tcPr>
          <w:p w14:paraId="33E070E6">
            <w:r>
              <w:rPr>
                <w:rFonts w:hint="eastAsia"/>
              </w:rPr>
              <w:t>8.3</w:t>
            </w:r>
          </w:p>
        </w:tc>
        <w:tc>
          <w:tcPr>
            <w:tcW w:w="5688" w:type="dxa"/>
            <w:tcBorders>
              <w:top w:val="single" w:color="000000" w:sz="4" w:space="0"/>
              <w:left w:val="single" w:color="000000" w:sz="4" w:space="0"/>
              <w:bottom w:val="single" w:color="000000" w:sz="4" w:space="0"/>
              <w:right w:val="single" w:color="000000" w:sz="4" w:space="0"/>
            </w:tcBorders>
            <w:vAlign w:val="center"/>
          </w:tcPr>
          <w:p w14:paraId="766DFF62">
            <w:r>
              <w:rPr>
                <w:rFonts w:hint="eastAsia"/>
              </w:rPr>
              <w:t>尊重各个单位的各项规章制度</w:t>
            </w:r>
          </w:p>
        </w:tc>
      </w:tr>
      <w:tr w14:paraId="64A63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E111213">
            <w:pPr>
              <w:widowControl/>
            </w:pPr>
          </w:p>
        </w:tc>
        <w:tc>
          <w:tcPr>
            <w:tcW w:w="1085" w:type="dxa"/>
            <w:vMerge w:val="continue"/>
            <w:tcBorders>
              <w:left w:val="single" w:color="000000" w:sz="4" w:space="0"/>
              <w:right w:val="single" w:color="000000" w:sz="4" w:space="0"/>
            </w:tcBorders>
            <w:vAlign w:val="center"/>
          </w:tcPr>
          <w:p w14:paraId="129B97F3"/>
        </w:tc>
        <w:tc>
          <w:tcPr>
            <w:tcW w:w="699" w:type="dxa"/>
            <w:tcBorders>
              <w:left w:val="single" w:color="000000" w:sz="4" w:space="0"/>
              <w:right w:val="single" w:color="000000" w:sz="4" w:space="0"/>
            </w:tcBorders>
            <w:vAlign w:val="center"/>
          </w:tcPr>
          <w:p w14:paraId="43296D64">
            <w:r>
              <w:rPr>
                <w:rFonts w:hint="eastAsia"/>
              </w:rPr>
              <w:t>8.4</w:t>
            </w:r>
          </w:p>
        </w:tc>
        <w:tc>
          <w:tcPr>
            <w:tcW w:w="5688" w:type="dxa"/>
            <w:tcBorders>
              <w:top w:val="single" w:color="000000" w:sz="4" w:space="0"/>
              <w:left w:val="single" w:color="000000" w:sz="4" w:space="0"/>
              <w:bottom w:val="single" w:color="000000" w:sz="4" w:space="0"/>
              <w:right w:val="single" w:color="000000" w:sz="4" w:space="0"/>
            </w:tcBorders>
            <w:vAlign w:val="center"/>
          </w:tcPr>
          <w:p w14:paraId="7AB46036">
            <w:r>
              <w:rPr>
                <w:rFonts w:hint="eastAsia"/>
              </w:rPr>
              <w:t>树立法制观念和法律观念</w:t>
            </w:r>
          </w:p>
        </w:tc>
      </w:tr>
      <w:tr w14:paraId="77711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0" w:hRule="atLeast"/>
        </w:trPr>
        <w:tc>
          <w:tcPr>
            <w:tcW w:w="1226" w:type="dxa"/>
            <w:vMerge w:val="continue"/>
            <w:tcBorders>
              <w:left w:val="single" w:color="000000" w:sz="4" w:space="0"/>
              <w:right w:val="single" w:color="000000" w:sz="4" w:space="0"/>
            </w:tcBorders>
            <w:vAlign w:val="center"/>
          </w:tcPr>
          <w:p w14:paraId="7A1C9202">
            <w:pPr>
              <w:widowControl/>
            </w:pPr>
          </w:p>
        </w:tc>
        <w:tc>
          <w:tcPr>
            <w:tcW w:w="1085" w:type="dxa"/>
            <w:vMerge w:val="continue"/>
            <w:tcBorders>
              <w:left w:val="single" w:color="000000" w:sz="4" w:space="0"/>
              <w:bottom w:val="single" w:color="000000" w:sz="4" w:space="0"/>
              <w:right w:val="single" w:color="000000" w:sz="4" w:space="0"/>
            </w:tcBorders>
            <w:vAlign w:val="center"/>
          </w:tcPr>
          <w:p w14:paraId="758F672E"/>
        </w:tc>
        <w:tc>
          <w:tcPr>
            <w:tcW w:w="699" w:type="dxa"/>
            <w:tcBorders>
              <w:left w:val="single" w:color="000000" w:sz="4" w:space="0"/>
              <w:bottom w:val="single" w:color="000000" w:sz="4" w:space="0"/>
              <w:right w:val="single" w:color="000000" w:sz="4" w:space="0"/>
            </w:tcBorders>
            <w:vAlign w:val="center"/>
          </w:tcPr>
          <w:p w14:paraId="7CF81C12">
            <w:r>
              <w:rPr>
                <w:rFonts w:hint="eastAsia"/>
              </w:rPr>
              <w:t>8.5</w:t>
            </w:r>
          </w:p>
        </w:tc>
        <w:tc>
          <w:tcPr>
            <w:tcW w:w="5688" w:type="dxa"/>
            <w:tcBorders>
              <w:top w:val="single" w:color="000000" w:sz="4" w:space="0"/>
              <w:left w:val="single" w:color="000000" w:sz="4" w:space="0"/>
              <w:bottom w:val="single" w:color="000000" w:sz="4" w:space="0"/>
              <w:right w:val="single" w:color="000000" w:sz="4" w:space="0"/>
            </w:tcBorders>
            <w:vAlign w:val="center"/>
          </w:tcPr>
          <w:p w14:paraId="7DE1D261">
            <w:r>
              <w:rPr>
                <w:rFonts w:hint="eastAsia"/>
              </w:rPr>
              <w:t>明确公民法律义务和法律权利</w:t>
            </w:r>
          </w:p>
        </w:tc>
      </w:tr>
      <w:tr w14:paraId="48BE7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0" w:hRule="atLeast"/>
        </w:trPr>
        <w:tc>
          <w:tcPr>
            <w:tcW w:w="1226" w:type="dxa"/>
            <w:vMerge w:val="continue"/>
            <w:tcBorders>
              <w:left w:val="single" w:color="000000" w:sz="4" w:space="0"/>
              <w:right w:val="single" w:color="000000" w:sz="4" w:space="0"/>
            </w:tcBorders>
            <w:vAlign w:val="center"/>
          </w:tcPr>
          <w:p w14:paraId="63E338AD">
            <w:pPr>
              <w:widowControl/>
            </w:pPr>
          </w:p>
        </w:tc>
        <w:tc>
          <w:tcPr>
            <w:tcW w:w="1085" w:type="dxa"/>
            <w:vMerge w:val="restart"/>
            <w:tcBorders>
              <w:top w:val="single" w:color="000000" w:sz="4" w:space="0"/>
              <w:left w:val="single" w:color="000000" w:sz="4" w:space="0"/>
              <w:right w:val="single" w:color="000000" w:sz="4" w:space="0"/>
            </w:tcBorders>
            <w:vAlign w:val="center"/>
          </w:tcPr>
          <w:p w14:paraId="3FAFD326">
            <w:r>
              <w:rPr>
                <w:rFonts w:hint="eastAsia"/>
              </w:rPr>
              <w:t>9.爱国</w:t>
            </w:r>
          </w:p>
        </w:tc>
        <w:tc>
          <w:tcPr>
            <w:tcW w:w="699" w:type="dxa"/>
            <w:tcBorders>
              <w:top w:val="single" w:color="000000" w:sz="4" w:space="0"/>
              <w:left w:val="single" w:color="000000" w:sz="4" w:space="0"/>
              <w:right w:val="single" w:color="000000" w:sz="4" w:space="0"/>
            </w:tcBorders>
            <w:vAlign w:val="center"/>
          </w:tcPr>
          <w:p w14:paraId="134126FA">
            <w:r>
              <w:rPr>
                <w:rFonts w:hint="eastAsia"/>
              </w:rPr>
              <w:t>9.1</w:t>
            </w:r>
          </w:p>
        </w:tc>
        <w:tc>
          <w:tcPr>
            <w:tcW w:w="5688" w:type="dxa"/>
            <w:tcBorders>
              <w:top w:val="single" w:color="000000" w:sz="4" w:space="0"/>
              <w:left w:val="single" w:color="000000" w:sz="4" w:space="0"/>
              <w:bottom w:val="single" w:color="000000" w:sz="4" w:space="0"/>
              <w:right w:val="single" w:color="000000" w:sz="4" w:space="0"/>
            </w:tcBorders>
            <w:vAlign w:val="center"/>
          </w:tcPr>
          <w:p w14:paraId="19783F39">
            <w:r>
              <w:rPr>
                <w:rFonts w:hint="eastAsia"/>
              </w:rPr>
              <w:t>热爱祖国，爱祖国大好河山</w:t>
            </w:r>
          </w:p>
        </w:tc>
      </w:tr>
      <w:tr w14:paraId="4FDF1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0C1B038">
            <w:pPr>
              <w:widowControl/>
            </w:pPr>
          </w:p>
        </w:tc>
        <w:tc>
          <w:tcPr>
            <w:tcW w:w="1085" w:type="dxa"/>
            <w:vMerge w:val="continue"/>
            <w:tcBorders>
              <w:left w:val="single" w:color="000000" w:sz="4" w:space="0"/>
              <w:right w:val="single" w:color="000000" w:sz="4" w:space="0"/>
            </w:tcBorders>
            <w:vAlign w:val="center"/>
          </w:tcPr>
          <w:p w14:paraId="22DA1E49"/>
        </w:tc>
        <w:tc>
          <w:tcPr>
            <w:tcW w:w="699" w:type="dxa"/>
            <w:tcBorders>
              <w:left w:val="single" w:color="000000" w:sz="4" w:space="0"/>
              <w:right w:val="single" w:color="000000" w:sz="4" w:space="0"/>
            </w:tcBorders>
            <w:vAlign w:val="center"/>
          </w:tcPr>
          <w:p w14:paraId="39DF1AFB">
            <w:r>
              <w:rPr>
                <w:rFonts w:hint="eastAsia"/>
              </w:rPr>
              <w:t>9.2</w:t>
            </w:r>
          </w:p>
        </w:tc>
        <w:tc>
          <w:tcPr>
            <w:tcW w:w="5688" w:type="dxa"/>
            <w:tcBorders>
              <w:top w:val="single" w:color="000000" w:sz="4" w:space="0"/>
              <w:left w:val="single" w:color="000000" w:sz="4" w:space="0"/>
              <w:bottom w:val="single" w:color="000000" w:sz="4" w:space="0"/>
              <w:right w:val="single" w:color="000000" w:sz="4" w:space="0"/>
            </w:tcBorders>
            <w:vAlign w:val="center"/>
          </w:tcPr>
          <w:p w14:paraId="53277050">
            <w:r>
              <w:rPr>
                <w:rFonts w:hint="eastAsia"/>
              </w:rPr>
              <w:t>了解中华民族史，认同中华文明，增强民族归属感和自豪感</w:t>
            </w:r>
          </w:p>
        </w:tc>
      </w:tr>
      <w:tr w14:paraId="38F79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4F0A7E9">
            <w:pPr>
              <w:widowControl/>
            </w:pPr>
          </w:p>
        </w:tc>
        <w:tc>
          <w:tcPr>
            <w:tcW w:w="1085" w:type="dxa"/>
            <w:vMerge w:val="continue"/>
            <w:tcBorders>
              <w:left w:val="single" w:color="000000" w:sz="4" w:space="0"/>
              <w:bottom w:val="single" w:color="000000" w:sz="4" w:space="0"/>
              <w:right w:val="single" w:color="000000" w:sz="4" w:space="0"/>
            </w:tcBorders>
            <w:vAlign w:val="center"/>
          </w:tcPr>
          <w:p w14:paraId="170479F2"/>
        </w:tc>
        <w:tc>
          <w:tcPr>
            <w:tcW w:w="699" w:type="dxa"/>
            <w:tcBorders>
              <w:left w:val="single" w:color="000000" w:sz="4" w:space="0"/>
              <w:bottom w:val="single" w:color="000000" w:sz="4" w:space="0"/>
              <w:right w:val="single" w:color="000000" w:sz="4" w:space="0"/>
            </w:tcBorders>
            <w:vAlign w:val="center"/>
          </w:tcPr>
          <w:p w14:paraId="19EA9611">
            <w:r>
              <w:rPr>
                <w:rFonts w:hint="eastAsia"/>
              </w:rPr>
              <w:t>9.3</w:t>
            </w:r>
          </w:p>
        </w:tc>
        <w:tc>
          <w:tcPr>
            <w:tcW w:w="5688" w:type="dxa"/>
            <w:tcBorders>
              <w:top w:val="single" w:color="000000" w:sz="4" w:space="0"/>
              <w:left w:val="single" w:color="000000" w:sz="4" w:space="0"/>
              <w:bottom w:val="single" w:color="000000" w:sz="4" w:space="0"/>
              <w:right w:val="single" w:color="000000" w:sz="4" w:space="0"/>
            </w:tcBorders>
            <w:vAlign w:val="center"/>
          </w:tcPr>
          <w:p w14:paraId="6E247C2A">
            <w:r>
              <w:rPr>
                <w:rFonts w:hint="eastAsia"/>
              </w:rPr>
              <w:t>维护国家利益，以合法的方式表达个人诉求，理性维护国家利益</w:t>
            </w:r>
          </w:p>
        </w:tc>
      </w:tr>
      <w:tr w14:paraId="16146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E074E78">
            <w:pPr>
              <w:widowControl/>
            </w:pPr>
          </w:p>
        </w:tc>
        <w:tc>
          <w:tcPr>
            <w:tcW w:w="1085" w:type="dxa"/>
            <w:vMerge w:val="restart"/>
            <w:tcBorders>
              <w:top w:val="single" w:color="000000" w:sz="4" w:space="0"/>
              <w:left w:val="single" w:color="000000" w:sz="4" w:space="0"/>
              <w:right w:val="single" w:color="000000" w:sz="4" w:space="0"/>
            </w:tcBorders>
            <w:vAlign w:val="center"/>
          </w:tcPr>
          <w:p w14:paraId="7651B947">
            <w:r>
              <w:rPr>
                <w:rFonts w:hint="eastAsia"/>
              </w:rPr>
              <w:t>10.敬业</w:t>
            </w:r>
          </w:p>
        </w:tc>
        <w:tc>
          <w:tcPr>
            <w:tcW w:w="699" w:type="dxa"/>
            <w:tcBorders>
              <w:top w:val="single" w:color="000000" w:sz="4" w:space="0"/>
              <w:left w:val="single" w:color="000000" w:sz="4" w:space="0"/>
              <w:right w:val="single" w:color="000000" w:sz="4" w:space="0"/>
            </w:tcBorders>
            <w:vAlign w:val="center"/>
          </w:tcPr>
          <w:p w14:paraId="27D376DA">
            <w:r>
              <w:rPr>
                <w:rFonts w:hint="eastAsia"/>
              </w:rPr>
              <w:t>10.1</w:t>
            </w:r>
          </w:p>
        </w:tc>
        <w:tc>
          <w:tcPr>
            <w:tcW w:w="5688" w:type="dxa"/>
            <w:tcBorders>
              <w:top w:val="single" w:color="000000" w:sz="4" w:space="0"/>
              <w:left w:val="single" w:color="000000" w:sz="4" w:space="0"/>
              <w:bottom w:val="single" w:color="000000" w:sz="4" w:space="0"/>
              <w:right w:val="single" w:color="000000" w:sz="4" w:space="0"/>
            </w:tcBorders>
            <w:vAlign w:val="center"/>
          </w:tcPr>
          <w:p w14:paraId="343FD257">
            <w:r>
              <w:rPr>
                <w:rFonts w:hint="eastAsia"/>
              </w:rPr>
              <w:t>职业道德-树立爱岗敬业、服务人民的职业精神</w:t>
            </w:r>
          </w:p>
        </w:tc>
      </w:tr>
      <w:tr w14:paraId="052A6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E6659AC">
            <w:pPr>
              <w:widowControl/>
            </w:pPr>
          </w:p>
        </w:tc>
        <w:tc>
          <w:tcPr>
            <w:tcW w:w="1085" w:type="dxa"/>
            <w:vMerge w:val="continue"/>
            <w:tcBorders>
              <w:left w:val="single" w:color="000000" w:sz="4" w:space="0"/>
              <w:right w:val="single" w:color="000000" w:sz="4" w:space="0"/>
            </w:tcBorders>
            <w:vAlign w:val="center"/>
          </w:tcPr>
          <w:p w14:paraId="62F409CA"/>
        </w:tc>
        <w:tc>
          <w:tcPr>
            <w:tcW w:w="699" w:type="dxa"/>
            <w:tcBorders>
              <w:left w:val="single" w:color="000000" w:sz="4" w:space="0"/>
              <w:right w:val="single" w:color="000000" w:sz="4" w:space="0"/>
            </w:tcBorders>
            <w:vAlign w:val="center"/>
          </w:tcPr>
          <w:p w14:paraId="2CF7E2E5">
            <w:r>
              <w:rPr>
                <w:rFonts w:hint="eastAsia"/>
              </w:rPr>
              <w:t>10.2</w:t>
            </w:r>
          </w:p>
        </w:tc>
        <w:tc>
          <w:tcPr>
            <w:tcW w:w="5688" w:type="dxa"/>
            <w:tcBorders>
              <w:top w:val="single" w:color="000000" w:sz="4" w:space="0"/>
              <w:left w:val="single" w:color="000000" w:sz="4" w:space="0"/>
              <w:bottom w:val="single" w:color="000000" w:sz="4" w:space="0"/>
              <w:right w:val="single" w:color="000000" w:sz="4" w:space="0"/>
            </w:tcBorders>
            <w:vAlign w:val="center"/>
          </w:tcPr>
          <w:p w14:paraId="628A708E">
            <w:r>
              <w:rPr>
                <w:rFonts w:hint="eastAsia"/>
              </w:rPr>
              <w:t>职业道德-热爱本职工作，恪守职业道德，勤勉工作。</w:t>
            </w:r>
          </w:p>
        </w:tc>
      </w:tr>
      <w:tr w14:paraId="50390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4D77E63">
            <w:pPr>
              <w:widowControl/>
            </w:pPr>
          </w:p>
        </w:tc>
        <w:tc>
          <w:tcPr>
            <w:tcW w:w="1085" w:type="dxa"/>
            <w:vMerge w:val="continue"/>
            <w:tcBorders>
              <w:left w:val="single" w:color="000000" w:sz="4" w:space="0"/>
              <w:right w:val="single" w:color="000000" w:sz="4" w:space="0"/>
            </w:tcBorders>
            <w:vAlign w:val="center"/>
          </w:tcPr>
          <w:p w14:paraId="348627D6"/>
        </w:tc>
        <w:tc>
          <w:tcPr>
            <w:tcW w:w="699" w:type="dxa"/>
            <w:tcBorders>
              <w:left w:val="single" w:color="000000" w:sz="4" w:space="0"/>
              <w:right w:val="single" w:color="000000" w:sz="4" w:space="0"/>
            </w:tcBorders>
            <w:vAlign w:val="center"/>
          </w:tcPr>
          <w:p w14:paraId="7021CE54">
            <w:r>
              <w:rPr>
                <w:rFonts w:hint="eastAsia"/>
              </w:rPr>
              <w:t>10.3</w:t>
            </w:r>
          </w:p>
        </w:tc>
        <w:tc>
          <w:tcPr>
            <w:tcW w:w="5688" w:type="dxa"/>
            <w:tcBorders>
              <w:top w:val="single" w:color="000000" w:sz="4" w:space="0"/>
              <w:left w:val="single" w:color="000000" w:sz="4" w:space="0"/>
              <w:bottom w:val="single" w:color="000000" w:sz="4" w:space="0"/>
              <w:right w:val="single" w:color="000000" w:sz="4" w:space="0"/>
            </w:tcBorders>
            <w:vAlign w:val="center"/>
          </w:tcPr>
          <w:p w14:paraId="7399DB8D">
            <w:r>
              <w:rPr>
                <w:rFonts w:hint="eastAsia"/>
              </w:rPr>
              <w:t>职业道德-以专业知识奉献社会，服务人民。</w:t>
            </w:r>
          </w:p>
        </w:tc>
      </w:tr>
      <w:tr w14:paraId="028F7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17C5686">
            <w:pPr>
              <w:widowControl/>
            </w:pPr>
          </w:p>
        </w:tc>
        <w:tc>
          <w:tcPr>
            <w:tcW w:w="1085" w:type="dxa"/>
            <w:vMerge w:val="continue"/>
            <w:tcBorders>
              <w:left w:val="single" w:color="000000" w:sz="4" w:space="0"/>
              <w:right w:val="single" w:color="000000" w:sz="4" w:space="0"/>
            </w:tcBorders>
            <w:vAlign w:val="center"/>
          </w:tcPr>
          <w:p w14:paraId="4416A4C1"/>
        </w:tc>
        <w:tc>
          <w:tcPr>
            <w:tcW w:w="699" w:type="dxa"/>
            <w:tcBorders>
              <w:left w:val="single" w:color="000000" w:sz="4" w:space="0"/>
              <w:right w:val="single" w:color="000000" w:sz="4" w:space="0"/>
            </w:tcBorders>
            <w:vAlign w:val="center"/>
          </w:tcPr>
          <w:p w14:paraId="7820A986">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14:paraId="14E482E5">
            <w:r>
              <w:rPr>
                <w:rFonts w:hint="eastAsia"/>
              </w:rPr>
              <w:t>职业道德-艰苦奋斗，不怕吃苦，扎扎实实，不眼高手低</w:t>
            </w:r>
          </w:p>
        </w:tc>
      </w:tr>
      <w:tr w14:paraId="6BB80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08ECC72">
            <w:pPr>
              <w:widowControl/>
            </w:pPr>
          </w:p>
        </w:tc>
        <w:tc>
          <w:tcPr>
            <w:tcW w:w="1085" w:type="dxa"/>
            <w:vMerge w:val="continue"/>
            <w:tcBorders>
              <w:left w:val="single" w:color="000000" w:sz="4" w:space="0"/>
              <w:right w:val="single" w:color="000000" w:sz="4" w:space="0"/>
            </w:tcBorders>
            <w:vAlign w:val="center"/>
          </w:tcPr>
          <w:p w14:paraId="19E8D90E"/>
        </w:tc>
        <w:tc>
          <w:tcPr>
            <w:tcW w:w="699" w:type="dxa"/>
            <w:tcBorders>
              <w:left w:val="single" w:color="000000" w:sz="4" w:space="0"/>
              <w:right w:val="single" w:color="000000" w:sz="4" w:space="0"/>
            </w:tcBorders>
            <w:vAlign w:val="center"/>
          </w:tcPr>
          <w:p w14:paraId="3CE4D7D6">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14:paraId="523F7582">
            <w:r>
              <w:rPr>
                <w:rFonts w:hint="eastAsia"/>
              </w:rPr>
              <w:t>工匠精神-钻研业务，不断创新</w:t>
            </w:r>
          </w:p>
        </w:tc>
      </w:tr>
      <w:tr w14:paraId="6832D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F366A3F">
            <w:pPr>
              <w:widowControl/>
            </w:pPr>
          </w:p>
        </w:tc>
        <w:tc>
          <w:tcPr>
            <w:tcW w:w="1085" w:type="dxa"/>
            <w:vMerge w:val="continue"/>
            <w:tcBorders>
              <w:left w:val="single" w:color="000000" w:sz="4" w:space="0"/>
              <w:right w:val="single" w:color="000000" w:sz="4" w:space="0"/>
            </w:tcBorders>
            <w:vAlign w:val="center"/>
          </w:tcPr>
          <w:p w14:paraId="4123D7F2"/>
        </w:tc>
        <w:tc>
          <w:tcPr>
            <w:tcW w:w="699" w:type="dxa"/>
            <w:tcBorders>
              <w:left w:val="single" w:color="000000" w:sz="4" w:space="0"/>
              <w:right w:val="single" w:color="000000" w:sz="4" w:space="0"/>
            </w:tcBorders>
            <w:vAlign w:val="center"/>
          </w:tcPr>
          <w:p w14:paraId="7D07726B">
            <w:r>
              <w:rPr>
                <w:rFonts w:hint="eastAsia"/>
              </w:rPr>
              <w:t>10.5</w:t>
            </w:r>
          </w:p>
        </w:tc>
        <w:tc>
          <w:tcPr>
            <w:tcW w:w="5688" w:type="dxa"/>
            <w:tcBorders>
              <w:top w:val="single" w:color="000000" w:sz="4" w:space="0"/>
              <w:left w:val="single" w:color="000000" w:sz="4" w:space="0"/>
              <w:bottom w:val="single" w:color="000000" w:sz="4" w:space="0"/>
              <w:right w:val="single" w:color="000000" w:sz="4" w:space="0"/>
            </w:tcBorders>
            <w:vAlign w:val="center"/>
          </w:tcPr>
          <w:p w14:paraId="6C402A2A">
            <w:r>
              <w:rPr>
                <w:rFonts w:hint="eastAsia"/>
              </w:rPr>
              <w:t>工匠精神-极强的专业性，精益求精</w:t>
            </w:r>
          </w:p>
        </w:tc>
      </w:tr>
      <w:tr w14:paraId="010E27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92A416B">
            <w:pPr>
              <w:widowControl/>
            </w:pPr>
          </w:p>
        </w:tc>
        <w:tc>
          <w:tcPr>
            <w:tcW w:w="1085" w:type="dxa"/>
            <w:vMerge w:val="continue"/>
            <w:tcBorders>
              <w:left w:val="single" w:color="000000" w:sz="4" w:space="0"/>
              <w:bottom w:val="single" w:color="000000" w:sz="4" w:space="0"/>
              <w:right w:val="single" w:color="000000" w:sz="4" w:space="0"/>
            </w:tcBorders>
            <w:vAlign w:val="center"/>
          </w:tcPr>
          <w:p w14:paraId="184CDB4F"/>
        </w:tc>
        <w:tc>
          <w:tcPr>
            <w:tcW w:w="699" w:type="dxa"/>
            <w:tcBorders>
              <w:left w:val="single" w:color="000000" w:sz="4" w:space="0"/>
              <w:bottom w:val="single" w:color="000000" w:sz="4" w:space="0"/>
              <w:right w:val="single" w:color="000000" w:sz="4" w:space="0"/>
            </w:tcBorders>
            <w:vAlign w:val="center"/>
          </w:tcPr>
          <w:p w14:paraId="5962613E">
            <w:r>
              <w:rPr>
                <w:rFonts w:hint="eastAsia"/>
              </w:rPr>
              <w:t>10.6</w:t>
            </w:r>
          </w:p>
        </w:tc>
        <w:tc>
          <w:tcPr>
            <w:tcW w:w="5688" w:type="dxa"/>
            <w:tcBorders>
              <w:top w:val="single" w:color="000000" w:sz="4" w:space="0"/>
              <w:left w:val="single" w:color="000000" w:sz="4" w:space="0"/>
              <w:bottom w:val="single" w:color="000000" w:sz="4" w:space="0"/>
              <w:right w:val="single" w:color="000000" w:sz="4" w:space="0"/>
            </w:tcBorders>
            <w:vAlign w:val="center"/>
          </w:tcPr>
          <w:p w14:paraId="4CE46716">
            <w:r>
              <w:rPr>
                <w:rFonts w:hint="eastAsia"/>
              </w:rPr>
              <w:t>工匠精神-强烈的专业操作，规划职业生涯</w:t>
            </w:r>
          </w:p>
        </w:tc>
      </w:tr>
      <w:tr w14:paraId="74BDF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0737389">
            <w:pPr>
              <w:widowControl/>
            </w:pPr>
          </w:p>
        </w:tc>
        <w:tc>
          <w:tcPr>
            <w:tcW w:w="1085" w:type="dxa"/>
            <w:vMerge w:val="restart"/>
            <w:tcBorders>
              <w:top w:val="single" w:color="000000" w:sz="4" w:space="0"/>
              <w:left w:val="single" w:color="000000" w:sz="4" w:space="0"/>
              <w:right w:val="single" w:color="000000" w:sz="4" w:space="0"/>
            </w:tcBorders>
            <w:vAlign w:val="center"/>
          </w:tcPr>
          <w:p w14:paraId="50E3D973">
            <w:r>
              <w:rPr>
                <w:rFonts w:hint="eastAsia"/>
              </w:rPr>
              <w:t>11.诚信</w:t>
            </w:r>
          </w:p>
        </w:tc>
        <w:tc>
          <w:tcPr>
            <w:tcW w:w="699" w:type="dxa"/>
            <w:tcBorders>
              <w:top w:val="single" w:color="000000" w:sz="4" w:space="0"/>
              <w:left w:val="single" w:color="000000" w:sz="4" w:space="0"/>
              <w:right w:val="single" w:color="000000" w:sz="4" w:space="0"/>
            </w:tcBorders>
            <w:vAlign w:val="center"/>
          </w:tcPr>
          <w:p w14:paraId="051382A3">
            <w:r>
              <w:rPr>
                <w:rFonts w:hint="eastAsia"/>
              </w:rPr>
              <w:t>11.1</w:t>
            </w:r>
          </w:p>
        </w:tc>
        <w:tc>
          <w:tcPr>
            <w:tcW w:w="5688" w:type="dxa"/>
            <w:tcBorders>
              <w:top w:val="single" w:color="000000" w:sz="4" w:space="0"/>
              <w:left w:val="single" w:color="000000" w:sz="4" w:space="0"/>
              <w:bottom w:val="single" w:color="000000" w:sz="4" w:space="0"/>
              <w:right w:val="single" w:color="000000" w:sz="4" w:space="0"/>
            </w:tcBorders>
            <w:vAlign w:val="center"/>
          </w:tcPr>
          <w:p w14:paraId="56B1FAF9">
            <w:r>
              <w:rPr>
                <w:rFonts w:hint="eastAsia"/>
              </w:rPr>
              <w:t>诚实守信精神</w:t>
            </w:r>
          </w:p>
        </w:tc>
      </w:tr>
      <w:tr w14:paraId="3C1F4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BCC1D7C">
            <w:pPr>
              <w:widowControl/>
            </w:pPr>
          </w:p>
        </w:tc>
        <w:tc>
          <w:tcPr>
            <w:tcW w:w="1085" w:type="dxa"/>
            <w:vMerge w:val="continue"/>
            <w:tcBorders>
              <w:top w:val="single" w:color="000000" w:sz="4" w:space="0"/>
              <w:left w:val="single" w:color="000000" w:sz="4" w:space="0"/>
              <w:right w:val="single" w:color="000000" w:sz="4" w:space="0"/>
            </w:tcBorders>
            <w:vAlign w:val="center"/>
          </w:tcPr>
          <w:p w14:paraId="2EE7641B"/>
        </w:tc>
        <w:tc>
          <w:tcPr>
            <w:tcW w:w="699" w:type="dxa"/>
            <w:tcBorders>
              <w:top w:val="single" w:color="000000" w:sz="4" w:space="0"/>
              <w:left w:val="single" w:color="000000" w:sz="4" w:space="0"/>
              <w:right w:val="single" w:color="000000" w:sz="4" w:space="0"/>
            </w:tcBorders>
            <w:vAlign w:val="center"/>
          </w:tcPr>
          <w:p w14:paraId="0CA67C73">
            <w:r>
              <w:rPr>
                <w:rFonts w:hint="eastAsia"/>
              </w:rPr>
              <w:t>11.2</w:t>
            </w:r>
          </w:p>
        </w:tc>
        <w:tc>
          <w:tcPr>
            <w:tcW w:w="5688" w:type="dxa"/>
            <w:tcBorders>
              <w:top w:val="single" w:color="000000" w:sz="4" w:space="0"/>
              <w:left w:val="single" w:color="000000" w:sz="4" w:space="0"/>
              <w:bottom w:val="single" w:color="000000" w:sz="4" w:space="0"/>
              <w:right w:val="single" w:color="000000" w:sz="4" w:space="0"/>
            </w:tcBorders>
            <w:vAlign w:val="center"/>
          </w:tcPr>
          <w:p w14:paraId="5DD905CF">
            <w:r>
              <w:rPr>
                <w:rFonts w:hint="eastAsia"/>
              </w:rPr>
              <w:t>坚定的职业操守，抵制诱惑</w:t>
            </w:r>
          </w:p>
        </w:tc>
      </w:tr>
      <w:tr w14:paraId="21299D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B60150F">
            <w:pPr>
              <w:widowControl/>
            </w:pPr>
          </w:p>
        </w:tc>
        <w:tc>
          <w:tcPr>
            <w:tcW w:w="1085" w:type="dxa"/>
            <w:vMerge w:val="continue"/>
            <w:tcBorders>
              <w:left w:val="single" w:color="000000" w:sz="4" w:space="0"/>
              <w:bottom w:val="single" w:color="000000" w:sz="4" w:space="0"/>
              <w:right w:val="single" w:color="000000" w:sz="4" w:space="0"/>
            </w:tcBorders>
            <w:vAlign w:val="center"/>
          </w:tcPr>
          <w:p w14:paraId="1F419D9E"/>
        </w:tc>
        <w:tc>
          <w:tcPr>
            <w:tcW w:w="699" w:type="dxa"/>
            <w:tcBorders>
              <w:left w:val="single" w:color="000000" w:sz="4" w:space="0"/>
              <w:bottom w:val="single" w:color="000000" w:sz="4" w:space="0"/>
              <w:right w:val="single" w:color="000000" w:sz="4" w:space="0"/>
            </w:tcBorders>
            <w:vAlign w:val="center"/>
          </w:tcPr>
          <w:p w14:paraId="4827AE70">
            <w:r>
              <w:rPr>
                <w:rFonts w:hint="eastAsia"/>
              </w:rPr>
              <w:t>11.3</w:t>
            </w:r>
          </w:p>
        </w:tc>
        <w:tc>
          <w:tcPr>
            <w:tcW w:w="5688" w:type="dxa"/>
            <w:tcBorders>
              <w:top w:val="single" w:color="000000" w:sz="4" w:space="0"/>
              <w:left w:val="single" w:color="000000" w:sz="4" w:space="0"/>
              <w:bottom w:val="single" w:color="000000" w:sz="4" w:space="0"/>
              <w:right w:val="single" w:color="000000" w:sz="4" w:space="0"/>
            </w:tcBorders>
            <w:vAlign w:val="center"/>
          </w:tcPr>
          <w:p w14:paraId="406C7FEB">
            <w:r>
              <w:rPr>
                <w:rFonts w:hint="eastAsia"/>
              </w:rPr>
              <w:t>准时、守约的契约精神</w:t>
            </w:r>
          </w:p>
        </w:tc>
      </w:tr>
      <w:tr w14:paraId="1F0B4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0" w:hRule="atLeast"/>
        </w:trPr>
        <w:tc>
          <w:tcPr>
            <w:tcW w:w="1226" w:type="dxa"/>
            <w:vMerge w:val="continue"/>
            <w:tcBorders>
              <w:left w:val="single" w:color="000000" w:sz="4" w:space="0"/>
              <w:right w:val="single" w:color="000000" w:sz="4" w:space="0"/>
            </w:tcBorders>
            <w:vAlign w:val="center"/>
          </w:tcPr>
          <w:p w14:paraId="4254F43E">
            <w:pPr>
              <w:widowControl/>
            </w:pPr>
          </w:p>
        </w:tc>
        <w:tc>
          <w:tcPr>
            <w:tcW w:w="1085" w:type="dxa"/>
            <w:vMerge w:val="restart"/>
            <w:tcBorders>
              <w:top w:val="single" w:color="000000" w:sz="4" w:space="0"/>
              <w:left w:val="single" w:color="000000" w:sz="4" w:space="0"/>
              <w:right w:val="single" w:color="000000" w:sz="4" w:space="0"/>
            </w:tcBorders>
            <w:vAlign w:val="center"/>
          </w:tcPr>
          <w:p w14:paraId="5DDD7F31">
            <w:r>
              <w:rPr>
                <w:rFonts w:hint="eastAsia"/>
              </w:rPr>
              <w:t>12.友善</w:t>
            </w:r>
          </w:p>
        </w:tc>
        <w:tc>
          <w:tcPr>
            <w:tcW w:w="699" w:type="dxa"/>
            <w:tcBorders>
              <w:top w:val="single" w:color="000000" w:sz="4" w:space="0"/>
              <w:left w:val="single" w:color="000000" w:sz="4" w:space="0"/>
              <w:right w:val="single" w:color="000000" w:sz="4" w:space="0"/>
            </w:tcBorders>
            <w:vAlign w:val="center"/>
          </w:tcPr>
          <w:p w14:paraId="3151307D">
            <w:r>
              <w:rPr>
                <w:rFonts w:hint="eastAsia"/>
              </w:rPr>
              <w:t>12.1</w:t>
            </w:r>
          </w:p>
        </w:tc>
        <w:tc>
          <w:tcPr>
            <w:tcW w:w="5688" w:type="dxa"/>
            <w:tcBorders>
              <w:top w:val="single" w:color="000000" w:sz="4" w:space="0"/>
              <w:left w:val="single" w:color="000000" w:sz="4" w:space="0"/>
              <w:bottom w:val="single" w:color="000000" w:sz="4" w:space="0"/>
              <w:right w:val="single" w:color="000000" w:sz="4" w:space="0"/>
            </w:tcBorders>
            <w:vAlign w:val="center"/>
          </w:tcPr>
          <w:p w14:paraId="4F65FB7E">
            <w:r>
              <w:rPr>
                <w:rFonts w:hint="eastAsia"/>
              </w:rPr>
              <w:t>向上向善</w:t>
            </w:r>
          </w:p>
        </w:tc>
      </w:tr>
      <w:tr w14:paraId="14FE2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F7CE015">
            <w:pPr>
              <w:widowControl/>
            </w:pPr>
          </w:p>
        </w:tc>
        <w:tc>
          <w:tcPr>
            <w:tcW w:w="1085" w:type="dxa"/>
            <w:vMerge w:val="continue"/>
            <w:tcBorders>
              <w:left w:val="single" w:color="000000" w:sz="4" w:space="0"/>
              <w:right w:val="single" w:color="000000" w:sz="4" w:space="0"/>
            </w:tcBorders>
            <w:vAlign w:val="center"/>
          </w:tcPr>
          <w:p w14:paraId="01F8A7DA"/>
        </w:tc>
        <w:tc>
          <w:tcPr>
            <w:tcW w:w="699" w:type="dxa"/>
            <w:tcBorders>
              <w:left w:val="single" w:color="000000" w:sz="4" w:space="0"/>
              <w:right w:val="single" w:color="000000" w:sz="4" w:space="0"/>
            </w:tcBorders>
            <w:vAlign w:val="center"/>
          </w:tcPr>
          <w:p w14:paraId="72DFA5E1">
            <w:r>
              <w:rPr>
                <w:rFonts w:hint="eastAsia"/>
              </w:rPr>
              <w:t>12.2</w:t>
            </w:r>
          </w:p>
        </w:tc>
        <w:tc>
          <w:tcPr>
            <w:tcW w:w="5688" w:type="dxa"/>
            <w:tcBorders>
              <w:top w:val="single" w:color="000000" w:sz="4" w:space="0"/>
              <w:left w:val="single" w:color="000000" w:sz="4" w:space="0"/>
              <w:bottom w:val="single" w:color="000000" w:sz="4" w:space="0"/>
              <w:right w:val="single" w:color="000000" w:sz="4" w:space="0"/>
            </w:tcBorders>
            <w:vAlign w:val="center"/>
          </w:tcPr>
          <w:p w14:paraId="7BC07147">
            <w:r>
              <w:rPr>
                <w:rFonts w:hint="eastAsia"/>
              </w:rPr>
              <w:t>善于沟通</w:t>
            </w:r>
          </w:p>
        </w:tc>
      </w:tr>
      <w:tr w14:paraId="503E3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BE27A4D">
            <w:pPr>
              <w:widowControl/>
            </w:pPr>
          </w:p>
        </w:tc>
        <w:tc>
          <w:tcPr>
            <w:tcW w:w="1085" w:type="dxa"/>
            <w:vMerge w:val="continue"/>
            <w:tcBorders>
              <w:left w:val="single" w:color="000000" w:sz="4" w:space="0"/>
              <w:right w:val="single" w:color="000000" w:sz="4" w:space="0"/>
            </w:tcBorders>
            <w:vAlign w:val="center"/>
          </w:tcPr>
          <w:p w14:paraId="2BA87C7C"/>
        </w:tc>
        <w:tc>
          <w:tcPr>
            <w:tcW w:w="699" w:type="dxa"/>
            <w:tcBorders>
              <w:left w:val="single" w:color="000000" w:sz="4" w:space="0"/>
              <w:right w:val="single" w:color="000000" w:sz="4" w:space="0"/>
            </w:tcBorders>
            <w:vAlign w:val="center"/>
          </w:tcPr>
          <w:p w14:paraId="5CF4C7D8">
            <w:r>
              <w:rPr>
                <w:rFonts w:hint="eastAsia"/>
              </w:rPr>
              <w:t>12.3</w:t>
            </w:r>
          </w:p>
        </w:tc>
        <w:tc>
          <w:tcPr>
            <w:tcW w:w="5688" w:type="dxa"/>
            <w:tcBorders>
              <w:top w:val="single" w:color="000000" w:sz="4" w:space="0"/>
              <w:left w:val="single" w:color="000000" w:sz="4" w:space="0"/>
              <w:bottom w:val="single" w:color="000000" w:sz="4" w:space="0"/>
              <w:right w:val="single" w:color="000000" w:sz="4" w:space="0"/>
            </w:tcBorders>
            <w:vAlign w:val="center"/>
          </w:tcPr>
          <w:p w14:paraId="3760630E">
            <w:r>
              <w:rPr>
                <w:rFonts w:hint="eastAsia"/>
              </w:rPr>
              <w:t>乐观、进取的生活态度</w:t>
            </w:r>
          </w:p>
        </w:tc>
      </w:tr>
      <w:tr w14:paraId="0006F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393D420">
            <w:pPr>
              <w:widowControl/>
            </w:pPr>
          </w:p>
        </w:tc>
        <w:tc>
          <w:tcPr>
            <w:tcW w:w="1085" w:type="dxa"/>
            <w:vMerge w:val="continue"/>
            <w:tcBorders>
              <w:left w:val="single" w:color="000000" w:sz="4" w:space="0"/>
              <w:right w:val="single" w:color="000000" w:sz="4" w:space="0"/>
            </w:tcBorders>
            <w:vAlign w:val="center"/>
          </w:tcPr>
          <w:p w14:paraId="54B94763"/>
        </w:tc>
        <w:tc>
          <w:tcPr>
            <w:tcW w:w="699" w:type="dxa"/>
            <w:tcBorders>
              <w:left w:val="single" w:color="000000" w:sz="4" w:space="0"/>
              <w:right w:val="single" w:color="000000" w:sz="4" w:space="0"/>
            </w:tcBorders>
            <w:vAlign w:val="center"/>
          </w:tcPr>
          <w:p w14:paraId="5C89C0F7">
            <w:r>
              <w:rPr>
                <w:rFonts w:hint="eastAsia"/>
              </w:rPr>
              <w:t>12.4</w:t>
            </w:r>
          </w:p>
        </w:tc>
        <w:tc>
          <w:tcPr>
            <w:tcW w:w="5688" w:type="dxa"/>
            <w:tcBorders>
              <w:top w:val="single" w:color="000000" w:sz="4" w:space="0"/>
              <w:left w:val="single" w:color="000000" w:sz="4" w:space="0"/>
              <w:bottom w:val="single" w:color="000000" w:sz="4" w:space="0"/>
              <w:right w:val="single" w:color="000000" w:sz="4" w:space="0"/>
            </w:tcBorders>
            <w:vAlign w:val="center"/>
          </w:tcPr>
          <w:p w14:paraId="74872ECB">
            <w:r>
              <w:rPr>
                <w:rFonts w:hint="eastAsia"/>
              </w:rPr>
              <w:t>尊重和维护善良风俗</w:t>
            </w:r>
          </w:p>
        </w:tc>
      </w:tr>
      <w:tr w14:paraId="0A340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bottom w:val="single" w:color="000000" w:sz="4" w:space="0"/>
              <w:right w:val="single" w:color="000000" w:sz="4" w:space="0"/>
            </w:tcBorders>
            <w:vAlign w:val="center"/>
          </w:tcPr>
          <w:p w14:paraId="0464E218">
            <w:pPr>
              <w:widowControl/>
            </w:pPr>
          </w:p>
        </w:tc>
        <w:tc>
          <w:tcPr>
            <w:tcW w:w="1085" w:type="dxa"/>
            <w:vMerge w:val="continue"/>
            <w:tcBorders>
              <w:left w:val="single" w:color="000000" w:sz="4" w:space="0"/>
              <w:bottom w:val="single" w:color="000000" w:sz="4" w:space="0"/>
              <w:right w:val="single" w:color="000000" w:sz="4" w:space="0"/>
            </w:tcBorders>
            <w:vAlign w:val="center"/>
          </w:tcPr>
          <w:p w14:paraId="69B8EEE3"/>
        </w:tc>
        <w:tc>
          <w:tcPr>
            <w:tcW w:w="699" w:type="dxa"/>
            <w:tcBorders>
              <w:left w:val="single" w:color="000000" w:sz="4" w:space="0"/>
              <w:bottom w:val="single" w:color="000000" w:sz="4" w:space="0"/>
              <w:right w:val="single" w:color="000000" w:sz="4" w:space="0"/>
            </w:tcBorders>
            <w:vAlign w:val="center"/>
          </w:tcPr>
          <w:p w14:paraId="650EEFF3">
            <w:r>
              <w:rPr>
                <w:rFonts w:hint="eastAsia"/>
              </w:rPr>
              <w:t>12.5</w:t>
            </w:r>
          </w:p>
        </w:tc>
        <w:tc>
          <w:tcPr>
            <w:tcW w:w="5688" w:type="dxa"/>
            <w:tcBorders>
              <w:top w:val="single" w:color="000000" w:sz="4" w:space="0"/>
              <w:left w:val="single" w:color="000000" w:sz="4" w:space="0"/>
              <w:bottom w:val="single" w:color="000000" w:sz="4" w:space="0"/>
              <w:right w:val="single" w:color="000000" w:sz="4" w:space="0"/>
            </w:tcBorders>
            <w:vAlign w:val="center"/>
          </w:tcPr>
          <w:p w14:paraId="1715D347">
            <w:r>
              <w:rPr>
                <w:rFonts w:hint="eastAsia"/>
              </w:rPr>
              <w:t>团结合作，共谋发展</w:t>
            </w:r>
          </w:p>
        </w:tc>
      </w:tr>
    </w:tbl>
    <w:p w14:paraId="70BA0C7B">
      <w:pPr>
        <w:keepNext/>
        <w:keepLines/>
        <w:spacing w:line="360" w:lineRule="auto"/>
        <w:ind w:firstLine="562" w:firstLineChars="200"/>
        <w:outlineLvl w:val="1"/>
        <w:rPr>
          <w:rFonts w:hint="eastAsia" w:ascii="黑体" w:hAnsi="黑体" w:eastAsia="黑体" w:cs="黑体"/>
          <w:b/>
          <w:bCs/>
          <w:sz w:val="28"/>
          <w:szCs w:val="28"/>
        </w:rPr>
      </w:pPr>
      <w:r>
        <w:rPr>
          <w:rFonts w:hint="eastAsia" w:ascii="黑体" w:hAnsi="黑体" w:eastAsia="黑体" w:cs="黑体"/>
          <w:b/>
          <w:bCs/>
          <w:sz w:val="28"/>
          <w:szCs w:val="28"/>
        </w:rPr>
        <w:t>2.课程思政体系建设</w:t>
      </w:r>
    </w:p>
    <w:p w14:paraId="0D6E3B68">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坚持以“立德树人”为根本任务，以党建引领的“六个一”工程和团学建设“六个一”工程为两翼，以 “课程思政+思政课程”为主体，“一体两翼”立体推进思政体系建设。</w:t>
      </w:r>
      <w:r>
        <w:rPr>
          <w:rFonts w:ascii="Times New Roman" w:hAnsi="Times New Roman"/>
          <w:sz w:val="24"/>
          <w:szCs w:val="24"/>
        </w:rPr>
        <w:drawing>
          <wp:inline distT="0" distB="0" distL="0" distR="0">
            <wp:extent cx="3600450" cy="3600450"/>
            <wp:effectExtent l="0" t="0" r="0" b="0"/>
            <wp:docPr id="1037" name="图片 1" descr="C:\Users\ADMINI~1\AppData\Local\Temp\WeChat Files\baed0f88978d7453aa8f87b6cdff85b.jpg"/>
            <wp:cNvGraphicFramePr/>
            <a:graphic xmlns:a="http://schemas.openxmlformats.org/drawingml/2006/main">
              <a:graphicData uri="http://schemas.openxmlformats.org/drawingml/2006/picture">
                <pic:pic xmlns:pic="http://schemas.openxmlformats.org/drawingml/2006/picture">
                  <pic:nvPicPr>
                    <pic:cNvPr id="1037" name="图片 1" descr="C:\Users\ADMINI~1\AppData\Local\Temp\WeChat Files\baed0f88978d7453aa8f87b6cdff85b.jpg"/>
                    <pic:cNvPicPr/>
                  </pic:nvPicPr>
                  <pic:blipFill>
                    <a:blip r:embed="rId7" cstate="print"/>
                    <a:srcRect/>
                    <a:stretch>
                      <a:fillRect/>
                    </a:stretch>
                  </pic:blipFill>
                  <pic:spPr>
                    <a:xfrm>
                      <a:off x="0" y="0"/>
                      <a:ext cx="3600450" cy="3600450"/>
                    </a:xfrm>
                    <a:prstGeom prst="rect">
                      <a:avLst/>
                    </a:prstGeom>
                    <a:ln>
                      <a:noFill/>
                    </a:ln>
                  </pic:spPr>
                </pic:pic>
              </a:graphicData>
            </a:graphic>
          </wp:inline>
        </w:drawing>
      </w:r>
    </w:p>
    <w:p w14:paraId="2D3FB9C5">
      <w:pPr>
        <w:ind w:firstLine="240" w:firstLineChars="100"/>
        <w:jc w:val="center"/>
        <w:rPr>
          <w:rFonts w:ascii="Times New Roman" w:hAnsi="Times New Roman"/>
          <w:sz w:val="24"/>
          <w:szCs w:val="24"/>
        </w:rPr>
      </w:pPr>
    </w:p>
    <w:p w14:paraId="74D5C0A8">
      <w:pPr>
        <w:ind w:firstLine="241" w:firstLineChars="100"/>
        <w:jc w:val="center"/>
        <w:rPr>
          <w:rFonts w:hint="eastAsia" w:ascii="宋体" w:hAnsi="宋体" w:cs="宋体"/>
          <w:b/>
          <w:bCs/>
          <w:sz w:val="24"/>
          <w:szCs w:val="24"/>
        </w:rPr>
      </w:pPr>
      <w:r>
        <w:rPr>
          <w:rFonts w:hint="eastAsia" w:ascii="宋体" w:hAnsi="宋体" w:cs="宋体"/>
          <w:b/>
          <w:bCs/>
          <w:sz w:val="24"/>
          <w:szCs w:val="24"/>
        </w:rPr>
        <w:t>图1 课程思政育人体系结构图</w:t>
      </w:r>
    </w:p>
    <w:p w14:paraId="7425499A">
      <w:pPr>
        <w:ind w:firstLine="240" w:firstLineChars="100"/>
        <w:jc w:val="center"/>
        <w:rPr>
          <w:rFonts w:ascii="Times New Roman" w:hAnsi="Times New Roman"/>
          <w:sz w:val="24"/>
          <w:szCs w:val="24"/>
        </w:rPr>
      </w:pPr>
    </w:p>
    <w:p w14:paraId="030553B3">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14:paraId="3DDCA991">
      <w:pPr>
        <w:spacing w:line="360" w:lineRule="auto"/>
        <w:ind w:firstLine="480"/>
        <w:jc w:val="left"/>
        <w:rPr>
          <w:rFonts w:ascii="Times New Roman" w:hAnsi="Times New Roman"/>
          <w:sz w:val="24"/>
          <w:szCs w:val="24"/>
        </w:rPr>
      </w:pPr>
      <w:r>
        <w:rPr>
          <w:rFonts w:hint="eastAsia" w:ascii="Times New Roman" w:hAnsi="Times New Roman"/>
          <w:sz w:val="24"/>
          <w:szCs w:val="24"/>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4707EA62">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学校的课程思政体系以“课程思政+思政课程”为主体，以3+1思政课程为关键课程，以所有课程为关键环节，从“不同层面、不同类型、不同阶段”完善课程思政标准体系，精准融入思政元素，多管齐下，同向同行，协同效应。</w:t>
      </w:r>
    </w:p>
    <w:p w14:paraId="604C5A58">
      <w:pPr>
        <w:keepNext/>
        <w:keepLines/>
        <w:spacing w:line="360" w:lineRule="auto"/>
        <w:ind w:firstLine="562" w:firstLineChars="200"/>
        <w:outlineLvl w:val="1"/>
        <w:rPr>
          <w:rFonts w:hint="eastAsia" w:ascii="黑体" w:hAnsi="黑体" w:eastAsia="黑体" w:cs="黑体"/>
          <w:b/>
          <w:bCs/>
          <w:sz w:val="28"/>
          <w:szCs w:val="28"/>
        </w:rPr>
      </w:pPr>
      <w:r>
        <w:rPr>
          <w:rFonts w:hint="eastAsia" w:ascii="黑体" w:hAnsi="黑体" w:eastAsia="黑体" w:cs="黑体"/>
          <w:b/>
          <w:bCs/>
          <w:sz w:val="28"/>
          <w:szCs w:val="28"/>
        </w:rPr>
        <w:t>3.课程思政建设及实施</w:t>
      </w:r>
    </w:p>
    <w:p w14:paraId="45AA1D16">
      <w:pPr>
        <w:spacing w:line="360" w:lineRule="auto"/>
        <w:ind w:firstLine="442" w:firstLineChars="200"/>
        <w:jc w:val="center"/>
        <w:rPr>
          <w:b/>
          <w:sz w:val="24"/>
          <w:szCs w:val="24"/>
        </w:rPr>
      </w:pPr>
      <w:r>
        <w:rPr>
          <w:rFonts w:hint="eastAsia" w:ascii="宋体" w:hAnsi="宋体" w:cs="宋体"/>
          <w:b/>
          <w:bCs/>
          <w:sz w:val="22"/>
        </w:rPr>
        <w:t>表9  现代物流管理专业课程思政教学实施要点</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04"/>
        <w:gridCol w:w="1658"/>
        <w:gridCol w:w="1677"/>
        <w:gridCol w:w="3261"/>
      </w:tblGrid>
      <w:tr w14:paraId="5976F4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ABF8F"/>
            <w:vAlign w:val="center"/>
          </w:tcPr>
          <w:p w14:paraId="5014E13B">
            <w:pPr>
              <w:jc w:val="center"/>
              <w:rPr>
                <w:rFonts w:hint="eastAsia" w:ascii="宋体" w:hAnsi="宋体" w:cs="宋体"/>
                <w:sz w:val="18"/>
                <w:szCs w:val="18"/>
              </w:rPr>
            </w:pPr>
            <w:r>
              <w:rPr>
                <w:rFonts w:hint="eastAsia" w:ascii="宋体" w:hAnsi="宋体" w:cs="宋体"/>
                <w:sz w:val="18"/>
                <w:szCs w:val="18"/>
              </w:rPr>
              <w:t>教学单元（项目或章节）</w:t>
            </w:r>
          </w:p>
        </w:tc>
        <w:tc>
          <w:tcPr>
            <w:tcW w:w="1658" w:type="dxa"/>
            <w:tcBorders>
              <w:top w:val="single" w:color="auto" w:sz="8" w:space="0"/>
              <w:bottom w:val="single" w:color="auto" w:sz="8" w:space="0"/>
            </w:tcBorders>
            <w:shd w:val="clear" w:color="auto" w:fill="FABF8F"/>
            <w:vAlign w:val="center"/>
          </w:tcPr>
          <w:p w14:paraId="6ACEEAA6">
            <w:pPr>
              <w:jc w:val="center"/>
              <w:rPr>
                <w:rFonts w:hint="eastAsia" w:ascii="宋体" w:hAnsi="宋体" w:cs="宋体"/>
                <w:sz w:val="18"/>
                <w:szCs w:val="18"/>
              </w:rPr>
            </w:pPr>
            <w:r>
              <w:rPr>
                <w:rFonts w:hint="eastAsia" w:ascii="宋体" w:hAnsi="宋体" w:cs="宋体"/>
                <w:sz w:val="18"/>
                <w:szCs w:val="18"/>
              </w:rPr>
              <w:t>主要知识点、技能点</w:t>
            </w:r>
          </w:p>
        </w:tc>
        <w:tc>
          <w:tcPr>
            <w:tcW w:w="1677" w:type="dxa"/>
            <w:tcBorders>
              <w:top w:val="single" w:color="auto" w:sz="8" w:space="0"/>
              <w:bottom w:val="single" w:color="auto" w:sz="8" w:space="0"/>
            </w:tcBorders>
            <w:shd w:val="clear" w:color="auto" w:fill="FABF8F"/>
            <w:vAlign w:val="center"/>
          </w:tcPr>
          <w:p w14:paraId="0E4900FD">
            <w:pPr>
              <w:jc w:val="center"/>
              <w:rPr>
                <w:rFonts w:hint="eastAsia" w:ascii="宋体" w:hAnsi="宋体" w:cs="宋体"/>
                <w:sz w:val="18"/>
                <w:szCs w:val="18"/>
              </w:rPr>
            </w:pPr>
            <w:r>
              <w:rPr>
                <w:rFonts w:hint="eastAsia" w:ascii="宋体" w:hAnsi="宋体" w:cs="宋体"/>
                <w:sz w:val="18"/>
                <w:szCs w:val="18"/>
              </w:rPr>
              <w:t>融入的思政元素</w:t>
            </w:r>
          </w:p>
        </w:tc>
        <w:tc>
          <w:tcPr>
            <w:tcW w:w="3261" w:type="dxa"/>
            <w:tcBorders>
              <w:top w:val="single" w:color="auto" w:sz="8" w:space="0"/>
              <w:bottom w:val="single" w:color="auto" w:sz="8" w:space="0"/>
            </w:tcBorders>
            <w:shd w:val="clear" w:color="auto" w:fill="FABF8F"/>
            <w:vAlign w:val="center"/>
          </w:tcPr>
          <w:p w14:paraId="7B6E66CF">
            <w:pPr>
              <w:jc w:val="center"/>
              <w:rPr>
                <w:rFonts w:hint="eastAsia" w:ascii="宋体" w:hAnsi="宋体" w:cs="宋体"/>
                <w:sz w:val="18"/>
                <w:szCs w:val="18"/>
              </w:rPr>
            </w:pPr>
            <w:r>
              <w:rPr>
                <w:rFonts w:hint="eastAsia" w:ascii="宋体" w:hAnsi="宋体" w:cs="宋体"/>
                <w:sz w:val="18"/>
                <w:szCs w:val="18"/>
              </w:rPr>
              <w:t>素材案例资源</w:t>
            </w:r>
          </w:p>
        </w:tc>
      </w:tr>
      <w:tr w14:paraId="26D0EE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vAlign w:val="center"/>
          </w:tcPr>
          <w:p w14:paraId="51F9F2AA">
            <w:pPr>
              <w:jc w:val="center"/>
              <w:rPr>
                <w:rFonts w:hint="eastAsia" w:ascii="宋体" w:hAnsi="宋体" w:cs="宋体"/>
                <w:sz w:val="18"/>
                <w:szCs w:val="18"/>
              </w:rPr>
            </w:pPr>
            <w:r>
              <w:rPr>
                <w:rFonts w:hint="eastAsia" w:ascii="宋体" w:hAnsi="宋体" w:cs="宋体"/>
                <w:sz w:val="18"/>
                <w:szCs w:val="18"/>
              </w:rPr>
              <w:t>认知快递行业</w:t>
            </w:r>
          </w:p>
        </w:tc>
        <w:tc>
          <w:tcPr>
            <w:tcW w:w="1658" w:type="dxa"/>
            <w:tcBorders>
              <w:top w:val="single" w:color="auto" w:sz="8" w:space="0"/>
              <w:bottom w:val="single" w:color="auto" w:sz="8" w:space="0"/>
            </w:tcBorders>
            <w:shd w:val="clear" w:color="auto" w:fill="FFFFFF"/>
            <w:vAlign w:val="center"/>
          </w:tcPr>
          <w:p w14:paraId="4D65875F">
            <w:pPr>
              <w:jc w:val="center"/>
              <w:rPr>
                <w:rFonts w:hint="eastAsia" w:ascii="宋体" w:hAnsi="宋体" w:cs="宋体"/>
                <w:sz w:val="18"/>
                <w:szCs w:val="18"/>
              </w:rPr>
            </w:pPr>
            <w:r>
              <w:rPr>
                <w:rFonts w:hint="eastAsia" w:ascii="宋体" w:hAnsi="宋体" w:cs="宋体"/>
                <w:sz w:val="18"/>
                <w:szCs w:val="18"/>
              </w:rPr>
              <w:t>快递特征、快递业务类型、快递基本流程</w:t>
            </w:r>
          </w:p>
        </w:tc>
        <w:tc>
          <w:tcPr>
            <w:tcW w:w="1677" w:type="dxa"/>
            <w:tcBorders>
              <w:top w:val="single" w:color="auto" w:sz="8" w:space="0"/>
              <w:bottom w:val="single" w:color="auto" w:sz="8" w:space="0"/>
            </w:tcBorders>
            <w:shd w:val="clear" w:color="auto" w:fill="FFFFFF"/>
            <w:vAlign w:val="center"/>
          </w:tcPr>
          <w:p w14:paraId="5007B279">
            <w:pPr>
              <w:jc w:val="center"/>
              <w:rPr>
                <w:rFonts w:hint="eastAsia" w:ascii="宋体" w:hAnsi="宋体" w:cs="宋体"/>
                <w:sz w:val="18"/>
                <w:szCs w:val="18"/>
              </w:rPr>
            </w:pPr>
            <w:r>
              <w:rPr>
                <w:rFonts w:hint="eastAsia" w:ascii="宋体" w:hAnsi="宋体" w:cs="宋体"/>
                <w:sz w:val="18"/>
                <w:szCs w:val="18"/>
              </w:rPr>
              <w:t>环境保护</w:t>
            </w:r>
          </w:p>
        </w:tc>
        <w:tc>
          <w:tcPr>
            <w:tcW w:w="3261" w:type="dxa"/>
            <w:tcBorders>
              <w:top w:val="single" w:color="auto" w:sz="8" w:space="0"/>
              <w:bottom w:val="single" w:color="auto" w:sz="8" w:space="0"/>
            </w:tcBorders>
            <w:shd w:val="clear" w:color="auto" w:fill="FFFFFF"/>
            <w:vAlign w:val="center"/>
          </w:tcPr>
          <w:p w14:paraId="4DF6B052">
            <w:pPr>
              <w:jc w:val="center"/>
              <w:rPr>
                <w:rFonts w:hint="eastAsia" w:ascii="宋体" w:hAnsi="宋体" w:cs="宋体"/>
                <w:sz w:val="18"/>
                <w:szCs w:val="18"/>
              </w:rPr>
            </w:pPr>
            <w:r>
              <w:rPr>
                <w:rFonts w:hint="eastAsia" w:ascii="宋体" w:hAnsi="宋体" w:cs="宋体"/>
                <w:sz w:val="18"/>
                <w:szCs w:val="18"/>
              </w:rPr>
              <w:t>e国网站一小时配送、上海联华生鲜食品加工配送中心物流案例</w:t>
            </w:r>
          </w:p>
        </w:tc>
      </w:tr>
      <w:tr w14:paraId="550C0D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vAlign w:val="center"/>
          </w:tcPr>
          <w:p w14:paraId="10670D90">
            <w:pPr>
              <w:jc w:val="center"/>
              <w:rPr>
                <w:rFonts w:hint="eastAsia" w:ascii="宋体" w:hAnsi="宋体" w:cs="宋体"/>
                <w:sz w:val="18"/>
                <w:szCs w:val="18"/>
              </w:rPr>
            </w:pPr>
            <w:r>
              <w:rPr>
                <w:rFonts w:hint="eastAsia" w:ascii="宋体" w:hAnsi="宋体" w:cs="宋体"/>
                <w:sz w:val="18"/>
                <w:szCs w:val="18"/>
              </w:rPr>
              <w:t>快递接单业务</w:t>
            </w:r>
          </w:p>
        </w:tc>
        <w:tc>
          <w:tcPr>
            <w:tcW w:w="1658" w:type="dxa"/>
            <w:tcBorders>
              <w:top w:val="single" w:color="auto" w:sz="8" w:space="0"/>
              <w:bottom w:val="single" w:color="auto" w:sz="8" w:space="0"/>
            </w:tcBorders>
            <w:shd w:val="clear" w:color="auto" w:fill="FFFFFF"/>
            <w:vAlign w:val="center"/>
          </w:tcPr>
          <w:p w14:paraId="2BF1CAEC">
            <w:pPr>
              <w:jc w:val="center"/>
              <w:rPr>
                <w:rFonts w:hint="eastAsia" w:ascii="宋体" w:hAnsi="宋体" w:cs="宋体"/>
                <w:sz w:val="18"/>
                <w:szCs w:val="18"/>
              </w:rPr>
            </w:pPr>
            <w:r>
              <w:rPr>
                <w:rFonts w:hint="eastAsia" w:ascii="宋体" w:hAnsi="宋体" w:cs="宋体"/>
                <w:sz w:val="18"/>
                <w:szCs w:val="18"/>
              </w:rPr>
              <w:t>客户接单技巧、快递接单业务流程、各种商务礼仪</w:t>
            </w:r>
          </w:p>
        </w:tc>
        <w:tc>
          <w:tcPr>
            <w:tcW w:w="1677" w:type="dxa"/>
            <w:tcBorders>
              <w:top w:val="single" w:color="auto" w:sz="8" w:space="0"/>
              <w:bottom w:val="single" w:color="auto" w:sz="8" w:space="0"/>
            </w:tcBorders>
            <w:shd w:val="clear" w:color="auto" w:fill="FFFFFF"/>
            <w:vAlign w:val="center"/>
          </w:tcPr>
          <w:p w14:paraId="32F3FC45">
            <w:pPr>
              <w:jc w:val="center"/>
              <w:rPr>
                <w:rFonts w:hint="eastAsia" w:ascii="宋体" w:hAnsi="宋体" w:cs="宋体"/>
                <w:sz w:val="18"/>
                <w:szCs w:val="18"/>
              </w:rPr>
            </w:pPr>
            <w:r>
              <w:rPr>
                <w:rFonts w:hint="eastAsia" w:ascii="宋体" w:hAnsi="宋体" w:cs="宋体"/>
                <w:sz w:val="18"/>
                <w:szCs w:val="18"/>
              </w:rPr>
              <w:t>服务至上道德情操</w:t>
            </w:r>
          </w:p>
        </w:tc>
        <w:tc>
          <w:tcPr>
            <w:tcW w:w="3261" w:type="dxa"/>
            <w:tcBorders>
              <w:top w:val="single" w:color="auto" w:sz="8" w:space="0"/>
              <w:bottom w:val="single" w:color="auto" w:sz="8" w:space="0"/>
            </w:tcBorders>
            <w:shd w:val="clear" w:color="auto" w:fill="FFFFFF"/>
            <w:vAlign w:val="center"/>
          </w:tcPr>
          <w:p w14:paraId="5D9A4DBF">
            <w:pPr>
              <w:jc w:val="center"/>
              <w:rPr>
                <w:rFonts w:hint="eastAsia" w:ascii="宋体" w:hAnsi="宋体" w:cs="宋体"/>
                <w:sz w:val="18"/>
                <w:szCs w:val="18"/>
              </w:rPr>
            </w:pPr>
            <w:r>
              <w:rPr>
                <w:rFonts w:hint="eastAsia" w:ascii="宋体" w:hAnsi="宋体" w:cs="宋体"/>
                <w:sz w:val="18"/>
                <w:szCs w:val="18"/>
              </w:rPr>
              <w:t>彬泰物流公司运作案例</w:t>
            </w:r>
          </w:p>
        </w:tc>
      </w:tr>
      <w:tr w14:paraId="0CBA65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vAlign w:val="center"/>
          </w:tcPr>
          <w:p w14:paraId="7DE8454D">
            <w:pPr>
              <w:jc w:val="center"/>
              <w:rPr>
                <w:rFonts w:hint="eastAsia" w:ascii="宋体" w:hAnsi="宋体" w:cs="宋体"/>
                <w:sz w:val="18"/>
                <w:szCs w:val="18"/>
              </w:rPr>
            </w:pPr>
            <w:r>
              <w:rPr>
                <w:rFonts w:hint="eastAsia" w:ascii="宋体" w:hAnsi="宋体" w:cs="宋体"/>
                <w:sz w:val="18"/>
                <w:szCs w:val="18"/>
              </w:rPr>
              <w:t>收取快件业务</w:t>
            </w:r>
          </w:p>
        </w:tc>
        <w:tc>
          <w:tcPr>
            <w:tcW w:w="1658" w:type="dxa"/>
            <w:tcBorders>
              <w:top w:val="single" w:color="auto" w:sz="8" w:space="0"/>
              <w:bottom w:val="single" w:color="auto" w:sz="8" w:space="0"/>
            </w:tcBorders>
            <w:shd w:val="clear" w:color="auto" w:fill="FFFFFF"/>
            <w:vAlign w:val="center"/>
          </w:tcPr>
          <w:p w14:paraId="5C309EF8">
            <w:pPr>
              <w:jc w:val="center"/>
              <w:rPr>
                <w:rFonts w:hint="eastAsia" w:ascii="宋体" w:hAnsi="宋体" w:cs="宋体"/>
                <w:sz w:val="18"/>
                <w:szCs w:val="18"/>
              </w:rPr>
            </w:pPr>
            <w:r>
              <w:rPr>
                <w:rFonts w:hint="eastAsia" w:ascii="宋体" w:hAnsi="宋体" w:cs="宋体"/>
                <w:sz w:val="18"/>
                <w:szCs w:val="18"/>
              </w:rPr>
              <w:t>快件度量计价、快件包装技术、快件快递受理流程</w:t>
            </w:r>
          </w:p>
        </w:tc>
        <w:tc>
          <w:tcPr>
            <w:tcW w:w="1677" w:type="dxa"/>
            <w:tcBorders>
              <w:top w:val="single" w:color="auto" w:sz="8" w:space="0"/>
              <w:bottom w:val="single" w:color="auto" w:sz="8" w:space="0"/>
            </w:tcBorders>
            <w:shd w:val="clear" w:color="auto" w:fill="FFFFFF"/>
            <w:vAlign w:val="center"/>
          </w:tcPr>
          <w:p w14:paraId="04A00ACB">
            <w:pPr>
              <w:jc w:val="center"/>
              <w:rPr>
                <w:rFonts w:hint="eastAsia" w:ascii="宋体" w:hAnsi="宋体" w:cs="宋体"/>
                <w:sz w:val="18"/>
                <w:szCs w:val="18"/>
              </w:rPr>
            </w:pPr>
            <w:r>
              <w:rPr>
                <w:rFonts w:hint="eastAsia" w:ascii="宋体" w:hAnsi="宋体" w:cs="宋体"/>
                <w:sz w:val="18"/>
                <w:szCs w:val="18"/>
              </w:rPr>
              <w:t>工匠精神，专业性、创新性，中国科学家的高瞻远瞩。</w:t>
            </w:r>
          </w:p>
        </w:tc>
        <w:tc>
          <w:tcPr>
            <w:tcW w:w="3261" w:type="dxa"/>
            <w:tcBorders>
              <w:top w:val="single" w:color="auto" w:sz="8" w:space="0"/>
              <w:bottom w:val="single" w:color="auto" w:sz="8" w:space="0"/>
            </w:tcBorders>
            <w:shd w:val="clear" w:color="auto" w:fill="FFFFFF"/>
            <w:vAlign w:val="center"/>
          </w:tcPr>
          <w:p w14:paraId="696AA906">
            <w:pPr>
              <w:jc w:val="center"/>
              <w:rPr>
                <w:rFonts w:hint="eastAsia" w:ascii="宋体" w:hAnsi="宋体" w:cs="宋体"/>
                <w:sz w:val="18"/>
                <w:szCs w:val="18"/>
              </w:rPr>
            </w:pPr>
            <w:r>
              <w:rPr>
                <w:rFonts w:hint="eastAsia" w:ascii="宋体" w:hAnsi="宋体" w:cs="宋体"/>
                <w:sz w:val="18"/>
                <w:szCs w:val="18"/>
              </w:rPr>
              <w:t>林德特巧克力的全球配送</w:t>
            </w:r>
          </w:p>
        </w:tc>
      </w:tr>
      <w:tr w14:paraId="221C89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vAlign w:val="center"/>
          </w:tcPr>
          <w:p w14:paraId="5A0BE8EB">
            <w:pPr>
              <w:jc w:val="center"/>
              <w:rPr>
                <w:rFonts w:hint="eastAsia" w:ascii="宋体" w:hAnsi="宋体" w:cs="宋体"/>
                <w:sz w:val="18"/>
                <w:szCs w:val="18"/>
              </w:rPr>
            </w:pPr>
            <w:r>
              <w:rPr>
                <w:rFonts w:hint="eastAsia" w:ascii="宋体" w:hAnsi="宋体" w:cs="宋体"/>
                <w:sz w:val="18"/>
                <w:szCs w:val="18"/>
              </w:rPr>
              <w:t>快件处理业务</w:t>
            </w:r>
          </w:p>
        </w:tc>
        <w:tc>
          <w:tcPr>
            <w:tcW w:w="1658" w:type="dxa"/>
            <w:tcBorders>
              <w:top w:val="single" w:color="auto" w:sz="8" w:space="0"/>
              <w:bottom w:val="single" w:color="auto" w:sz="8" w:space="0"/>
            </w:tcBorders>
            <w:shd w:val="clear" w:color="auto" w:fill="FFFFFF"/>
            <w:vAlign w:val="center"/>
          </w:tcPr>
          <w:p w14:paraId="5956B7C0">
            <w:pPr>
              <w:jc w:val="center"/>
              <w:rPr>
                <w:rFonts w:hint="eastAsia" w:ascii="宋体" w:hAnsi="宋体" w:cs="宋体"/>
                <w:sz w:val="18"/>
                <w:szCs w:val="18"/>
              </w:rPr>
            </w:pPr>
            <w:r>
              <w:rPr>
                <w:rFonts w:hint="eastAsia" w:ascii="宋体" w:hAnsi="宋体" w:cs="宋体"/>
                <w:sz w:val="18"/>
                <w:szCs w:val="18"/>
              </w:rPr>
              <w:t>快件信息录入作业、交接快件技巧、快件分拣工作技巧</w:t>
            </w:r>
          </w:p>
        </w:tc>
        <w:tc>
          <w:tcPr>
            <w:tcW w:w="1677" w:type="dxa"/>
            <w:tcBorders>
              <w:top w:val="single" w:color="auto" w:sz="8" w:space="0"/>
              <w:bottom w:val="single" w:color="auto" w:sz="8" w:space="0"/>
            </w:tcBorders>
            <w:shd w:val="clear" w:color="auto" w:fill="FFFFFF"/>
            <w:vAlign w:val="center"/>
          </w:tcPr>
          <w:p w14:paraId="213FA662">
            <w:pPr>
              <w:jc w:val="center"/>
              <w:rPr>
                <w:rFonts w:hint="eastAsia" w:ascii="宋体" w:hAnsi="宋体" w:cs="宋体"/>
                <w:sz w:val="18"/>
                <w:szCs w:val="18"/>
              </w:rPr>
            </w:pPr>
            <w:r>
              <w:rPr>
                <w:rFonts w:hint="eastAsia" w:ascii="宋体" w:hAnsi="宋体" w:cs="宋体"/>
                <w:sz w:val="18"/>
                <w:szCs w:val="18"/>
              </w:rPr>
              <w:t>调动学生主动性和沟通协作能力</w:t>
            </w:r>
          </w:p>
        </w:tc>
        <w:tc>
          <w:tcPr>
            <w:tcW w:w="3261" w:type="dxa"/>
            <w:tcBorders>
              <w:top w:val="single" w:color="auto" w:sz="8" w:space="0"/>
              <w:bottom w:val="single" w:color="auto" w:sz="8" w:space="0"/>
            </w:tcBorders>
            <w:shd w:val="clear" w:color="auto" w:fill="FFFFFF"/>
            <w:vAlign w:val="center"/>
          </w:tcPr>
          <w:p w14:paraId="4ACF69F1">
            <w:pPr>
              <w:jc w:val="center"/>
              <w:rPr>
                <w:rFonts w:hint="eastAsia" w:ascii="宋体" w:hAnsi="宋体" w:cs="宋体"/>
                <w:sz w:val="18"/>
                <w:szCs w:val="18"/>
              </w:rPr>
            </w:pPr>
            <w:r>
              <w:rPr>
                <w:rFonts w:hint="eastAsia" w:ascii="宋体" w:hAnsi="宋体" w:cs="宋体"/>
                <w:sz w:val="18"/>
                <w:szCs w:val="18"/>
              </w:rPr>
              <w:t>物流网 http://wlw.chinawj.com.cn</w:t>
            </w:r>
          </w:p>
        </w:tc>
      </w:tr>
      <w:tr w14:paraId="0F50E4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vAlign w:val="center"/>
          </w:tcPr>
          <w:p w14:paraId="0CD8FC8F">
            <w:pPr>
              <w:jc w:val="center"/>
              <w:rPr>
                <w:rFonts w:hint="eastAsia" w:ascii="宋体" w:hAnsi="宋体" w:cs="宋体"/>
                <w:sz w:val="18"/>
                <w:szCs w:val="18"/>
              </w:rPr>
            </w:pPr>
            <w:r>
              <w:rPr>
                <w:rFonts w:hint="eastAsia" w:ascii="宋体" w:hAnsi="宋体" w:cs="宋体"/>
                <w:sz w:val="18"/>
                <w:szCs w:val="18"/>
              </w:rPr>
              <w:t>快件派送业务</w:t>
            </w:r>
          </w:p>
        </w:tc>
        <w:tc>
          <w:tcPr>
            <w:tcW w:w="1658" w:type="dxa"/>
            <w:tcBorders>
              <w:top w:val="single" w:color="auto" w:sz="8" w:space="0"/>
              <w:bottom w:val="single" w:color="auto" w:sz="8" w:space="0"/>
            </w:tcBorders>
            <w:shd w:val="clear" w:color="auto" w:fill="FFFFFF"/>
            <w:vAlign w:val="center"/>
          </w:tcPr>
          <w:p w14:paraId="35E37884">
            <w:pPr>
              <w:jc w:val="center"/>
              <w:rPr>
                <w:rFonts w:hint="eastAsia" w:ascii="宋体" w:hAnsi="宋体" w:cs="宋体"/>
                <w:sz w:val="18"/>
                <w:szCs w:val="18"/>
              </w:rPr>
            </w:pPr>
            <w:r>
              <w:rPr>
                <w:rFonts w:hint="eastAsia" w:ascii="宋体" w:hAnsi="宋体" w:cs="宋体"/>
                <w:sz w:val="18"/>
                <w:szCs w:val="18"/>
              </w:rPr>
              <w:t>快件交接要领、选择合理的投递路线、滞留件的处理的流程</w:t>
            </w:r>
          </w:p>
        </w:tc>
        <w:tc>
          <w:tcPr>
            <w:tcW w:w="1677" w:type="dxa"/>
            <w:tcBorders>
              <w:top w:val="single" w:color="auto" w:sz="8" w:space="0"/>
              <w:bottom w:val="single" w:color="auto" w:sz="8" w:space="0"/>
            </w:tcBorders>
            <w:shd w:val="clear" w:color="auto" w:fill="FFFFFF"/>
            <w:vAlign w:val="center"/>
          </w:tcPr>
          <w:p w14:paraId="1A8218FE">
            <w:pPr>
              <w:jc w:val="center"/>
              <w:rPr>
                <w:rFonts w:hint="eastAsia" w:ascii="宋体" w:hAnsi="宋体" w:cs="宋体"/>
                <w:sz w:val="18"/>
                <w:szCs w:val="18"/>
              </w:rPr>
            </w:pPr>
            <w:r>
              <w:rPr>
                <w:rFonts w:hint="eastAsia" w:ascii="宋体" w:hAnsi="宋体" w:cs="宋体"/>
                <w:sz w:val="18"/>
                <w:szCs w:val="18"/>
              </w:rPr>
              <w:t>节约成本避免浪费</w:t>
            </w:r>
          </w:p>
        </w:tc>
        <w:tc>
          <w:tcPr>
            <w:tcW w:w="3261" w:type="dxa"/>
            <w:tcBorders>
              <w:top w:val="single" w:color="auto" w:sz="8" w:space="0"/>
              <w:bottom w:val="single" w:color="auto" w:sz="8" w:space="0"/>
            </w:tcBorders>
            <w:shd w:val="clear" w:color="auto" w:fill="FFFFFF"/>
            <w:vAlign w:val="center"/>
          </w:tcPr>
          <w:p w14:paraId="32C17EC8">
            <w:pPr>
              <w:jc w:val="center"/>
              <w:rPr>
                <w:rFonts w:hint="eastAsia" w:ascii="宋体" w:hAnsi="宋体" w:cs="宋体"/>
                <w:sz w:val="18"/>
                <w:szCs w:val="18"/>
              </w:rPr>
            </w:pPr>
            <w:r>
              <w:rPr>
                <w:rFonts w:hint="eastAsia" w:ascii="宋体" w:hAnsi="宋体" w:cs="宋体"/>
                <w:sz w:val="18"/>
                <w:szCs w:val="18"/>
              </w:rPr>
              <w:t>中国物流货运信息网 http://www.56110.cn/</w:t>
            </w:r>
          </w:p>
        </w:tc>
      </w:tr>
      <w:tr w14:paraId="38439A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vAlign w:val="center"/>
          </w:tcPr>
          <w:p w14:paraId="107CCB9C">
            <w:pPr>
              <w:jc w:val="center"/>
              <w:rPr>
                <w:rFonts w:hint="eastAsia" w:ascii="宋体" w:hAnsi="宋体" w:cs="宋体"/>
                <w:sz w:val="18"/>
                <w:szCs w:val="18"/>
              </w:rPr>
            </w:pPr>
            <w:r>
              <w:rPr>
                <w:rFonts w:hint="eastAsia" w:ascii="宋体" w:hAnsi="宋体" w:cs="宋体"/>
                <w:sz w:val="18"/>
                <w:szCs w:val="18"/>
              </w:rPr>
              <w:t>快件查询与投诉业务</w:t>
            </w:r>
          </w:p>
        </w:tc>
        <w:tc>
          <w:tcPr>
            <w:tcW w:w="1658" w:type="dxa"/>
            <w:tcBorders>
              <w:top w:val="single" w:color="auto" w:sz="8" w:space="0"/>
              <w:bottom w:val="single" w:color="auto" w:sz="8" w:space="0"/>
            </w:tcBorders>
            <w:shd w:val="clear" w:color="auto" w:fill="FFFFFF"/>
            <w:vAlign w:val="center"/>
          </w:tcPr>
          <w:p w14:paraId="33BF0259">
            <w:pPr>
              <w:jc w:val="center"/>
              <w:rPr>
                <w:rFonts w:hint="eastAsia" w:ascii="宋体" w:hAnsi="宋体" w:cs="宋体"/>
                <w:sz w:val="18"/>
                <w:szCs w:val="18"/>
              </w:rPr>
            </w:pPr>
            <w:r>
              <w:rPr>
                <w:rFonts w:hint="eastAsia" w:ascii="宋体" w:hAnsi="宋体" w:cs="宋体"/>
                <w:sz w:val="18"/>
                <w:szCs w:val="18"/>
              </w:rPr>
              <w:t>咨询服务工作技巧、查询工作技巧、理赔工作技巧</w:t>
            </w:r>
          </w:p>
        </w:tc>
        <w:tc>
          <w:tcPr>
            <w:tcW w:w="1677" w:type="dxa"/>
            <w:tcBorders>
              <w:top w:val="single" w:color="auto" w:sz="8" w:space="0"/>
              <w:bottom w:val="single" w:color="auto" w:sz="8" w:space="0"/>
            </w:tcBorders>
            <w:shd w:val="clear" w:color="auto" w:fill="FFFFFF"/>
            <w:vAlign w:val="center"/>
          </w:tcPr>
          <w:p w14:paraId="7E39918C">
            <w:pPr>
              <w:rPr>
                <w:rFonts w:hint="eastAsia" w:ascii="宋体" w:hAnsi="宋体" w:cs="宋体"/>
                <w:sz w:val="18"/>
                <w:szCs w:val="18"/>
              </w:rPr>
            </w:pPr>
            <w:r>
              <w:rPr>
                <w:rFonts w:hint="eastAsia" w:ascii="宋体" w:hAnsi="宋体"/>
                <w:sz w:val="18"/>
                <w:szCs w:val="18"/>
              </w:rPr>
              <w:t>学好本专业专业知识，掌握专业理论，提升专业技能</w:t>
            </w:r>
          </w:p>
        </w:tc>
        <w:tc>
          <w:tcPr>
            <w:tcW w:w="3261" w:type="dxa"/>
            <w:tcBorders>
              <w:top w:val="single" w:color="auto" w:sz="8" w:space="0"/>
              <w:bottom w:val="single" w:color="auto" w:sz="8" w:space="0"/>
            </w:tcBorders>
            <w:shd w:val="clear" w:color="auto" w:fill="FFFFFF"/>
            <w:vAlign w:val="center"/>
          </w:tcPr>
          <w:p w14:paraId="7973D4D6">
            <w:pPr>
              <w:jc w:val="center"/>
              <w:rPr>
                <w:rFonts w:hint="eastAsia" w:ascii="宋体" w:hAnsi="宋体" w:cs="宋体"/>
                <w:sz w:val="18"/>
                <w:szCs w:val="18"/>
              </w:rPr>
            </w:pPr>
            <w:r>
              <w:rPr>
                <w:rFonts w:hint="eastAsia" w:ascii="宋体" w:hAnsi="宋体" w:cs="宋体"/>
                <w:sz w:val="18"/>
                <w:szCs w:val="18"/>
              </w:rPr>
              <w:t>货运物流 http://www.baoyuntong.com/</w:t>
            </w:r>
          </w:p>
        </w:tc>
      </w:tr>
    </w:tbl>
    <w:p w14:paraId="01E3AE17"/>
    <w:bookmarkEnd w:id="32"/>
    <w:bookmarkEnd w:id="56"/>
    <w:p w14:paraId="3C9B2657">
      <w:pPr>
        <w:ind w:firstLine="562" w:firstLineChars="200"/>
        <w:rPr>
          <w:rFonts w:ascii="Arial" w:hAnsi="Arial" w:eastAsia="黑体"/>
          <w:b/>
          <w:bCs/>
          <w:sz w:val="28"/>
          <w:szCs w:val="28"/>
        </w:rPr>
      </w:pPr>
      <w:bookmarkStart w:id="60" w:name="_Toc46303719"/>
      <w:bookmarkStart w:id="61" w:name="_Hlk11958275"/>
      <w:bookmarkStart w:id="62" w:name="_Toc305418729"/>
      <w:bookmarkStart w:id="63" w:name="_Toc407697894"/>
      <w:bookmarkStart w:id="64" w:name="_Toc303837893"/>
      <w:bookmarkStart w:id="65" w:name="_Toc407696136"/>
      <w:bookmarkStart w:id="66" w:name="_Toc405393379"/>
      <w:r>
        <w:rPr>
          <w:rFonts w:hint="eastAsia" w:ascii="Arial" w:hAnsi="Arial" w:eastAsia="黑体"/>
          <w:b/>
          <w:bCs/>
          <w:sz w:val="28"/>
          <w:szCs w:val="28"/>
        </w:rPr>
        <w:t>（六）创新创业素质教育</w:t>
      </w:r>
    </w:p>
    <w:p w14:paraId="28AE44DA">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在现代物流管理专业的人才培养方案中，创新创业素质教育是不可或缺的一部分，旨在培养学生的创新思维、创业意识和实践能力。以下是对创新创业课程、创新创业培训以及创新创业竞赛三个方面的详细阐述：</w:t>
      </w:r>
    </w:p>
    <w:p w14:paraId="19768B6D">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1、创新创业课程</w:t>
      </w:r>
    </w:p>
    <w:p w14:paraId="03EB8A41">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现代物流管理专业关于创新创业开设课程为《大学生就业指导与创新创业教育》。创新创业课程对于培养电子商务专业学生的创新思维和创业能力具有重要意义。</w:t>
      </w:r>
    </w:p>
    <w:p w14:paraId="4D344461">
      <w:pPr>
        <w:spacing w:line="360" w:lineRule="auto"/>
        <w:ind w:firstLine="480" w:firstLineChars="200"/>
        <w:jc w:val="left"/>
        <w:rPr>
          <w:rFonts w:ascii="Times New Roman" w:hAnsi="Times New Roman"/>
          <w:sz w:val="24"/>
          <w:szCs w:val="24"/>
        </w:rPr>
      </w:pPr>
    </w:p>
    <w:p w14:paraId="7AE72549">
      <w:pPr>
        <w:pStyle w:val="2"/>
        <w:ind w:left="420" w:firstLine="0" w:firstLineChars="0"/>
        <w:rPr>
          <w:rFonts w:hint="eastAsia"/>
          <w:lang w:val="en-US"/>
        </w:rPr>
      </w:pPr>
    </w:p>
    <w:p w14:paraId="0B217E10">
      <w:pPr>
        <w:pStyle w:val="2"/>
        <w:ind w:left="420" w:firstLine="0" w:firstLineChars="0"/>
        <w:rPr>
          <w:rFonts w:hint="eastAsia"/>
          <w:lang w:val="en-US"/>
        </w:rPr>
      </w:pPr>
      <w:r>
        <w:rPr>
          <w:rFonts w:hint="eastAsia"/>
          <w:lang w:val="en-US"/>
        </w:rPr>
        <w:t>（1）课程设置</w:t>
      </w:r>
    </w:p>
    <w:p w14:paraId="5651F2C4">
      <w:pPr>
        <w:spacing w:line="360" w:lineRule="auto"/>
        <w:ind w:firstLine="442" w:firstLineChars="200"/>
        <w:jc w:val="center"/>
        <w:rPr>
          <w:rFonts w:hint="eastAsia" w:ascii="宋体" w:hAnsi="宋体" w:cs="宋体"/>
          <w:b/>
          <w:bCs/>
          <w:sz w:val="22"/>
        </w:rPr>
      </w:pPr>
      <w:r>
        <w:rPr>
          <w:rFonts w:hint="eastAsia" w:ascii="宋体" w:hAnsi="宋体" w:cs="宋体"/>
          <w:b/>
          <w:bCs/>
          <w:sz w:val="22"/>
        </w:rPr>
        <w:t>表10 课程设置</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3377"/>
        <w:gridCol w:w="3506"/>
      </w:tblGrid>
      <w:tr w14:paraId="27F40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0DD1D573">
            <w:pPr>
              <w:pStyle w:val="22"/>
              <w:spacing w:before="0" w:beforeAutospacing="0" w:after="0" w:afterAutospacing="0" w:line="360" w:lineRule="auto"/>
              <w:ind w:firstLine="360"/>
              <w:jc w:val="center"/>
              <w:rPr>
                <w:rStyle w:val="27"/>
                <w:rFonts w:hint="eastAsia" w:cs="宋体"/>
                <w:color w:val="000000" w:themeColor="text1"/>
                <w:sz w:val="18"/>
                <w:szCs w:val="18"/>
                <w14:textFill>
                  <w14:solidFill>
                    <w14:schemeClr w14:val="tx1"/>
                  </w14:solidFill>
                </w14:textFill>
              </w:rPr>
            </w:pPr>
            <w:r>
              <w:rPr>
                <w:rStyle w:val="27"/>
                <w:rFonts w:hint="eastAsia" w:cs="宋体"/>
                <w:color w:val="000000" w:themeColor="text1"/>
                <w:sz w:val="18"/>
                <w:szCs w:val="18"/>
                <w14:textFill>
                  <w14:solidFill>
                    <w14:schemeClr w14:val="tx1"/>
                  </w14:solidFill>
                </w14:textFill>
              </w:rPr>
              <w:t>课程性质</w:t>
            </w:r>
          </w:p>
        </w:tc>
        <w:tc>
          <w:tcPr>
            <w:tcW w:w="3377" w:type="dxa"/>
          </w:tcPr>
          <w:p w14:paraId="29B5FD7F">
            <w:pPr>
              <w:widowControl/>
              <w:spacing w:line="360" w:lineRule="auto"/>
              <w:jc w:val="center"/>
              <w:rPr>
                <w:rFonts w:hint="eastAsia" w:ascii="宋体" w:hAnsi="宋体" w:cs="宋体"/>
                <w:b/>
                <w:bCs/>
                <w:color w:val="000000" w:themeColor="text1"/>
                <w:sz w:val="18"/>
                <w:szCs w:val="18"/>
                <w14:textFill>
                  <w14:solidFill>
                    <w14:schemeClr w14:val="tx1"/>
                  </w14:solidFill>
                </w14:textFill>
              </w:rPr>
            </w:pPr>
            <w:r>
              <w:rPr>
                <w:rFonts w:hint="eastAsia" w:ascii="宋体" w:hAnsi="宋体" w:cs="宋体"/>
                <w:b/>
                <w:bCs/>
                <w:color w:val="000000" w:themeColor="text1"/>
                <w:sz w:val="18"/>
                <w:szCs w:val="18"/>
                <w14:textFill>
                  <w14:solidFill>
                    <w14:schemeClr w14:val="tx1"/>
                  </w14:solidFill>
                </w14:textFill>
              </w:rPr>
              <w:t>开设课程</w:t>
            </w:r>
          </w:p>
        </w:tc>
        <w:tc>
          <w:tcPr>
            <w:tcW w:w="3506" w:type="dxa"/>
          </w:tcPr>
          <w:p w14:paraId="6C2F69AB">
            <w:pPr>
              <w:widowControl/>
              <w:spacing w:line="360" w:lineRule="auto"/>
              <w:jc w:val="center"/>
              <w:rPr>
                <w:rFonts w:hint="eastAsia" w:ascii="宋体" w:hAnsi="宋体" w:cs="宋体"/>
                <w:b/>
                <w:bCs/>
                <w:color w:val="000000" w:themeColor="text1"/>
                <w:sz w:val="18"/>
                <w:szCs w:val="18"/>
                <w14:textFill>
                  <w14:solidFill>
                    <w14:schemeClr w14:val="tx1"/>
                  </w14:solidFill>
                </w14:textFill>
              </w:rPr>
            </w:pPr>
            <w:r>
              <w:rPr>
                <w:rFonts w:hint="eastAsia" w:ascii="宋体" w:hAnsi="宋体" w:cs="宋体"/>
                <w:b/>
                <w:bCs/>
                <w:color w:val="000000" w:themeColor="text1"/>
                <w:sz w:val="18"/>
                <w:szCs w:val="18"/>
                <w14:textFill>
                  <w14:solidFill>
                    <w14:schemeClr w14:val="tx1"/>
                  </w14:solidFill>
                </w14:textFill>
              </w:rPr>
              <w:t>教学方法</w:t>
            </w:r>
          </w:p>
        </w:tc>
      </w:tr>
      <w:tr w14:paraId="1DB38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0FBCEC5E">
            <w:pPr>
              <w:pStyle w:val="22"/>
              <w:spacing w:before="0" w:beforeAutospacing="0" w:after="0" w:afterAutospacing="0"/>
              <w:ind w:firstLine="360"/>
              <w:jc w:val="center"/>
              <w:rPr>
                <w:rStyle w:val="27"/>
                <w:rFonts w:hint="eastAsia" w:cs="宋体"/>
                <w:b w:val="0"/>
                <w:color w:val="000000" w:themeColor="text1"/>
                <w:sz w:val="18"/>
                <w:szCs w:val="18"/>
                <w14:textFill>
                  <w14:solidFill>
                    <w14:schemeClr w14:val="tx1"/>
                  </w14:solidFill>
                </w14:textFill>
              </w:rPr>
            </w:pPr>
            <w:r>
              <w:rPr>
                <w:rStyle w:val="27"/>
                <w:rFonts w:hint="eastAsia" w:cs="宋体"/>
                <w:color w:val="000000" w:themeColor="text1"/>
                <w:sz w:val="18"/>
                <w:szCs w:val="18"/>
                <w14:textFill>
                  <w14:solidFill>
                    <w14:schemeClr w14:val="tx1"/>
                  </w14:solidFill>
                </w14:textFill>
              </w:rPr>
              <w:t>基础课程</w:t>
            </w:r>
          </w:p>
        </w:tc>
        <w:tc>
          <w:tcPr>
            <w:tcW w:w="3377" w:type="dxa"/>
            <w:vAlign w:val="center"/>
          </w:tcPr>
          <w:p w14:paraId="0081CFF1">
            <w:pPr>
              <w:widowControl/>
              <w:rPr>
                <w:rStyle w:val="27"/>
                <w:rFonts w:hint="eastAsia" w:ascii="宋体" w:hAnsi="宋体" w:cs="宋体"/>
                <w:bCs/>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开设《创新创业基础》、《创新思维与方法》等基础课程，帮助学生理解创新创业的基本概念、原理和方法，培养学生的创新思维和创业意识。</w:t>
            </w:r>
          </w:p>
        </w:tc>
        <w:tc>
          <w:tcPr>
            <w:tcW w:w="3506" w:type="dxa"/>
            <w:vMerge w:val="restart"/>
            <w:vAlign w:val="center"/>
          </w:tcPr>
          <w:p w14:paraId="22C187A7">
            <w:pPr>
              <w:widowControl/>
              <w:ind w:left="-360" w:firstLine="360" w:firstLineChars="200"/>
              <w:jc w:val="center"/>
              <w:rPr>
                <w:rFonts w:hint="eastAsia"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采用案例教学、小组讨论、模拟创业等多样</w:t>
            </w:r>
          </w:p>
          <w:p w14:paraId="7427E560">
            <w:pPr>
              <w:widowControl/>
              <w:ind w:left="-360" w:firstLine="360" w:firstLineChars="200"/>
              <w:jc w:val="center"/>
              <w:rPr>
                <w:rFonts w:hint="eastAsia"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化的教学方法，激发学生的学习兴趣和参与</w:t>
            </w:r>
          </w:p>
          <w:p w14:paraId="72ABD7AA">
            <w:pPr>
              <w:widowControl/>
              <w:ind w:left="-360" w:firstLine="360" w:firstLineChars="200"/>
              <w:jc w:val="center"/>
              <w:rPr>
                <w:rFonts w:hint="eastAsia"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度。邀请行业专家、成功创业者来校讲座，</w:t>
            </w:r>
          </w:p>
          <w:p w14:paraId="01729DD0">
            <w:pPr>
              <w:widowControl/>
              <w:ind w:left="-360" w:firstLine="360" w:firstLineChars="200"/>
              <w:jc w:val="center"/>
              <w:rPr>
                <w:rFonts w:hint="eastAsia"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分享他们的创业经验和心得，为学生提供实</w:t>
            </w:r>
          </w:p>
          <w:p w14:paraId="262F5F7A">
            <w:pPr>
              <w:widowControl/>
              <w:ind w:left="-360" w:firstLine="360" w:firstLineChars="200"/>
              <w:jc w:val="center"/>
              <w:rPr>
                <w:rFonts w:hint="eastAsia"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战指导。</w:t>
            </w:r>
          </w:p>
          <w:p w14:paraId="71C24B6B">
            <w:pPr>
              <w:widowControl/>
              <w:jc w:val="center"/>
              <w:rPr>
                <w:rFonts w:hint="eastAsia" w:ascii="宋体" w:hAnsi="宋体" w:cs="宋体"/>
                <w:color w:val="05073B"/>
                <w:sz w:val="18"/>
                <w:szCs w:val="18"/>
              </w:rPr>
            </w:pPr>
          </w:p>
        </w:tc>
      </w:tr>
      <w:tr w14:paraId="0CF06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90CFCD2">
            <w:pPr>
              <w:pStyle w:val="22"/>
              <w:spacing w:before="0" w:beforeAutospacing="0" w:after="0" w:afterAutospacing="0"/>
              <w:ind w:firstLine="360"/>
              <w:jc w:val="center"/>
              <w:rPr>
                <w:rStyle w:val="27"/>
                <w:rFonts w:hint="eastAsia" w:cs="宋体"/>
                <w:b w:val="0"/>
                <w:color w:val="000000" w:themeColor="text1"/>
                <w:sz w:val="18"/>
                <w:szCs w:val="18"/>
                <w14:textFill>
                  <w14:solidFill>
                    <w14:schemeClr w14:val="tx1"/>
                  </w14:solidFill>
                </w14:textFill>
              </w:rPr>
            </w:pPr>
            <w:r>
              <w:rPr>
                <w:rStyle w:val="27"/>
                <w:rFonts w:hint="eastAsia" w:cs="宋体"/>
                <w:color w:val="000000" w:themeColor="text1"/>
                <w:sz w:val="18"/>
                <w:szCs w:val="18"/>
                <w14:textFill>
                  <w14:solidFill>
                    <w14:schemeClr w14:val="tx1"/>
                  </w14:solidFill>
                </w14:textFill>
              </w:rPr>
              <w:t>专业课程</w:t>
            </w:r>
          </w:p>
        </w:tc>
        <w:tc>
          <w:tcPr>
            <w:tcW w:w="3377" w:type="dxa"/>
            <w:vAlign w:val="center"/>
          </w:tcPr>
          <w:p w14:paraId="7B69C3BF">
            <w:pPr>
              <w:widowControl/>
              <w:rPr>
                <w:rFonts w:hint="eastAsia"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开设《物流业创新创业案例分析》等专业课程，让学生了解行业内的创新趋势和创业机会。</w:t>
            </w:r>
          </w:p>
          <w:p w14:paraId="2EDE5EAB">
            <w:pPr>
              <w:pStyle w:val="22"/>
              <w:spacing w:before="0" w:beforeAutospacing="0" w:after="0" w:afterAutospacing="0"/>
              <w:ind w:firstLine="360"/>
              <w:jc w:val="both"/>
              <w:rPr>
                <w:rStyle w:val="27"/>
                <w:rFonts w:hint="eastAsia" w:cs="宋体"/>
                <w:bCs/>
                <w:color w:val="000000" w:themeColor="text1"/>
                <w:sz w:val="18"/>
                <w:szCs w:val="18"/>
                <w14:textFill>
                  <w14:solidFill>
                    <w14:schemeClr w14:val="tx1"/>
                  </w14:solidFill>
                </w14:textFill>
              </w:rPr>
            </w:pPr>
          </w:p>
        </w:tc>
        <w:tc>
          <w:tcPr>
            <w:tcW w:w="3506" w:type="dxa"/>
            <w:vMerge w:val="continue"/>
          </w:tcPr>
          <w:p w14:paraId="73618647">
            <w:pPr>
              <w:pStyle w:val="22"/>
              <w:spacing w:before="0" w:beforeAutospacing="0" w:after="0" w:afterAutospacing="0" w:line="360" w:lineRule="auto"/>
              <w:ind w:firstLine="420"/>
              <w:rPr>
                <w:rStyle w:val="27"/>
                <w:rFonts w:hint="eastAsia" w:cs="宋体"/>
                <w:bCs/>
                <w:color w:val="05073B"/>
              </w:rPr>
            </w:pPr>
          </w:p>
        </w:tc>
      </w:tr>
      <w:tr w14:paraId="4E2A3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7A4DEFF6">
            <w:pPr>
              <w:pStyle w:val="22"/>
              <w:spacing w:before="0" w:beforeAutospacing="0" w:after="0" w:afterAutospacing="0"/>
              <w:ind w:firstLine="360"/>
              <w:jc w:val="center"/>
              <w:rPr>
                <w:rStyle w:val="27"/>
                <w:rFonts w:hint="eastAsia" w:cs="宋体"/>
                <w:b w:val="0"/>
                <w:color w:val="000000" w:themeColor="text1"/>
                <w:sz w:val="18"/>
                <w:szCs w:val="18"/>
                <w14:textFill>
                  <w14:solidFill>
                    <w14:schemeClr w14:val="tx1"/>
                  </w14:solidFill>
                </w14:textFill>
              </w:rPr>
            </w:pPr>
            <w:r>
              <w:rPr>
                <w:rStyle w:val="27"/>
                <w:rFonts w:hint="eastAsia" w:cs="宋体"/>
                <w:color w:val="000000" w:themeColor="text1"/>
                <w:sz w:val="18"/>
                <w:szCs w:val="18"/>
                <w14:textFill>
                  <w14:solidFill>
                    <w14:schemeClr w14:val="tx1"/>
                  </w14:solidFill>
                </w14:textFill>
              </w:rPr>
              <w:t>实践课程</w:t>
            </w:r>
          </w:p>
        </w:tc>
        <w:tc>
          <w:tcPr>
            <w:tcW w:w="3377" w:type="dxa"/>
            <w:vAlign w:val="center"/>
          </w:tcPr>
          <w:p w14:paraId="78A823DE">
            <w:pPr>
              <w:widowControl/>
              <w:spacing w:before="72"/>
              <w:rPr>
                <w:rFonts w:hint="eastAsia"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开设 《创业计划书撰写》、《市场调研与分析》等，通过实践项目，让学生掌握创业计划书编写、市场调研、风险评估等基本技能。</w:t>
            </w:r>
          </w:p>
          <w:p w14:paraId="4A9F5D27">
            <w:pPr>
              <w:pStyle w:val="22"/>
              <w:spacing w:before="0" w:beforeAutospacing="0" w:after="0" w:afterAutospacing="0"/>
              <w:ind w:firstLine="360"/>
              <w:jc w:val="both"/>
              <w:rPr>
                <w:rStyle w:val="27"/>
                <w:rFonts w:hint="eastAsia" w:cs="宋体"/>
                <w:bCs/>
                <w:color w:val="000000" w:themeColor="text1"/>
                <w:sz w:val="18"/>
                <w:szCs w:val="18"/>
                <w14:textFill>
                  <w14:solidFill>
                    <w14:schemeClr w14:val="tx1"/>
                  </w14:solidFill>
                </w14:textFill>
              </w:rPr>
            </w:pPr>
          </w:p>
        </w:tc>
        <w:tc>
          <w:tcPr>
            <w:tcW w:w="3506" w:type="dxa"/>
            <w:vMerge w:val="continue"/>
          </w:tcPr>
          <w:p w14:paraId="00BBFAA7">
            <w:pPr>
              <w:pStyle w:val="22"/>
              <w:spacing w:before="0" w:beforeAutospacing="0" w:after="0" w:afterAutospacing="0" w:line="360" w:lineRule="auto"/>
              <w:ind w:firstLine="420"/>
              <w:rPr>
                <w:rStyle w:val="27"/>
                <w:rFonts w:hint="eastAsia" w:cs="宋体"/>
                <w:bCs/>
                <w:color w:val="05073B"/>
              </w:rPr>
            </w:pPr>
          </w:p>
        </w:tc>
      </w:tr>
    </w:tbl>
    <w:p w14:paraId="51CF02F9">
      <w:pPr>
        <w:pStyle w:val="2"/>
        <w:ind w:firstLine="0" w:firstLineChars="0"/>
        <w:rPr>
          <w:rFonts w:hint="eastAsia"/>
          <w:lang w:val="en-US"/>
        </w:rPr>
      </w:pPr>
    </w:p>
    <w:p w14:paraId="446EA2AA">
      <w:pPr>
        <w:pStyle w:val="2"/>
        <w:numPr>
          <w:ilvl w:val="0"/>
          <w:numId w:val="3"/>
        </w:numPr>
        <w:ind w:firstLineChars="0"/>
        <w:rPr>
          <w:rFonts w:hint="eastAsia"/>
          <w:lang w:val="en-US"/>
        </w:rPr>
      </w:pPr>
      <w:r>
        <w:rPr>
          <w:rFonts w:hint="eastAsia"/>
          <w:lang w:val="en-US"/>
        </w:rPr>
        <w:t>创新创业培训</w:t>
      </w:r>
    </w:p>
    <w:p w14:paraId="52321FF6">
      <w:pPr>
        <w:spacing w:line="360" w:lineRule="auto"/>
        <w:ind w:firstLine="442" w:firstLineChars="200"/>
        <w:jc w:val="center"/>
      </w:pPr>
      <w:r>
        <w:rPr>
          <w:rFonts w:hint="eastAsia" w:ascii="宋体" w:hAnsi="宋体" w:cs="宋体"/>
          <w:b/>
          <w:bCs/>
          <w:sz w:val="22"/>
        </w:rPr>
        <w:t>表11培训设置</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2"/>
        <w:gridCol w:w="3740"/>
        <w:gridCol w:w="3557"/>
      </w:tblGrid>
      <w:tr w14:paraId="662C8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02" w:type="dxa"/>
            <w:vAlign w:val="center"/>
          </w:tcPr>
          <w:p w14:paraId="5BCB05F4">
            <w:pPr>
              <w:pStyle w:val="22"/>
              <w:spacing w:before="0" w:beforeAutospacing="0" w:after="0" w:afterAutospacing="0" w:line="360" w:lineRule="auto"/>
              <w:jc w:val="both"/>
              <w:rPr>
                <w:rStyle w:val="27"/>
                <w:rFonts w:ascii="Times New Roman" w:hAnsi="Times New Roman" w:cs="宋体"/>
                <w:color w:val="000000" w:themeColor="text1"/>
                <w:sz w:val="18"/>
                <w:szCs w:val="18"/>
                <w14:textFill>
                  <w14:solidFill>
                    <w14:schemeClr w14:val="tx1"/>
                  </w14:solidFill>
                </w14:textFill>
              </w:rPr>
            </w:pPr>
            <w:r>
              <w:rPr>
                <w:rStyle w:val="27"/>
                <w:rFonts w:hint="eastAsia" w:ascii="Times New Roman" w:hAnsi="Times New Roman" w:cs="宋体"/>
                <w:color w:val="000000" w:themeColor="text1"/>
                <w:sz w:val="18"/>
                <w:szCs w:val="18"/>
                <w14:textFill>
                  <w14:solidFill>
                    <w14:schemeClr w14:val="tx1"/>
                  </w14:solidFill>
                </w14:textFill>
              </w:rPr>
              <w:t>培训类型</w:t>
            </w:r>
          </w:p>
        </w:tc>
        <w:tc>
          <w:tcPr>
            <w:tcW w:w="3740" w:type="dxa"/>
            <w:vAlign w:val="center"/>
          </w:tcPr>
          <w:p w14:paraId="1A8156C9">
            <w:pPr>
              <w:pStyle w:val="22"/>
              <w:spacing w:before="0" w:beforeAutospacing="0" w:after="0" w:afterAutospacing="0" w:line="360" w:lineRule="auto"/>
              <w:jc w:val="center"/>
              <w:rPr>
                <w:rStyle w:val="27"/>
                <w:rFonts w:ascii="Times New Roman" w:hAnsi="Times New Roman" w:cs="宋体"/>
                <w:color w:val="000000" w:themeColor="text1"/>
                <w:sz w:val="18"/>
                <w:szCs w:val="18"/>
                <w14:textFill>
                  <w14:solidFill>
                    <w14:schemeClr w14:val="tx1"/>
                  </w14:solidFill>
                </w14:textFill>
              </w:rPr>
            </w:pPr>
            <w:r>
              <w:rPr>
                <w:rStyle w:val="27"/>
                <w:rFonts w:hint="eastAsia" w:ascii="Times New Roman" w:hAnsi="Times New Roman" w:cs="宋体"/>
                <w:color w:val="000000" w:themeColor="text1"/>
                <w:sz w:val="18"/>
                <w:szCs w:val="18"/>
                <w14:textFill>
                  <w14:solidFill>
                    <w14:schemeClr w14:val="tx1"/>
                  </w14:solidFill>
                </w14:textFill>
              </w:rPr>
              <w:t>培训内容</w:t>
            </w:r>
          </w:p>
          <w:p w14:paraId="2158A202">
            <w:pPr>
              <w:pStyle w:val="22"/>
              <w:spacing w:before="0" w:beforeAutospacing="0" w:after="0" w:afterAutospacing="0" w:line="360" w:lineRule="auto"/>
              <w:jc w:val="center"/>
              <w:rPr>
                <w:rStyle w:val="27"/>
                <w:rFonts w:ascii="Times New Roman" w:hAnsi="Times New Roman" w:cs="宋体"/>
                <w:bCs/>
                <w:color w:val="000000" w:themeColor="text1"/>
                <w:sz w:val="18"/>
                <w:szCs w:val="18"/>
                <w14:textFill>
                  <w14:solidFill>
                    <w14:schemeClr w14:val="tx1"/>
                  </w14:solidFill>
                </w14:textFill>
              </w:rPr>
            </w:pPr>
          </w:p>
        </w:tc>
        <w:tc>
          <w:tcPr>
            <w:tcW w:w="3557" w:type="dxa"/>
          </w:tcPr>
          <w:p w14:paraId="558518A7">
            <w:pPr>
              <w:pStyle w:val="22"/>
              <w:spacing w:before="0" w:beforeAutospacing="0" w:after="0" w:afterAutospacing="0" w:line="360" w:lineRule="auto"/>
              <w:jc w:val="center"/>
              <w:rPr>
                <w:rStyle w:val="27"/>
                <w:rFonts w:ascii="Times New Roman" w:hAnsi="Times New Roman" w:cs="宋体"/>
                <w:color w:val="000000" w:themeColor="text1"/>
                <w:sz w:val="18"/>
                <w:szCs w:val="18"/>
                <w14:textFill>
                  <w14:solidFill>
                    <w14:schemeClr w14:val="tx1"/>
                  </w14:solidFill>
                </w14:textFill>
              </w:rPr>
            </w:pPr>
            <w:r>
              <w:rPr>
                <w:rStyle w:val="27"/>
                <w:rFonts w:hint="eastAsia" w:ascii="Times New Roman" w:hAnsi="Times New Roman" w:cs="宋体"/>
                <w:color w:val="000000" w:themeColor="text1"/>
                <w:sz w:val="18"/>
                <w:szCs w:val="18"/>
                <w14:textFill>
                  <w14:solidFill>
                    <w14:schemeClr w14:val="tx1"/>
                  </w14:solidFill>
                </w14:textFill>
              </w:rPr>
              <w:t>培训组织形式</w:t>
            </w:r>
          </w:p>
          <w:p w14:paraId="11658CE0">
            <w:pPr>
              <w:pStyle w:val="22"/>
              <w:spacing w:before="0" w:beforeAutospacing="0" w:after="0" w:afterAutospacing="0" w:line="360" w:lineRule="auto"/>
              <w:jc w:val="center"/>
              <w:rPr>
                <w:rStyle w:val="27"/>
                <w:rFonts w:ascii="Times New Roman" w:hAnsi="Times New Roman" w:cs="宋体"/>
                <w:bCs/>
                <w:color w:val="000000" w:themeColor="text1"/>
                <w:sz w:val="18"/>
                <w:szCs w:val="18"/>
                <w14:textFill>
                  <w14:solidFill>
                    <w14:schemeClr w14:val="tx1"/>
                  </w14:solidFill>
                </w14:textFill>
              </w:rPr>
            </w:pPr>
          </w:p>
        </w:tc>
      </w:tr>
      <w:tr w14:paraId="5AF7C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202" w:type="dxa"/>
            <w:vAlign w:val="center"/>
          </w:tcPr>
          <w:p w14:paraId="76BC63BD">
            <w:pPr>
              <w:pStyle w:val="22"/>
              <w:spacing w:before="0" w:beforeAutospacing="0" w:after="0" w:afterAutospacing="0"/>
              <w:jc w:val="center"/>
              <w:rPr>
                <w:rStyle w:val="27"/>
                <w:rFonts w:hint="eastAsia" w:cs="宋体"/>
                <w:b w:val="0"/>
                <w:color w:val="000000" w:themeColor="text1"/>
                <w:sz w:val="18"/>
                <w:szCs w:val="18"/>
                <w14:textFill>
                  <w14:solidFill>
                    <w14:schemeClr w14:val="tx1"/>
                  </w14:solidFill>
                </w14:textFill>
              </w:rPr>
            </w:pPr>
            <w:r>
              <w:rPr>
                <w:rStyle w:val="27"/>
                <w:rFonts w:hint="eastAsia" w:cs="宋体"/>
                <w:color w:val="000000" w:themeColor="text1"/>
                <w:sz w:val="18"/>
                <w:szCs w:val="18"/>
                <w14:textFill>
                  <w14:solidFill>
                    <w14:schemeClr w14:val="tx1"/>
                  </w14:solidFill>
                </w14:textFill>
              </w:rPr>
              <w:t>技能培训</w:t>
            </w:r>
          </w:p>
        </w:tc>
        <w:tc>
          <w:tcPr>
            <w:tcW w:w="3740" w:type="dxa"/>
            <w:vAlign w:val="center"/>
          </w:tcPr>
          <w:p w14:paraId="774FF5EF">
            <w:pPr>
              <w:widowControl/>
              <w:spacing w:line="20" w:lineRule="atLeast"/>
              <w:ind w:left="-360" w:firstLine="360" w:firstLineChars="200"/>
              <w:rPr>
                <w:rFonts w:hint="eastAsia" w:ascii="宋体" w:hAnsi="宋体" w:cs="宋体"/>
                <w:sz w:val="18"/>
                <w:szCs w:val="18"/>
              </w:rPr>
            </w:pPr>
            <w:r>
              <w:rPr>
                <w:rFonts w:hint="eastAsia" w:ascii="宋体" w:hAnsi="宋体" w:cs="宋体"/>
                <w:sz w:val="18"/>
                <w:szCs w:val="18"/>
              </w:rPr>
              <w:t>包括商业计划书撰写、财务管理、市场营销、</w:t>
            </w:r>
          </w:p>
          <w:p w14:paraId="778F33B8">
            <w:pPr>
              <w:widowControl/>
              <w:spacing w:line="20" w:lineRule="atLeast"/>
              <w:ind w:left="-360" w:firstLine="360" w:firstLineChars="200"/>
              <w:rPr>
                <w:rFonts w:hint="eastAsia" w:ascii="宋体" w:hAnsi="宋体" w:cs="宋体"/>
                <w:sz w:val="18"/>
                <w:szCs w:val="18"/>
              </w:rPr>
            </w:pPr>
            <w:r>
              <w:rPr>
                <w:rFonts w:hint="eastAsia" w:ascii="宋体" w:hAnsi="宋体" w:cs="宋体"/>
                <w:sz w:val="18"/>
                <w:szCs w:val="18"/>
              </w:rPr>
              <w:t>人力资源管理等创业所需的基本技能培训。</w:t>
            </w:r>
          </w:p>
          <w:p w14:paraId="08D30A15">
            <w:pPr>
              <w:widowControl/>
              <w:rPr>
                <w:rStyle w:val="27"/>
                <w:rFonts w:hint="eastAsia" w:ascii="宋体" w:hAnsi="宋体" w:cs="宋体"/>
                <w:bCs/>
                <w:sz w:val="18"/>
                <w:szCs w:val="18"/>
              </w:rPr>
            </w:pPr>
          </w:p>
        </w:tc>
        <w:tc>
          <w:tcPr>
            <w:tcW w:w="3557" w:type="dxa"/>
            <w:vMerge w:val="restart"/>
            <w:vAlign w:val="center"/>
          </w:tcPr>
          <w:p w14:paraId="70E4AF78">
            <w:pPr>
              <w:widowControl/>
              <w:spacing w:line="20" w:lineRule="atLeast"/>
              <w:ind w:left="-360"/>
              <w:rPr>
                <w:rFonts w:hint="eastAsia" w:ascii="宋体" w:hAnsi="宋体" w:cs="宋体"/>
                <w:color w:val="000000" w:themeColor="text1"/>
                <w:sz w:val="18"/>
                <w:szCs w:val="18"/>
                <w14:textFill>
                  <w14:solidFill>
                    <w14:schemeClr w14:val="tx1"/>
                  </w14:solidFill>
                </w14:textFill>
              </w:rPr>
            </w:pPr>
            <w:r>
              <w:rPr>
                <w:rFonts w:hint="eastAsia" w:ascii="宋体" w:hAnsi="宋体" w:cs="宋体"/>
                <w:color w:val="05073B"/>
                <w:sz w:val="18"/>
                <w:szCs w:val="18"/>
              </w:rPr>
              <w:t xml:space="preserve">    </w:t>
            </w:r>
            <w:r>
              <w:rPr>
                <w:rFonts w:hint="eastAsia" w:ascii="宋体" w:hAnsi="宋体" w:cs="宋体"/>
                <w:color w:val="000000" w:themeColor="text1"/>
                <w:sz w:val="18"/>
                <w:szCs w:val="18"/>
                <w14:textFill>
                  <w14:solidFill>
                    <w14:schemeClr w14:val="tx1"/>
                  </w14:solidFill>
                </w14:textFill>
              </w:rPr>
              <w:t>定期组织创业沙龙、创业工作坊等活动，</w:t>
            </w:r>
          </w:p>
          <w:p w14:paraId="579D0C45">
            <w:pPr>
              <w:widowControl/>
              <w:spacing w:line="20" w:lineRule="atLeast"/>
              <w:ind w:left="-360" w:firstLine="180" w:firstLineChars="100"/>
              <w:rPr>
                <w:rFonts w:hint="eastAsia"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，为学生提供交流学习的平台。</w:t>
            </w:r>
          </w:p>
          <w:p w14:paraId="1E1E566D">
            <w:pPr>
              <w:widowControl/>
              <w:rPr>
                <w:rFonts w:hint="eastAsia" w:ascii="宋体" w:hAnsi="宋体" w:cs="宋体"/>
                <w:color w:val="05073B"/>
                <w:sz w:val="18"/>
                <w:szCs w:val="18"/>
              </w:rPr>
            </w:pPr>
            <w:r>
              <w:rPr>
                <w:rFonts w:hint="eastAsia" w:ascii="宋体" w:hAnsi="宋体" w:cs="宋体"/>
                <w:color w:val="000000" w:themeColor="text1"/>
                <w:sz w:val="18"/>
                <w:szCs w:val="18"/>
                <w14:textFill>
                  <w14:solidFill>
                    <w14:schemeClr w14:val="tx1"/>
                  </w14:solidFill>
                </w14:textFill>
              </w:rPr>
              <w:t>开展线上线下的创业培训课程，满足不同学生的学习需求。</w:t>
            </w:r>
          </w:p>
        </w:tc>
      </w:tr>
      <w:tr w14:paraId="499F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trPr>
        <w:tc>
          <w:tcPr>
            <w:tcW w:w="1202" w:type="dxa"/>
            <w:vAlign w:val="center"/>
          </w:tcPr>
          <w:p w14:paraId="05DE1A14">
            <w:pPr>
              <w:pStyle w:val="22"/>
              <w:spacing w:before="0" w:beforeAutospacing="0" w:after="0" w:afterAutospacing="0"/>
              <w:jc w:val="center"/>
              <w:rPr>
                <w:rStyle w:val="27"/>
                <w:rFonts w:hint="eastAsia" w:cs="宋体"/>
                <w:b w:val="0"/>
                <w:color w:val="000000" w:themeColor="text1"/>
                <w:sz w:val="18"/>
                <w:szCs w:val="18"/>
                <w14:textFill>
                  <w14:solidFill>
                    <w14:schemeClr w14:val="tx1"/>
                  </w14:solidFill>
                </w14:textFill>
              </w:rPr>
            </w:pPr>
            <w:r>
              <w:rPr>
                <w:rStyle w:val="27"/>
                <w:rFonts w:hint="eastAsia" w:cs="宋体"/>
                <w:color w:val="000000" w:themeColor="text1"/>
                <w:sz w:val="18"/>
                <w:szCs w:val="18"/>
                <w14:textFill>
                  <w14:solidFill>
                    <w14:schemeClr w14:val="tx1"/>
                  </w14:solidFill>
                </w14:textFill>
              </w:rPr>
              <w:t>模拟实训</w:t>
            </w:r>
          </w:p>
        </w:tc>
        <w:tc>
          <w:tcPr>
            <w:tcW w:w="3740" w:type="dxa"/>
            <w:vAlign w:val="center"/>
          </w:tcPr>
          <w:p w14:paraId="5CABFDE8">
            <w:pPr>
              <w:widowControl/>
              <w:spacing w:before="72" w:line="20" w:lineRule="atLeast"/>
              <w:ind w:left="-360" w:firstLine="360" w:firstLineChars="200"/>
              <w:rPr>
                <w:rFonts w:hint="eastAsia" w:ascii="宋体" w:hAnsi="宋体" w:cs="宋体"/>
                <w:sz w:val="18"/>
                <w:szCs w:val="18"/>
              </w:rPr>
            </w:pPr>
            <w:r>
              <w:rPr>
                <w:rFonts w:hint="eastAsia" w:ascii="宋体" w:hAnsi="宋体" w:cs="宋体"/>
                <w:sz w:val="18"/>
                <w:szCs w:val="18"/>
              </w:rPr>
              <w:t>通过模拟创业项目，让学生在实践中学习如何</w:t>
            </w:r>
          </w:p>
          <w:p w14:paraId="1EED793D">
            <w:pPr>
              <w:widowControl/>
              <w:spacing w:before="72" w:line="20" w:lineRule="atLeast"/>
              <w:ind w:left="-360" w:firstLine="360" w:firstLineChars="200"/>
              <w:rPr>
                <w:rFonts w:hint="eastAsia" w:ascii="宋体" w:hAnsi="宋体" w:cs="宋体"/>
                <w:sz w:val="18"/>
                <w:szCs w:val="18"/>
              </w:rPr>
            </w:pPr>
            <w:r>
              <w:rPr>
                <w:rFonts w:hint="eastAsia" w:ascii="宋体" w:hAnsi="宋体" w:cs="宋体"/>
                <w:sz w:val="18"/>
                <w:szCs w:val="18"/>
              </w:rPr>
              <w:t>组建团队、制定商业计划、进行市场调研、筹</w:t>
            </w:r>
          </w:p>
          <w:p w14:paraId="4F9D04FE">
            <w:pPr>
              <w:widowControl/>
              <w:spacing w:before="72" w:line="20" w:lineRule="atLeast"/>
              <w:ind w:left="-360" w:firstLine="360" w:firstLineChars="200"/>
              <w:rPr>
                <w:rFonts w:hint="eastAsia" w:ascii="宋体" w:hAnsi="宋体" w:cs="宋体"/>
                <w:sz w:val="18"/>
                <w:szCs w:val="18"/>
              </w:rPr>
            </w:pPr>
            <w:r>
              <w:rPr>
                <w:rFonts w:hint="eastAsia" w:ascii="宋体" w:hAnsi="宋体" w:cs="宋体"/>
                <w:sz w:val="18"/>
                <w:szCs w:val="18"/>
              </w:rPr>
              <w:t>集资金等。</w:t>
            </w:r>
          </w:p>
          <w:p w14:paraId="4E48EC07">
            <w:pPr>
              <w:pStyle w:val="22"/>
              <w:spacing w:before="0" w:beforeAutospacing="0" w:after="0" w:afterAutospacing="0"/>
              <w:jc w:val="both"/>
              <w:rPr>
                <w:rStyle w:val="27"/>
                <w:rFonts w:hint="eastAsia" w:cs="宋体"/>
                <w:bCs/>
                <w:sz w:val="18"/>
                <w:szCs w:val="18"/>
              </w:rPr>
            </w:pPr>
          </w:p>
        </w:tc>
        <w:tc>
          <w:tcPr>
            <w:tcW w:w="3557" w:type="dxa"/>
            <w:vMerge w:val="continue"/>
          </w:tcPr>
          <w:p w14:paraId="6463B7A5">
            <w:pPr>
              <w:pStyle w:val="22"/>
              <w:spacing w:before="0" w:beforeAutospacing="0" w:after="0" w:afterAutospacing="0" w:line="360" w:lineRule="auto"/>
              <w:rPr>
                <w:rStyle w:val="27"/>
                <w:rFonts w:hint="eastAsia" w:cs="宋体"/>
                <w:bCs/>
                <w:color w:val="05073B"/>
              </w:rPr>
            </w:pPr>
          </w:p>
        </w:tc>
      </w:tr>
      <w:tr w14:paraId="0DCA1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1202" w:type="dxa"/>
            <w:vAlign w:val="center"/>
          </w:tcPr>
          <w:p w14:paraId="12E25B43">
            <w:pPr>
              <w:pStyle w:val="22"/>
              <w:spacing w:before="0" w:beforeAutospacing="0" w:after="0" w:afterAutospacing="0"/>
              <w:jc w:val="center"/>
              <w:rPr>
                <w:rStyle w:val="27"/>
                <w:rFonts w:hint="eastAsia" w:cs="宋体"/>
                <w:b w:val="0"/>
                <w:color w:val="000000" w:themeColor="text1"/>
                <w:sz w:val="18"/>
                <w:szCs w:val="18"/>
                <w14:textFill>
                  <w14:solidFill>
                    <w14:schemeClr w14:val="tx1"/>
                  </w14:solidFill>
                </w14:textFill>
              </w:rPr>
            </w:pPr>
            <w:r>
              <w:rPr>
                <w:rStyle w:val="27"/>
                <w:rFonts w:hint="eastAsia" w:cs="宋体"/>
                <w:color w:val="000000" w:themeColor="text1"/>
                <w:sz w:val="18"/>
                <w:szCs w:val="18"/>
                <w14:textFill>
                  <w14:solidFill>
                    <w14:schemeClr w14:val="tx1"/>
                  </w14:solidFill>
                </w14:textFill>
              </w:rPr>
              <w:t>创业导师制度</w:t>
            </w:r>
          </w:p>
        </w:tc>
        <w:tc>
          <w:tcPr>
            <w:tcW w:w="3740" w:type="dxa"/>
            <w:vAlign w:val="center"/>
          </w:tcPr>
          <w:p w14:paraId="25FA6786">
            <w:pPr>
              <w:widowControl/>
              <w:spacing w:before="72" w:line="20" w:lineRule="atLeast"/>
              <w:ind w:left="-360" w:firstLine="360" w:firstLineChars="200"/>
              <w:rPr>
                <w:rFonts w:hint="eastAsia" w:ascii="宋体" w:hAnsi="宋体" w:cs="宋体"/>
                <w:sz w:val="18"/>
                <w:szCs w:val="18"/>
              </w:rPr>
            </w:pPr>
            <w:r>
              <w:rPr>
                <w:rFonts w:hint="eastAsia" w:ascii="宋体" w:hAnsi="宋体" w:cs="宋体"/>
                <w:sz w:val="18"/>
                <w:szCs w:val="18"/>
              </w:rPr>
              <w:t>为每位学生配备创业导师，进行一对一指导，</w:t>
            </w:r>
          </w:p>
          <w:p w14:paraId="2E5EA9CC">
            <w:pPr>
              <w:widowControl/>
              <w:spacing w:before="72" w:line="20" w:lineRule="atLeast"/>
              <w:ind w:left="-360" w:firstLine="360" w:firstLineChars="200"/>
              <w:rPr>
                <w:rFonts w:hint="eastAsia" w:ascii="宋体" w:hAnsi="宋体" w:cs="宋体"/>
                <w:sz w:val="18"/>
                <w:szCs w:val="18"/>
              </w:rPr>
            </w:pPr>
            <w:r>
              <w:rPr>
                <w:rFonts w:hint="eastAsia" w:ascii="宋体" w:hAnsi="宋体" w:cs="宋体"/>
                <w:sz w:val="18"/>
                <w:szCs w:val="18"/>
              </w:rPr>
              <w:t>帮助学生解决创业过程中遇到的问题。</w:t>
            </w:r>
          </w:p>
          <w:p w14:paraId="4598C0D3">
            <w:pPr>
              <w:pStyle w:val="22"/>
              <w:spacing w:before="0" w:beforeAutospacing="0" w:after="0" w:afterAutospacing="0"/>
              <w:jc w:val="both"/>
              <w:rPr>
                <w:rStyle w:val="27"/>
                <w:rFonts w:hint="eastAsia" w:cs="宋体"/>
                <w:bCs/>
                <w:sz w:val="18"/>
                <w:szCs w:val="18"/>
              </w:rPr>
            </w:pPr>
          </w:p>
        </w:tc>
        <w:tc>
          <w:tcPr>
            <w:tcW w:w="3557" w:type="dxa"/>
            <w:vMerge w:val="continue"/>
          </w:tcPr>
          <w:p w14:paraId="72CC2871">
            <w:pPr>
              <w:pStyle w:val="22"/>
              <w:spacing w:before="0" w:beforeAutospacing="0" w:after="0" w:afterAutospacing="0" w:line="360" w:lineRule="auto"/>
              <w:rPr>
                <w:rStyle w:val="27"/>
                <w:rFonts w:hint="eastAsia" w:cs="宋体"/>
                <w:bCs/>
                <w:color w:val="05073B"/>
              </w:rPr>
            </w:pPr>
          </w:p>
        </w:tc>
      </w:tr>
    </w:tbl>
    <w:p w14:paraId="23ABE963">
      <w:pPr>
        <w:pStyle w:val="2"/>
        <w:ind w:firstLine="420"/>
        <w:rPr>
          <w:rFonts w:hint="eastAsia"/>
          <w:lang w:val="en-US"/>
        </w:rPr>
      </w:pPr>
    </w:p>
    <w:p w14:paraId="1804E769">
      <w:pPr>
        <w:pStyle w:val="2"/>
        <w:ind w:firstLine="583" w:firstLineChars="278"/>
        <w:rPr>
          <w:rFonts w:hint="eastAsia"/>
          <w:lang w:val="en-US"/>
        </w:rPr>
      </w:pPr>
      <w:r>
        <w:rPr>
          <w:rFonts w:hint="eastAsia"/>
          <w:lang w:val="en-US"/>
        </w:rPr>
        <w:t>(3) 创新创业竞赛</w:t>
      </w:r>
    </w:p>
    <w:p w14:paraId="5A075465">
      <w:pPr>
        <w:spacing w:line="360" w:lineRule="auto"/>
        <w:ind w:firstLine="442" w:firstLineChars="200"/>
        <w:jc w:val="center"/>
        <w:rPr>
          <w:rFonts w:hint="eastAsia" w:ascii="宋体" w:hAnsi="宋体" w:cs="宋体"/>
          <w:b/>
          <w:bCs/>
          <w:sz w:val="22"/>
        </w:rPr>
      </w:pPr>
      <w:r>
        <w:rPr>
          <w:rFonts w:hint="eastAsia" w:ascii="宋体" w:hAnsi="宋体" w:cs="宋体"/>
          <w:b/>
          <w:bCs/>
          <w:sz w:val="22"/>
        </w:rPr>
        <w:t>表12竞赛设置</w:t>
      </w:r>
    </w:p>
    <w:tbl>
      <w:tblPr>
        <w:tblStyle w:val="25"/>
        <w:tblW w:w="85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7"/>
        <w:gridCol w:w="3145"/>
        <w:gridCol w:w="2847"/>
      </w:tblGrid>
      <w:tr w14:paraId="56DB9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2547" w:type="dxa"/>
          </w:tcPr>
          <w:p w14:paraId="631C16C1">
            <w:pPr>
              <w:pStyle w:val="2"/>
              <w:spacing w:line="360" w:lineRule="auto"/>
              <w:ind w:firstLine="0" w:firstLineChars="0"/>
              <w:jc w:val="center"/>
              <w:rPr>
                <w:rFonts w:hint="eastAsia" w:ascii="宋体" w:hAnsi="宋体" w:eastAsia="宋体" w:cs="黑体"/>
                <w:sz w:val="24"/>
                <w:lang w:val="en-US"/>
              </w:rPr>
            </w:pPr>
            <w:r>
              <w:rPr>
                <w:rStyle w:val="27"/>
                <w:rFonts w:hint="eastAsia" w:ascii="宋体" w:hAnsi="宋体" w:eastAsia="宋体" w:cs="宋体"/>
                <w:sz w:val="18"/>
                <w:szCs w:val="18"/>
                <w:lang w:val="en-US"/>
              </w:rPr>
              <w:t>竞赛组织</w:t>
            </w:r>
          </w:p>
        </w:tc>
        <w:tc>
          <w:tcPr>
            <w:tcW w:w="3145" w:type="dxa"/>
          </w:tcPr>
          <w:p w14:paraId="35C32ECC">
            <w:pPr>
              <w:pStyle w:val="2"/>
              <w:spacing w:line="360" w:lineRule="auto"/>
              <w:ind w:firstLine="0" w:firstLineChars="0"/>
              <w:jc w:val="center"/>
              <w:rPr>
                <w:rFonts w:hint="eastAsia" w:ascii="宋体" w:hAnsi="宋体" w:eastAsia="宋体" w:cs="黑体"/>
                <w:sz w:val="24"/>
                <w:lang w:val="en-US"/>
              </w:rPr>
            </w:pPr>
            <w:r>
              <w:rPr>
                <w:rStyle w:val="27"/>
                <w:rFonts w:hint="eastAsia" w:ascii="宋体" w:hAnsi="宋体" w:eastAsia="宋体" w:cs="宋体"/>
                <w:sz w:val="18"/>
                <w:szCs w:val="18"/>
                <w:lang w:val="en-US"/>
              </w:rPr>
              <w:t>竞赛准备</w:t>
            </w:r>
          </w:p>
        </w:tc>
        <w:tc>
          <w:tcPr>
            <w:tcW w:w="2847" w:type="dxa"/>
          </w:tcPr>
          <w:p w14:paraId="00E9BB63">
            <w:pPr>
              <w:pStyle w:val="22"/>
              <w:spacing w:before="0" w:beforeAutospacing="0" w:after="0" w:afterAutospacing="0" w:line="360" w:lineRule="auto"/>
              <w:jc w:val="center"/>
              <w:rPr>
                <w:rFonts w:hint="eastAsia" w:cs="黑体"/>
              </w:rPr>
            </w:pPr>
            <w:r>
              <w:rPr>
                <w:rStyle w:val="27"/>
                <w:rFonts w:hint="eastAsia" w:cs="宋体"/>
                <w:sz w:val="18"/>
                <w:szCs w:val="18"/>
              </w:rPr>
              <w:t>竞赛成果</w:t>
            </w:r>
          </w:p>
        </w:tc>
      </w:tr>
      <w:tr w14:paraId="5D3B1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7" w:hRule="atLeast"/>
        </w:trPr>
        <w:tc>
          <w:tcPr>
            <w:tcW w:w="2547" w:type="dxa"/>
          </w:tcPr>
          <w:p w14:paraId="2E2BC111">
            <w:pPr>
              <w:pStyle w:val="2"/>
              <w:ind w:firstLine="0" w:firstLineChars="0"/>
              <w:rPr>
                <w:rFonts w:hint="eastAsia" w:ascii="黑体" w:hAnsi="黑体" w:eastAsia="黑体" w:cs="黑体"/>
                <w:b/>
                <w:bCs/>
                <w:sz w:val="18"/>
                <w:szCs w:val="18"/>
                <w:lang w:val="en-US"/>
              </w:rPr>
            </w:pPr>
            <w:r>
              <w:rPr>
                <w:rFonts w:hint="eastAsia" w:ascii="宋体" w:hAnsi="宋体" w:eastAsia="宋体" w:cs="宋体"/>
                <w:sz w:val="18"/>
                <w:szCs w:val="18"/>
                <w:lang w:val="en-US"/>
              </w:rPr>
              <w:t>综合性创新创业大赛，例如“互联网+”大学生创新创业大赛、“挑战杯”中国大学生创业计划竞赛等。</w:t>
            </w:r>
          </w:p>
        </w:tc>
        <w:tc>
          <w:tcPr>
            <w:tcW w:w="3145" w:type="dxa"/>
          </w:tcPr>
          <w:p w14:paraId="7DC8E417">
            <w:pPr>
              <w:widowControl/>
              <w:ind w:left="-360" w:firstLine="360" w:firstLineChars="200"/>
              <w:rPr>
                <w:rFonts w:hint="eastAsia" w:ascii="宋体" w:hAnsi="宋体" w:cs="宋体"/>
                <w:sz w:val="18"/>
                <w:szCs w:val="18"/>
              </w:rPr>
            </w:pPr>
            <w:r>
              <w:rPr>
                <w:rFonts w:hint="eastAsia" w:ascii="宋体" w:hAnsi="宋体" w:cs="宋体"/>
                <w:sz w:val="18"/>
                <w:szCs w:val="18"/>
              </w:rPr>
              <w:t>提前进行项目筛选和辅导，帮助学</w:t>
            </w:r>
          </w:p>
          <w:p w14:paraId="73392AEF">
            <w:pPr>
              <w:widowControl/>
              <w:ind w:left="-360" w:firstLine="360" w:firstLineChars="200"/>
              <w:rPr>
                <w:rFonts w:hint="eastAsia" w:ascii="宋体" w:hAnsi="宋体" w:cs="宋体"/>
                <w:sz w:val="18"/>
                <w:szCs w:val="18"/>
              </w:rPr>
            </w:pPr>
            <w:r>
              <w:rPr>
                <w:rFonts w:hint="eastAsia" w:ascii="宋体" w:hAnsi="宋体" w:cs="宋体"/>
                <w:sz w:val="18"/>
                <w:szCs w:val="18"/>
              </w:rPr>
              <w:t>生完善创业项目，提高竞赛水平。</w:t>
            </w:r>
          </w:p>
          <w:p w14:paraId="0434782D">
            <w:pPr>
              <w:widowControl/>
              <w:ind w:left="-360" w:firstLine="360" w:firstLineChars="200"/>
              <w:rPr>
                <w:rFonts w:hint="eastAsia" w:ascii="宋体" w:hAnsi="宋体" w:cs="宋体"/>
                <w:sz w:val="18"/>
                <w:szCs w:val="18"/>
              </w:rPr>
            </w:pPr>
            <w:r>
              <w:rPr>
                <w:rFonts w:hint="eastAsia" w:ascii="宋体" w:hAnsi="宋体" w:cs="宋体"/>
                <w:sz w:val="18"/>
                <w:szCs w:val="18"/>
              </w:rPr>
              <w:t>组织模拟答辩、路演等活动，提升</w:t>
            </w:r>
          </w:p>
          <w:p w14:paraId="54F16946">
            <w:pPr>
              <w:widowControl/>
              <w:ind w:left="-360" w:firstLine="360" w:firstLineChars="200"/>
              <w:rPr>
                <w:rFonts w:hint="eastAsia" w:ascii="宋体" w:hAnsi="宋体" w:cs="宋体"/>
                <w:sz w:val="18"/>
                <w:szCs w:val="18"/>
              </w:rPr>
            </w:pPr>
            <w:r>
              <w:rPr>
                <w:rFonts w:hint="eastAsia" w:ascii="宋体" w:hAnsi="宋体" w:cs="宋体"/>
                <w:sz w:val="18"/>
                <w:szCs w:val="18"/>
              </w:rPr>
              <w:t>学生的表达能力和应变能力。</w:t>
            </w:r>
          </w:p>
          <w:p w14:paraId="63C22BD2">
            <w:pPr>
              <w:pStyle w:val="2"/>
              <w:ind w:firstLine="0" w:firstLineChars="0"/>
              <w:rPr>
                <w:rFonts w:hint="eastAsia" w:ascii="黑体" w:hAnsi="黑体" w:eastAsia="黑体" w:cs="黑体"/>
                <w:b/>
                <w:bCs/>
                <w:sz w:val="18"/>
                <w:szCs w:val="18"/>
                <w:lang w:val="en-US"/>
              </w:rPr>
            </w:pPr>
          </w:p>
        </w:tc>
        <w:tc>
          <w:tcPr>
            <w:tcW w:w="2847" w:type="dxa"/>
          </w:tcPr>
          <w:p w14:paraId="43CF8CCA">
            <w:pPr>
              <w:widowControl/>
              <w:ind w:left="-360" w:firstLine="360" w:firstLineChars="200"/>
              <w:rPr>
                <w:rFonts w:hint="eastAsia" w:ascii="宋体" w:hAnsi="宋体" w:cs="宋体"/>
                <w:sz w:val="18"/>
                <w:szCs w:val="18"/>
              </w:rPr>
            </w:pPr>
            <w:r>
              <w:rPr>
                <w:rFonts w:hint="eastAsia" w:ascii="宋体" w:hAnsi="宋体" w:cs="宋体"/>
                <w:sz w:val="18"/>
                <w:szCs w:val="18"/>
              </w:rPr>
              <w:t>对获奖学生进行表彰和奖励，激发</w:t>
            </w:r>
          </w:p>
          <w:p w14:paraId="58897856">
            <w:pPr>
              <w:widowControl/>
              <w:ind w:left="-360" w:firstLine="360" w:firstLineChars="200"/>
              <w:rPr>
                <w:rFonts w:hint="eastAsia" w:ascii="宋体" w:hAnsi="宋体" w:cs="宋体"/>
                <w:sz w:val="18"/>
                <w:szCs w:val="18"/>
              </w:rPr>
            </w:pPr>
            <w:r>
              <w:rPr>
                <w:rFonts w:hint="eastAsia" w:ascii="宋体" w:hAnsi="宋体" w:cs="宋体"/>
                <w:sz w:val="18"/>
                <w:szCs w:val="18"/>
              </w:rPr>
              <w:t>学生的创新创业热情。将优秀创业</w:t>
            </w:r>
          </w:p>
          <w:p w14:paraId="13C8D1DE">
            <w:pPr>
              <w:widowControl/>
              <w:ind w:left="-360" w:firstLine="360" w:firstLineChars="200"/>
              <w:rPr>
                <w:rFonts w:hint="eastAsia" w:ascii="宋体" w:hAnsi="宋体" w:cs="宋体"/>
                <w:sz w:val="18"/>
                <w:szCs w:val="18"/>
              </w:rPr>
            </w:pPr>
            <w:r>
              <w:rPr>
                <w:rFonts w:hint="eastAsia" w:ascii="宋体" w:hAnsi="宋体" w:cs="宋体"/>
                <w:sz w:val="18"/>
                <w:szCs w:val="18"/>
              </w:rPr>
              <w:t>项目推荐给投资人或孵化机构，帮</w:t>
            </w:r>
          </w:p>
          <w:p w14:paraId="28332E7A">
            <w:pPr>
              <w:widowControl/>
              <w:ind w:left="-360" w:firstLine="360" w:firstLineChars="200"/>
              <w:rPr>
                <w:rFonts w:hint="eastAsia" w:ascii="宋体" w:hAnsi="宋体" w:cs="宋体"/>
                <w:sz w:val="18"/>
                <w:szCs w:val="18"/>
              </w:rPr>
            </w:pPr>
            <w:r>
              <w:rPr>
                <w:rFonts w:hint="eastAsia" w:ascii="宋体" w:hAnsi="宋体" w:cs="宋体"/>
                <w:sz w:val="18"/>
                <w:szCs w:val="18"/>
              </w:rPr>
              <w:t>助学生实现创业梦想。</w:t>
            </w:r>
          </w:p>
          <w:p w14:paraId="704353F8">
            <w:pPr>
              <w:pStyle w:val="2"/>
              <w:ind w:firstLine="0" w:firstLineChars="0"/>
              <w:rPr>
                <w:rFonts w:hint="eastAsia" w:ascii="黑体" w:hAnsi="黑体" w:eastAsia="黑体" w:cs="黑体"/>
                <w:b/>
                <w:bCs/>
                <w:sz w:val="18"/>
                <w:szCs w:val="18"/>
                <w:lang w:val="en-US"/>
              </w:rPr>
            </w:pPr>
          </w:p>
        </w:tc>
      </w:tr>
      <w:tr w14:paraId="565B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7" w:hRule="atLeast"/>
        </w:trPr>
        <w:tc>
          <w:tcPr>
            <w:tcW w:w="2547" w:type="dxa"/>
          </w:tcPr>
          <w:p w14:paraId="1877D9DA">
            <w:pPr>
              <w:widowControl/>
              <w:ind w:left="-360" w:firstLine="360" w:firstLineChars="200"/>
              <w:rPr>
                <w:rFonts w:hint="eastAsia" w:ascii="宋体" w:hAnsi="宋体" w:cs="宋体"/>
                <w:sz w:val="18"/>
                <w:szCs w:val="18"/>
              </w:rPr>
            </w:pPr>
            <w:r>
              <w:rPr>
                <w:rFonts w:hint="eastAsia" w:ascii="宋体" w:hAnsi="宋体" w:cs="宋体"/>
                <w:sz w:val="18"/>
                <w:szCs w:val="18"/>
              </w:rPr>
              <w:t>物流专项竞赛，例如全国大学生物流设计大赛、全国高校商业精英挑战赛物流与供应链竞赛、物流管理挑战赛等</w:t>
            </w:r>
          </w:p>
        </w:tc>
        <w:tc>
          <w:tcPr>
            <w:tcW w:w="3145" w:type="dxa"/>
          </w:tcPr>
          <w:p w14:paraId="18275302">
            <w:pPr>
              <w:widowControl/>
              <w:ind w:left="-360" w:firstLine="360" w:firstLineChars="200"/>
              <w:rPr>
                <w:rFonts w:hint="eastAsia" w:ascii="宋体" w:hAnsi="宋体" w:cs="宋体"/>
                <w:sz w:val="18"/>
                <w:szCs w:val="18"/>
              </w:rPr>
            </w:pPr>
            <w:r>
              <w:rPr>
                <w:rFonts w:hint="eastAsia" w:ascii="宋体" w:hAnsi="宋体" w:cs="宋体"/>
                <w:sz w:val="18"/>
                <w:szCs w:val="18"/>
              </w:rPr>
              <w:t>竞赛过程中，学生们需要不断挖掘新的商业机会和创新点，挑战传统思维模式。与来自不同背景的团队竞争，利用所学物流相关知识能创新创宽意，拓创新视野。</w:t>
            </w:r>
          </w:p>
        </w:tc>
        <w:tc>
          <w:tcPr>
            <w:tcW w:w="2847" w:type="dxa"/>
          </w:tcPr>
          <w:p w14:paraId="54D003F6">
            <w:pPr>
              <w:widowControl/>
              <w:ind w:left="-360" w:firstLine="360" w:firstLineChars="200"/>
              <w:rPr>
                <w:rFonts w:hint="eastAsia" w:ascii="宋体" w:hAnsi="宋体" w:cs="宋体"/>
                <w:sz w:val="18"/>
                <w:szCs w:val="18"/>
              </w:rPr>
            </w:pPr>
            <w:r>
              <w:rPr>
                <w:rFonts w:hint="eastAsia" w:ascii="宋体" w:hAnsi="宋体" w:cs="宋体"/>
                <w:sz w:val="18"/>
                <w:szCs w:val="18"/>
              </w:rPr>
              <w:t>参加这些竞赛不仅可以锻炼学生的专业技能和团队协作能力，还可以提升学生的创新能力和解决实际问题的能力，为未来的职业发展打下坚实的基础。同时，这些竞赛也是学生获取荣誉、增加就业竞争力的重要途径</w:t>
            </w:r>
          </w:p>
        </w:tc>
      </w:tr>
    </w:tbl>
    <w:p w14:paraId="37C8B172">
      <w:pPr>
        <w:pStyle w:val="2"/>
        <w:ind w:firstLine="583" w:firstLineChars="278"/>
        <w:rPr>
          <w:rFonts w:hint="eastAsia"/>
          <w:lang w:val="en-US"/>
        </w:rPr>
      </w:pPr>
    </w:p>
    <w:p w14:paraId="3EB47637">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七、</w:t>
      </w:r>
      <w:bookmarkEnd w:id="60"/>
      <w:r>
        <w:rPr>
          <w:rFonts w:hint="eastAsia" w:eastAsia="黑体"/>
          <w:b/>
          <w:bCs/>
          <w:color w:val="000000"/>
          <w:kern w:val="44"/>
          <w:sz w:val="32"/>
          <w:szCs w:val="30"/>
        </w:rPr>
        <w:t>教学进程总体安排</w:t>
      </w:r>
    </w:p>
    <w:p w14:paraId="44A9DC44">
      <w:pPr>
        <w:ind w:firstLine="562" w:firstLineChars="200"/>
        <w:rPr>
          <w:rFonts w:ascii="Arial" w:hAnsi="Arial" w:eastAsia="黑体"/>
          <w:b/>
          <w:bCs/>
          <w:sz w:val="28"/>
          <w:szCs w:val="28"/>
        </w:rPr>
      </w:pPr>
      <w:bookmarkStart w:id="67" w:name="_Toc46303720"/>
      <w:r>
        <w:rPr>
          <w:rFonts w:hint="eastAsia" w:ascii="Arial" w:hAnsi="Arial" w:eastAsia="黑体"/>
          <w:b/>
          <w:bCs/>
          <w:sz w:val="28"/>
          <w:szCs w:val="28"/>
        </w:rPr>
        <w:t>（一）学时、学分安排</w:t>
      </w:r>
      <w:bookmarkEnd w:id="67"/>
    </w:p>
    <w:bookmarkEnd w:id="61"/>
    <w:p w14:paraId="0530A9A8">
      <w:pPr>
        <w:snapToGrid w:val="0"/>
        <w:spacing w:line="500" w:lineRule="exact"/>
        <w:ind w:firstLine="480" w:firstLineChars="200"/>
        <w:rPr>
          <w:rFonts w:ascii="Times New Roman" w:hAnsi="Times New Roman"/>
          <w:sz w:val="24"/>
          <w:szCs w:val="24"/>
        </w:rPr>
      </w:pPr>
      <w:bookmarkStart w:id="68" w:name="_Hlk45722221"/>
      <w:bookmarkStart w:id="69" w:name="_Toc46303723"/>
      <w:r>
        <w:rPr>
          <w:rFonts w:hint="eastAsia" w:ascii="Times New Roman" w:hAnsi="Times New Roman"/>
          <w:sz w:val="24"/>
          <w:szCs w:val="24"/>
        </w:rPr>
        <w:t>本专业总学时数为2572，</w:t>
      </w:r>
      <w:r>
        <w:rPr>
          <w:rFonts w:hint="eastAsia" w:ascii="Times New Roman" w:hAnsi="Times New Roman"/>
          <w:color w:val="000000"/>
          <w:sz w:val="24"/>
          <w:szCs w:val="24"/>
        </w:rPr>
        <w:t>学分149。其中公共基础课程47学分，专业基础课程24学分，专业核心课程24学分，专业拓展课程12学分，公共限选课程4学分，公共任选课程4学分，集中实践模块34学分。</w:t>
      </w:r>
    </w:p>
    <w:bookmarkEnd w:id="68"/>
    <w:p w14:paraId="3422E29B">
      <w:pPr>
        <w:keepNext/>
        <w:keepLines/>
        <w:spacing w:line="500" w:lineRule="exact"/>
        <w:outlineLvl w:val="0"/>
        <w:rPr>
          <w:rFonts w:eastAsia="黑体"/>
          <w:b/>
          <w:bCs/>
          <w:color w:val="000000"/>
          <w:kern w:val="44"/>
          <w:sz w:val="32"/>
          <w:szCs w:val="30"/>
        </w:rPr>
        <w:sectPr>
          <w:pgSz w:w="11906" w:h="16838"/>
          <w:pgMar w:top="1440" w:right="1800" w:bottom="1440" w:left="1800" w:header="851" w:footer="992" w:gutter="0"/>
          <w:cols w:space="425" w:num="1"/>
          <w:docGrid w:type="lines" w:linePitch="312" w:charSpace="0"/>
        </w:sectPr>
      </w:pPr>
    </w:p>
    <w:bookmarkEnd w:id="69"/>
    <w:p w14:paraId="2D4AE976">
      <w:pPr>
        <w:keepNext/>
        <w:keepLines/>
        <w:spacing w:line="500" w:lineRule="exact"/>
        <w:ind w:firstLine="560" w:firstLineChars="200"/>
        <w:outlineLvl w:val="1"/>
        <w:rPr>
          <w:rFonts w:ascii="Times New Roman" w:hAnsi="Times New Roman"/>
          <w:b/>
          <w:bCs/>
          <w:color w:val="000000"/>
          <w:sz w:val="24"/>
          <w:szCs w:val="24"/>
        </w:rPr>
      </w:pPr>
      <w:bookmarkStart w:id="70" w:name="_Toc46303721"/>
      <w:r>
        <w:rPr>
          <w:rFonts w:hint="eastAsia" w:ascii="Arial" w:hAnsi="Arial" w:eastAsia="黑体"/>
          <w:b/>
          <w:bCs/>
          <w:color w:val="000000"/>
          <w:sz w:val="28"/>
          <w:szCs w:val="28"/>
        </w:rPr>
        <w:t>（二）</w:t>
      </w:r>
      <w:bookmarkEnd w:id="70"/>
      <w:r>
        <w:rPr>
          <w:rFonts w:hint="eastAsia" w:ascii="Arial" w:hAnsi="Arial" w:eastAsia="黑体"/>
          <w:b/>
          <w:bCs/>
          <w:color w:val="000000"/>
          <w:sz w:val="28"/>
          <w:szCs w:val="28"/>
        </w:rPr>
        <w:t>课程设置总表</w:t>
      </w:r>
    </w:p>
    <w:p w14:paraId="039150CE">
      <w:pPr>
        <w:jc w:val="center"/>
        <w:rPr>
          <w:rFonts w:ascii="Times New Roman" w:hAnsi="Times New Roman"/>
          <w:b/>
          <w:bCs/>
          <w:color w:val="000000"/>
          <w:sz w:val="24"/>
          <w:szCs w:val="24"/>
        </w:rPr>
      </w:pPr>
      <w:r>
        <w:rPr>
          <w:rFonts w:hint="eastAsia" w:ascii="Times New Roman" w:hAnsi="Times New Roman"/>
          <w:b/>
          <w:bCs/>
          <w:color w:val="000000"/>
          <w:sz w:val="24"/>
          <w:szCs w:val="24"/>
        </w:rPr>
        <w:t>表9</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p w14:paraId="2C50D82A">
      <w:pPr>
        <w:jc w:val="center"/>
        <w:rPr>
          <w:rFonts w:ascii="Times New Roman" w:hAnsi="Times New Roman"/>
          <w:b/>
          <w:bCs/>
          <w:color w:val="000000"/>
          <w:sz w:val="24"/>
          <w:szCs w:val="24"/>
        </w:rPr>
      </w:pPr>
    </w:p>
    <w:tbl>
      <w:tblPr>
        <w:tblStyle w:val="24"/>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9"/>
        <w:gridCol w:w="568"/>
        <w:gridCol w:w="914"/>
        <w:gridCol w:w="1229"/>
        <w:gridCol w:w="2274"/>
        <w:gridCol w:w="711"/>
        <w:gridCol w:w="567"/>
        <w:gridCol w:w="567"/>
        <w:gridCol w:w="599"/>
        <w:gridCol w:w="775"/>
        <w:gridCol w:w="42"/>
        <w:gridCol w:w="576"/>
        <w:gridCol w:w="18"/>
        <w:gridCol w:w="96"/>
        <w:gridCol w:w="616"/>
        <w:gridCol w:w="46"/>
        <w:gridCol w:w="68"/>
        <w:gridCol w:w="649"/>
        <w:gridCol w:w="63"/>
        <w:gridCol w:w="644"/>
        <w:gridCol w:w="66"/>
        <w:gridCol w:w="646"/>
        <w:gridCol w:w="877"/>
      </w:tblGrid>
      <w:tr w14:paraId="11DF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14:paraId="18A20774">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2D533191">
            <w:pPr>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216" w:type="pct"/>
            <w:vMerge w:val="restart"/>
            <w:vAlign w:val="center"/>
          </w:tcPr>
          <w:p w14:paraId="7E4CABCC">
            <w:pPr>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815" w:type="pct"/>
            <w:gridSpan w:val="2"/>
            <w:vMerge w:val="restart"/>
            <w:vAlign w:val="center"/>
          </w:tcPr>
          <w:p w14:paraId="1DB70752">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024DB6BE">
            <w:pPr>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865" w:type="pct"/>
            <w:vMerge w:val="restart"/>
            <w:vAlign w:val="center"/>
          </w:tcPr>
          <w:p w14:paraId="7861E9FD">
            <w:pPr>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271" w:type="pct"/>
            <w:vMerge w:val="restart"/>
            <w:vAlign w:val="center"/>
          </w:tcPr>
          <w:p w14:paraId="7A4FA6FE">
            <w:pPr>
              <w:jc w:val="center"/>
              <w:rPr>
                <w:rFonts w:ascii="Times New Roman" w:hAnsi="Times New Roman"/>
                <w:color w:val="000000"/>
                <w:sz w:val="18"/>
                <w:szCs w:val="18"/>
              </w:rPr>
            </w:pPr>
            <w:r>
              <w:rPr>
                <w:rFonts w:hint="eastAsia" w:ascii="Times New Roman" w:hAnsi="Times New Roman"/>
                <w:color w:val="000000"/>
                <w:sz w:val="18"/>
                <w:szCs w:val="18"/>
              </w:rPr>
              <w:t>总学时</w:t>
            </w:r>
          </w:p>
        </w:tc>
        <w:tc>
          <w:tcPr>
            <w:tcW w:w="432" w:type="pct"/>
            <w:gridSpan w:val="2"/>
            <w:vAlign w:val="center"/>
          </w:tcPr>
          <w:p w14:paraId="314AF235">
            <w:pPr>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228" w:type="pct"/>
            <w:vMerge w:val="restart"/>
            <w:vAlign w:val="center"/>
          </w:tcPr>
          <w:p w14:paraId="24B1665B">
            <w:pPr>
              <w:jc w:val="center"/>
              <w:rPr>
                <w:rFonts w:ascii="Times New Roman" w:hAnsi="Times New Roman"/>
                <w:color w:val="000000"/>
                <w:sz w:val="18"/>
                <w:szCs w:val="18"/>
              </w:rPr>
            </w:pPr>
            <w:r>
              <w:rPr>
                <w:rFonts w:hint="eastAsia" w:ascii="Times New Roman" w:hAnsi="Times New Roman"/>
                <w:color w:val="000000"/>
                <w:sz w:val="18"/>
                <w:szCs w:val="18"/>
              </w:rPr>
              <w:t>学分</w:t>
            </w:r>
          </w:p>
          <w:p w14:paraId="7D92E07D">
            <w:pPr>
              <w:jc w:val="center"/>
              <w:rPr>
                <w:rFonts w:ascii="Times New Roman" w:hAnsi="Times New Roman"/>
                <w:color w:val="000000"/>
                <w:sz w:val="18"/>
                <w:szCs w:val="18"/>
              </w:rPr>
            </w:pPr>
            <w:r>
              <w:rPr>
                <w:rFonts w:hint="eastAsia" w:ascii="Times New Roman" w:hAnsi="Times New Roman"/>
                <w:color w:val="000000"/>
                <w:sz w:val="18"/>
                <w:szCs w:val="18"/>
              </w:rPr>
              <w:t>分数</w:t>
            </w:r>
          </w:p>
        </w:tc>
        <w:tc>
          <w:tcPr>
            <w:tcW w:w="1640" w:type="pct"/>
            <w:gridSpan w:val="13"/>
            <w:vAlign w:val="center"/>
          </w:tcPr>
          <w:p w14:paraId="46F77C12">
            <w:pPr>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335" w:type="pct"/>
            <w:vMerge w:val="restart"/>
            <w:vAlign w:val="center"/>
          </w:tcPr>
          <w:p w14:paraId="4ED345D7">
            <w:pPr>
              <w:jc w:val="center"/>
              <w:rPr>
                <w:rFonts w:ascii="Times New Roman" w:hAnsi="Times New Roman"/>
                <w:color w:val="000000"/>
                <w:sz w:val="18"/>
                <w:szCs w:val="18"/>
              </w:rPr>
            </w:pPr>
            <w:r>
              <w:rPr>
                <w:rFonts w:hint="eastAsia" w:ascii="Times New Roman" w:hAnsi="Times New Roman"/>
                <w:color w:val="000000"/>
                <w:sz w:val="18"/>
                <w:szCs w:val="18"/>
              </w:rPr>
              <w:t>备注</w:t>
            </w:r>
          </w:p>
        </w:tc>
      </w:tr>
      <w:tr w14:paraId="12C84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197" w:type="pct"/>
            <w:vMerge w:val="continue"/>
            <w:vAlign w:val="center"/>
          </w:tcPr>
          <w:p w14:paraId="1DE5860B">
            <w:pPr>
              <w:jc w:val="center"/>
              <w:rPr>
                <w:rFonts w:ascii="Times New Roman" w:hAnsi="Times New Roman"/>
                <w:color w:val="000000"/>
                <w:sz w:val="18"/>
                <w:szCs w:val="18"/>
              </w:rPr>
            </w:pPr>
          </w:p>
        </w:tc>
        <w:tc>
          <w:tcPr>
            <w:tcW w:w="216" w:type="pct"/>
            <w:vMerge w:val="continue"/>
            <w:vAlign w:val="center"/>
          </w:tcPr>
          <w:p w14:paraId="6E46206D">
            <w:pPr>
              <w:jc w:val="center"/>
              <w:rPr>
                <w:rFonts w:ascii="Times New Roman" w:hAnsi="Times New Roman"/>
                <w:color w:val="000000"/>
                <w:sz w:val="18"/>
                <w:szCs w:val="18"/>
              </w:rPr>
            </w:pPr>
          </w:p>
        </w:tc>
        <w:tc>
          <w:tcPr>
            <w:tcW w:w="815" w:type="pct"/>
            <w:gridSpan w:val="2"/>
            <w:vMerge w:val="continue"/>
            <w:vAlign w:val="center"/>
          </w:tcPr>
          <w:p w14:paraId="3E4B3231">
            <w:pPr>
              <w:jc w:val="center"/>
              <w:rPr>
                <w:rFonts w:ascii="Times New Roman" w:hAnsi="Times New Roman"/>
                <w:color w:val="000000"/>
                <w:sz w:val="18"/>
                <w:szCs w:val="18"/>
              </w:rPr>
            </w:pPr>
          </w:p>
        </w:tc>
        <w:tc>
          <w:tcPr>
            <w:tcW w:w="865" w:type="pct"/>
            <w:vMerge w:val="continue"/>
            <w:vAlign w:val="center"/>
          </w:tcPr>
          <w:p w14:paraId="6A8AE60B">
            <w:pPr>
              <w:jc w:val="center"/>
              <w:rPr>
                <w:rFonts w:ascii="Times New Roman" w:hAnsi="Times New Roman"/>
                <w:color w:val="000000"/>
                <w:sz w:val="18"/>
                <w:szCs w:val="18"/>
              </w:rPr>
            </w:pPr>
          </w:p>
        </w:tc>
        <w:tc>
          <w:tcPr>
            <w:tcW w:w="271" w:type="pct"/>
            <w:vMerge w:val="continue"/>
            <w:vAlign w:val="center"/>
          </w:tcPr>
          <w:p w14:paraId="5E1003F5">
            <w:pPr>
              <w:jc w:val="center"/>
              <w:rPr>
                <w:rFonts w:ascii="Times New Roman" w:hAnsi="Times New Roman"/>
                <w:color w:val="000000"/>
                <w:sz w:val="18"/>
                <w:szCs w:val="18"/>
              </w:rPr>
            </w:pPr>
          </w:p>
        </w:tc>
        <w:tc>
          <w:tcPr>
            <w:tcW w:w="216" w:type="pct"/>
            <w:vAlign w:val="center"/>
          </w:tcPr>
          <w:p w14:paraId="085E8591">
            <w:pPr>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216" w:type="pct"/>
            <w:vAlign w:val="center"/>
          </w:tcPr>
          <w:p w14:paraId="202F133D">
            <w:pPr>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228" w:type="pct"/>
            <w:vMerge w:val="continue"/>
            <w:vAlign w:val="center"/>
          </w:tcPr>
          <w:p w14:paraId="4EC64AC9">
            <w:pPr>
              <w:jc w:val="center"/>
              <w:rPr>
                <w:rFonts w:ascii="Times New Roman" w:hAnsi="Times New Roman"/>
                <w:color w:val="000000"/>
                <w:sz w:val="18"/>
                <w:szCs w:val="18"/>
              </w:rPr>
            </w:pPr>
          </w:p>
        </w:tc>
        <w:tc>
          <w:tcPr>
            <w:tcW w:w="295" w:type="pct"/>
            <w:vAlign w:val="center"/>
          </w:tcPr>
          <w:p w14:paraId="4534E1D5">
            <w:pPr>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279" w:type="pct"/>
            <w:gridSpan w:val="4"/>
            <w:vAlign w:val="center"/>
          </w:tcPr>
          <w:p w14:paraId="6F8C4AA8">
            <w:pPr>
              <w:ind w:firstLine="70" w:firstLineChars="50"/>
              <w:jc w:val="center"/>
              <w:rPr>
                <w:rFonts w:ascii="Times New Roman" w:hAnsi="Times New Roman"/>
                <w:color w:val="000000"/>
                <w:sz w:val="18"/>
                <w:szCs w:val="18"/>
              </w:rPr>
            </w:pPr>
            <w:r>
              <w:rPr>
                <w:rFonts w:hint="eastAsia" w:ascii="Times New Roman" w:hAnsi="Times New Roman"/>
                <w:color w:val="000000"/>
                <w:spacing w:val="-20"/>
                <w:sz w:val="18"/>
                <w:szCs w:val="18"/>
              </w:rPr>
              <w:t>二</w:t>
            </w:r>
          </w:p>
        </w:tc>
        <w:tc>
          <w:tcPr>
            <w:tcW w:w="252" w:type="pct"/>
            <w:gridSpan w:val="2"/>
            <w:vAlign w:val="center"/>
          </w:tcPr>
          <w:p w14:paraId="75C3646F">
            <w:pPr>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275" w:type="pct"/>
            <w:gridSpan w:val="2"/>
            <w:vAlign w:val="center"/>
          </w:tcPr>
          <w:p w14:paraId="589C8A23">
            <w:pPr>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269" w:type="pct"/>
            <w:gridSpan w:val="2"/>
            <w:vAlign w:val="center"/>
          </w:tcPr>
          <w:p w14:paraId="4A55D66F">
            <w:pPr>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271" w:type="pct"/>
            <w:gridSpan w:val="2"/>
            <w:vAlign w:val="center"/>
          </w:tcPr>
          <w:p w14:paraId="09882327">
            <w:pPr>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335" w:type="pct"/>
            <w:vMerge w:val="continue"/>
            <w:vAlign w:val="center"/>
          </w:tcPr>
          <w:p w14:paraId="2ACAFA83">
            <w:pPr>
              <w:jc w:val="center"/>
              <w:rPr>
                <w:rFonts w:ascii="Times New Roman" w:hAnsi="Times New Roman"/>
                <w:color w:val="000000"/>
                <w:sz w:val="18"/>
                <w:szCs w:val="18"/>
              </w:rPr>
            </w:pPr>
          </w:p>
        </w:tc>
      </w:tr>
      <w:tr w14:paraId="2E700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14:paraId="1E645456">
            <w:pPr>
              <w:jc w:val="center"/>
              <w:rPr>
                <w:rFonts w:ascii="Times New Roman" w:hAnsi="Times New Roman"/>
                <w:color w:val="000000"/>
                <w:sz w:val="18"/>
                <w:szCs w:val="18"/>
              </w:rPr>
            </w:pPr>
            <w:r>
              <w:rPr>
                <w:rFonts w:hint="eastAsia" w:ascii="Times New Roman" w:hAnsi="Times New Roman"/>
                <w:color w:val="000000"/>
                <w:sz w:val="18"/>
                <w:szCs w:val="18"/>
              </w:rPr>
              <w:t>平台必修课程</w:t>
            </w:r>
          </w:p>
        </w:tc>
        <w:tc>
          <w:tcPr>
            <w:tcW w:w="216" w:type="pct"/>
            <w:vMerge w:val="restart"/>
            <w:vAlign w:val="center"/>
          </w:tcPr>
          <w:p w14:paraId="3299BFAA">
            <w:pPr>
              <w:jc w:val="center"/>
              <w:rPr>
                <w:rFonts w:ascii="Times New Roman" w:hAnsi="Times New Roman"/>
                <w:color w:val="000000"/>
                <w:sz w:val="18"/>
                <w:szCs w:val="18"/>
              </w:rPr>
            </w:pPr>
            <w:r>
              <w:rPr>
                <w:rFonts w:hint="eastAsia" w:ascii="Times New Roman" w:hAnsi="Times New Roman"/>
                <w:color w:val="000000"/>
                <w:sz w:val="18"/>
                <w:szCs w:val="18"/>
              </w:rPr>
              <w:t>公共必修课程</w:t>
            </w:r>
          </w:p>
        </w:tc>
        <w:tc>
          <w:tcPr>
            <w:tcW w:w="815" w:type="pct"/>
            <w:gridSpan w:val="2"/>
            <w:vAlign w:val="center"/>
          </w:tcPr>
          <w:p w14:paraId="7EF4C3DE">
            <w:pPr>
              <w:jc w:val="center"/>
              <w:rPr>
                <w:rFonts w:ascii="Times New Roman" w:hAnsi="Times New Roman" w:eastAsia="微软雅黑"/>
                <w:color w:val="000000"/>
                <w:spacing w:val="-20"/>
                <w:sz w:val="20"/>
                <w:szCs w:val="20"/>
              </w:rPr>
            </w:pPr>
            <w:r>
              <w:rPr>
                <w:rFonts w:hint="eastAsia" w:ascii="微软雅黑" w:hAnsi="微软雅黑" w:eastAsia="微软雅黑"/>
                <w:color w:val="333333"/>
                <w:sz w:val="18"/>
                <w:szCs w:val="18"/>
              </w:rPr>
              <w:t>GG111031</w:t>
            </w:r>
          </w:p>
        </w:tc>
        <w:tc>
          <w:tcPr>
            <w:tcW w:w="865" w:type="pct"/>
            <w:vAlign w:val="center"/>
          </w:tcPr>
          <w:p w14:paraId="5257C5C5">
            <w:pPr>
              <w:jc w:val="center"/>
              <w:rPr>
                <w:rFonts w:ascii="Times New Roman" w:hAnsi="Times New Roman"/>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思想道德与法治</w:t>
            </w:r>
          </w:p>
        </w:tc>
        <w:tc>
          <w:tcPr>
            <w:tcW w:w="271" w:type="pct"/>
            <w:vAlign w:val="center"/>
          </w:tcPr>
          <w:p w14:paraId="66BC7618">
            <w:pPr>
              <w:jc w:val="center"/>
              <w:rPr>
                <w:rFonts w:ascii="Times New Roman" w:hAnsi="Times New Roman"/>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48</w:t>
            </w:r>
          </w:p>
        </w:tc>
        <w:tc>
          <w:tcPr>
            <w:tcW w:w="216" w:type="pct"/>
            <w:vAlign w:val="center"/>
          </w:tcPr>
          <w:p w14:paraId="4252CD95">
            <w:pPr>
              <w:jc w:val="center"/>
              <w:rPr>
                <w:rFonts w:ascii="Times New Roman" w:hAnsi="Times New Roman"/>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32</w:t>
            </w:r>
          </w:p>
        </w:tc>
        <w:tc>
          <w:tcPr>
            <w:tcW w:w="216" w:type="pct"/>
            <w:vAlign w:val="center"/>
          </w:tcPr>
          <w:p w14:paraId="31F51859">
            <w:pPr>
              <w:jc w:val="center"/>
              <w:rPr>
                <w:rFonts w:ascii="Times New Roman" w:hAnsi="Times New Roman"/>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16</w:t>
            </w:r>
          </w:p>
        </w:tc>
        <w:tc>
          <w:tcPr>
            <w:tcW w:w="228" w:type="pct"/>
            <w:vAlign w:val="center"/>
          </w:tcPr>
          <w:p w14:paraId="28985DA0">
            <w:pPr>
              <w:jc w:val="center"/>
              <w:rPr>
                <w:rFonts w:ascii="Times New Roman" w:hAnsi="Times New Roman"/>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3</w:t>
            </w:r>
          </w:p>
        </w:tc>
        <w:tc>
          <w:tcPr>
            <w:tcW w:w="295" w:type="pct"/>
            <w:vAlign w:val="center"/>
          </w:tcPr>
          <w:p w14:paraId="60374A73">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279" w:type="pct"/>
            <w:gridSpan w:val="4"/>
            <w:vAlign w:val="center"/>
          </w:tcPr>
          <w:p w14:paraId="68958B75">
            <w:pPr>
              <w:jc w:val="center"/>
              <w:rPr>
                <w:rFonts w:ascii="Times New Roman" w:hAnsi="Times New Roman"/>
                <w:color w:val="000000" w:themeColor="text1"/>
                <w:spacing w:val="-20"/>
                <w:sz w:val="18"/>
                <w:szCs w:val="18"/>
                <w14:textFill>
                  <w14:solidFill>
                    <w14:schemeClr w14:val="tx1"/>
                  </w14:solidFill>
                </w14:textFill>
              </w:rPr>
            </w:pPr>
          </w:p>
        </w:tc>
        <w:tc>
          <w:tcPr>
            <w:tcW w:w="252" w:type="pct"/>
            <w:gridSpan w:val="2"/>
            <w:vAlign w:val="center"/>
          </w:tcPr>
          <w:p w14:paraId="4E72ED4F">
            <w:pPr>
              <w:rPr>
                <w:rFonts w:ascii="Times New Roman" w:hAnsi="Times New Roman"/>
                <w:color w:val="000000" w:themeColor="text1"/>
                <w:spacing w:val="-20"/>
                <w:sz w:val="18"/>
                <w:szCs w:val="18"/>
                <w14:textFill>
                  <w14:solidFill>
                    <w14:schemeClr w14:val="tx1"/>
                  </w14:solidFill>
                </w14:textFill>
              </w:rPr>
            </w:pPr>
          </w:p>
        </w:tc>
        <w:tc>
          <w:tcPr>
            <w:tcW w:w="275" w:type="pct"/>
            <w:gridSpan w:val="2"/>
            <w:vAlign w:val="center"/>
          </w:tcPr>
          <w:p w14:paraId="299B763A">
            <w:pPr>
              <w:jc w:val="center"/>
              <w:rPr>
                <w:rFonts w:ascii="Times New Roman" w:hAnsi="Times New Roman"/>
                <w:color w:val="000000" w:themeColor="text1"/>
                <w:spacing w:val="-20"/>
                <w:sz w:val="18"/>
                <w:szCs w:val="18"/>
                <w14:textFill>
                  <w14:solidFill>
                    <w14:schemeClr w14:val="tx1"/>
                  </w14:solidFill>
                </w14:textFill>
              </w:rPr>
            </w:pPr>
          </w:p>
        </w:tc>
        <w:tc>
          <w:tcPr>
            <w:tcW w:w="269" w:type="pct"/>
            <w:gridSpan w:val="2"/>
            <w:vAlign w:val="center"/>
          </w:tcPr>
          <w:p w14:paraId="0E159BF9">
            <w:pPr>
              <w:jc w:val="center"/>
              <w:rPr>
                <w:rFonts w:ascii="Times New Roman" w:hAnsi="Times New Roman"/>
                <w:color w:val="000000" w:themeColor="text1"/>
                <w:spacing w:val="-20"/>
                <w:sz w:val="18"/>
                <w:szCs w:val="18"/>
                <w14:textFill>
                  <w14:solidFill>
                    <w14:schemeClr w14:val="tx1"/>
                  </w14:solidFill>
                </w14:textFill>
              </w:rPr>
            </w:pPr>
          </w:p>
        </w:tc>
        <w:tc>
          <w:tcPr>
            <w:tcW w:w="271" w:type="pct"/>
            <w:gridSpan w:val="2"/>
            <w:vAlign w:val="center"/>
          </w:tcPr>
          <w:p w14:paraId="6495BEDE">
            <w:pPr>
              <w:autoSpaceDE w:val="0"/>
              <w:autoSpaceDN w:val="0"/>
              <w:jc w:val="center"/>
              <w:rPr>
                <w:rFonts w:ascii="Times New Roman" w:hAnsi="Times New Roman"/>
                <w:color w:val="000000" w:themeColor="text1"/>
                <w:spacing w:val="-20"/>
                <w:sz w:val="18"/>
                <w:szCs w:val="18"/>
                <w14:textFill>
                  <w14:solidFill>
                    <w14:schemeClr w14:val="tx1"/>
                  </w14:solidFill>
                </w14:textFill>
              </w:rPr>
            </w:pPr>
          </w:p>
        </w:tc>
        <w:tc>
          <w:tcPr>
            <w:tcW w:w="335" w:type="pct"/>
            <w:vAlign w:val="center"/>
          </w:tcPr>
          <w:p w14:paraId="45E717DC">
            <w:pPr>
              <w:autoSpaceDE w:val="0"/>
              <w:autoSpaceDN w:val="0"/>
              <w:jc w:val="center"/>
              <w:rPr>
                <w:rFonts w:ascii="Times New Roman" w:hAnsi="Times New Roman"/>
                <w:b/>
                <w:color w:val="000000" w:themeColor="text1"/>
                <w:spacing w:val="-20"/>
                <w:sz w:val="18"/>
                <w:szCs w:val="18"/>
                <w14:textFill>
                  <w14:solidFill>
                    <w14:schemeClr w14:val="tx1"/>
                  </w14:solidFill>
                </w14:textFill>
              </w:rPr>
            </w:pPr>
            <w:r>
              <w:rPr>
                <w:rFonts w:hint="eastAsia" w:ascii="Times New Roman" w:hAnsi="Times New Roman"/>
                <w:bCs/>
                <w:color w:val="000000" w:themeColor="text1"/>
                <w:spacing w:val="-20"/>
                <w:sz w:val="18"/>
                <w:szCs w:val="18"/>
                <w14:textFill>
                  <w14:solidFill>
                    <w14:schemeClr w14:val="tx1"/>
                  </w14:solidFill>
                </w14:textFill>
              </w:rPr>
              <w:t>2、3学期为实践课</w:t>
            </w:r>
          </w:p>
        </w:tc>
      </w:tr>
      <w:tr w14:paraId="550B0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47897B5A">
            <w:pPr>
              <w:jc w:val="center"/>
              <w:rPr>
                <w:rFonts w:ascii="Times New Roman" w:hAnsi="Times New Roman"/>
                <w:bCs/>
                <w:color w:val="000000"/>
                <w:sz w:val="24"/>
                <w:szCs w:val="24"/>
              </w:rPr>
            </w:pPr>
          </w:p>
        </w:tc>
        <w:tc>
          <w:tcPr>
            <w:tcW w:w="216" w:type="pct"/>
            <w:vMerge w:val="continue"/>
            <w:vAlign w:val="center"/>
          </w:tcPr>
          <w:p w14:paraId="5C0EB730">
            <w:pPr>
              <w:autoSpaceDE w:val="0"/>
              <w:autoSpaceDN w:val="0"/>
              <w:jc w:val="center"/>
              <w:rPr>
                <w:rFonts w:ascii="Times New Roman" w:hAnsi="Times New Roman"/>
                <w:bCs/>
                <w:color w:val="000000"/>
                <w:sz w:val="24"/>
                <w:szCs w:val="24"/>
              </w:rPr>
            </w:pPr>
          </w:p>
        </w:tc>
        <w:tc>
          <w:tcPr>
            <w:tcW w:w="815" w:type="pct"/>
            <w:gridSpan w:val="2"/>
            <w:vAlign w:val="center"/>
          </w:tcPr>
          <w:p w14:paraId="2D13310F">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GG111002</w:t>
            </w:r>
          </w:p>
        </w:tc>
        <w:tc>
          <w:tcPr>
            <w:tcW w:w="865" w:type="pct"/>
            <w:vAlign w:val="center"/>
          </w:tcPr>
          <w:p w14:paraId="44A7AFEF">
            <w:pPr>
              <w:jc w:val="center"/>
              <w:rPr>
                <w:rFonts w:ascii="Times New Roman" w:hAnsi="Times New Roman"/>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毛泽东思想和中国特色社会主义理论体系概论</w:t>
            </w:r>
          </w:p>
        </w:tc>
        <w:tc>
          <w:tcPr>
            <w:tcW w:w="271" w:type="pct"/>
            <w:vAlign w:val="center"/>
          </w:tcPr>
          <w:p w14:paraId="2A738891">
            <w:pPr>
              <w:jc w:val="center"/>
              <w:rPr>
                <w:rFonts w:ascii="Times New Roman" w:hAnsi="Times New Roman"/>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32</w:t>
            </w:r>
          </w:p>
        </w:tc>
        <w:tc>
          <w:tcPr>
            <w:tcW w:w="216" w:type="pct"/>
            <w:vAlign w:val="center"/>
          </w:tcPr>
          <w:p w14:paraId="740C2584">
            <w:pPr>
              <w:jc w:val="center"/>
              <w:rPr>
                <w:rFonts w:ascii="Times New Roman" w:hAnsi="Times New Roman"/>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28</w:t>
            </w:r>
          </w:p>
        </w:tc>
        <w:tc>
          <w:tcPr>
            <w:tcW w:w="216" w:type="pct"/>
            <w:vAlign w:val="center"/>
          </w:tcPr>
          <w:p w14:paraId="401F344B">
            <w:pPr>
              <w:jc w:val="center"/>
              <w:rPr>
                <w:rFonts w:ascii="Times New Roman" w:hAnsi="Times New Roman"/>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4</w:t>
            </w:r>
          </w:p>
        </w:tc>
        <w:tc>
          <w:tcPr>
            <w:tcW w:w="228" w:type="pct"/>
            <w:vAlign w:val="center"/>
          </w:tcPr>
          <w:p w14:paraId="6F1D3373">
            <w:pPr>
              <w:jc w:val="center"/>
              <w:rPr>
                <w:rFonts w:ascii="Times New Roman" w:hAnsi="Times New Roman"/>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2</w:t>
            </w:r>
          </w:p>
        </w:tc>
        <w:tc>
          <w:tcPr>
            <w:tcW w:w="295" w:type="pct"/>
            <w:vAlign w:val="center"/>
          </w:tcPr>
          <w:p w14:paraId="0A9C9EA9">
            <w:pPr>
              <w:jc w:val="center"/>
              <w:rPr>
                <w:rFonts w:ascii="Times New Roman" w:hAnsi="Times New Roman"/>
                <w:color w:val="000000" w:themeColor="text1"/>
                <w:spacing w:val="-20"/>
                <w:sz w:val="18"/>
                <w:szCs w:val="18"/>
                <w14:textFill>
                  <w14:solidFill>
                    <w14:schemeClr w14:val="tx1"/>
                  </w14:solidFill>
                </w14:textFill>
              </w:rPr>
            </w:pPr>
          </w:p>
        </w:tc>
        <w:tc>
          <w:tcPr>
            <w:tcW w:w="279" w:type="pct"/>
            <w:gridSpan w:val="4"/>
            <w:vAlign w:val="center"/>
          </w:tcPr>
          <w:p w14:paraId="10CF5149">
            <w:pPr>
              <w:jc w:val="center"/>
              <w:rPr>
                <w:rFonts w:ascii="Times New Roman" w:hAnsi="Times New Roman"/>
                <w:color w:val="000000" w:themeColor="text1"/>
                <w:spacing w:val="-20"/>
                <w:sz w:val="18"/>
                <w:szCs w:val="18"/>
                <w14:textFill>
                  <w14:solidFill>
                    <w14:schemeClr w14:val="tx1"/>
                  </w14:solidFill>
                </w14:textFill>
              </w:rPr>
            </w:pPr>
          </w:p>
        </w:tc>
        <w:tc>
          <w:tcPr>
            <w:tcW w:w="252" w:type="pct"/>
            <w:gridSpan w:val="2"/>
            <w:vAlign w:val="center"/>
          </w:tcPr>
          <w:p w14:paraId="42B17409">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w:t>
            </w:r>
          </w:p>
        </w:tc>
        <w:tc>
          <w:tcPr>
            <w:tcW w:w="275" w:type="pct"/>
            <w:gridSpan w:val="2"/>
            <w:vAlign w:val="center"/>
          </w:tcPr>
          <w:p w14:paraId="2697E870">
            <w:pPr>
              <w:jc w:val="center"/>
              <w:rPr>
                <w:rFonts w:ascii="Times New Roman" w:hAnsi="Times New Roman"/>
                <w:color w:val="000000" w:themeColor="text1"/>
                <w:spacing w:val="-20"/>
                <w:sz w:val="18"/>
                <w:szCs w:val="18"/>
                <w14:textFill>
                  <w14:solidFill>
                    <w14:schemeClr w14:val="tx1"/>
                  </w14:solidFill>
                </w14:textFill>
              </w:rPr>
            </w:pPr>
          </w:p>
        </w:tc>
        <w:tc>
          <w:tcPr>
            <w:tcW w:w="269" w:type="pct"/>
            <w:gridSpan w:val="2"/>
            <w:vAlign w:val="center"/>
          </w:tcPr>
          <w:p w14:paraId="36B63266">
            <w:pPr>
              <w:jc w:val="center"/>
              <w:rPr>
                <w:rFonts w:ascii="Times New Roman" w:hAnsi="Times New Roman"/>
                <w:color w:val="000000" w:themeColor="text1"/>
                <w:spacing w:val="-20"/>
                <w:sz w:val="18"/>
                <w:szCs w:val="18"/>
                <w14:textFill>
                  <w14:solidFill>
                    <w14:schemeClr w14:val="tx1"/>
                  </w14:solidFill>
                </w14:textFill>
              </w:rPr>
            </w:pPr>
          </w:p>
        </w:tc>
        <w:tc>
          <w:tcPr>
            <w:tcW w:w="271" w:type="pct"/>
            <w:gridSpan w:val="2"/>
            <w:vAlign w:val="center"/>
          </w:tcPr>
          <w:p w14:paraId="5571CA94">
            <w:pPr>
              <w:autoSpaceDE w:val="0"/>
              <w:autoSpaceDN w:val="0"/>
              <w:jc w:val="center"/>
              <w:rPr>
                <w:rFonts w:ascii="Times New Roman" w:hAnsi="Times New Roman"/>
                <w:color w:val="000000" w:themeColor="text1"/>
                <w:spacing w:val="-20"/>
                <w:sz w:val="18"/>
                <w:szCs w:val="18"/>
                <w14:textFill>
                  <w14:solidFill>
                    <w14:schemeClr w14:val="tx1"/>
                  </w14:solidFill>
                </w14:textFill>
              </w:rPr>
            </w:pPr>
          </w:p>
        </w:tc>
        <w:tc>
          <w:tcPr>
            <w:tcW w:w="335" w:type="pct"/>
            <w:vAlign w:val="center"/>
          </w:tcPr>
          <w:p w14:paraId="556538C0">
            <w:pPr>
              <w:autoSpaceDE w:val="0"/>
              <w:autoSpaceDN w:val="0"/>
              <w:jc w:val="center"/>
              <w:rPr>
                <w:rFonts w:ascii="Times New Roman" w:hAnsi="Times New Roman"/>
                <w:color w:val="000000" w:themeColor="text1"/>
                <w:spacing w:val="-20"/>
                <w:sz w:val="18"/>
                <w:szCs w:val="18"/>
                <w14:textFill>
                  <w14:solidFill>
                    <w14:schemeClr w14:val="tx1"/>
                  </w14:solidFill>
                </w14:textFill>
              </w:rPr>
            </w:pPr>
          </w:p>
        </w:tc>
      </w:tr>
      <w:tr w14:paraId="5608B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42AFD3E8">
            <w:pPr>
              <w:jc w:val="center"/>
              <w:rPr>
                <w:rFonts w:ascii="Times New Roman" w:hAnsi="Times New Roman"/>
                <w:bCs/>
                <w:color w:val="000000"/>
                <w:sz w:val="24"/>
                <w:szCs w:val="24"/>
              </w:rPr>
            </w:pPr>
          </w:p>
        </w:tc>
        <w:tc>
          <w:tcPr>
            <w:tcW w:w="216" w:type="pct"/>
            <w:vMerge w:val="continue"/>
            <w:vAlign w:val="center"/>
          </w:tcPr>
          <w:p w14:paraId="5443EE88">
            <w:pPr>
              <w:autoSpaceDE w:val="0"/>
              <w:autoSpaceDN w:val="0"/>
              <w:jc w:val="center"/>
              <w:rPr>
                <w:rFonts w:ascii="Times New Roman" w:hAnsi="Times New Roman"/>
                <w:bCs/>
                <w:color w:val="000000"/>
                <w:sz w:val="24"/>
                <w:szCs w:val="24"/>
              </w:rPr>
            </w:pPr>
          </w:p>
        </w:tc>
        <w:tc>
          <w:tcPr>
            <w:tcW w:w="815" w:type="pct"/>
            <w:gridSpan w:val="2"/>
            <w:vAlign w:val="center"/>
          </w:tcPr>
          <w:p w14:paraId="2E645411">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GG111029</w:t>
            </w:r>
          </w:p>
        </w:tc>
        <w:tc>
          <w:tcPr>
            <w:tcW w:w="865" w:type="pct"/>
            <w:vAlign w:val="center"/>
          </w:tcPr>
          <w:p w14:paraId="05371A69">
            <w:pPr>
              <w:jc w:val="center"/>
              <w:rPr>
                <w:rFonts w:ascii="Times New Roman" w:hAnsi="Times New Roman"/>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习近平新时代中国特色社会主义思想概论（一）</w:t>
            </w:r>
          </w:p>
        </w:tc>
        <w:tc>
          <w:tcPr>
            <w:tcW w:w="271" w:type="pct"/>
            <w:vAlign w:val="center"/>
          </w:tcPr>
          <w:p w14:paraId="78B27431">
            <w:pPr>
              <w:jc w:val="center"/>
              <w:rPr>
                <w:rFonts w:ascii="Times New Roman" w:hAnsi="Times New Roman"/>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24</w:t>
            </w:r>
          </w:p>
        </w:tc>
        <w:tc>
          <w:tcPr>
            <w:tcW w:w="216" w:type="pct"/>
            <w:vAlign w:val="center"/>
          </w:tcPr>
          <w:p w14:paraId="3E732BA0">
            <w:pPr>
              <w:jc w:val="center"/>
              <w:rPr>
                <w:rFonts w:ascii="Times New Roman" w:hAnsi="Times New Roman"/>
                <w:color w:val="000000" w:themeColor="text1"/>
                <w:spacing w:val="-20"/>
                <w:sz w:val="18"/>
                <w:szCs w:val="18"/>
                <w14:textFill>
                  <w14:solidFill>
                    <w14:schemeClr w14:val="tx1"/>
                  </w14:solidFill>
                </w14:textFill>
              </w:rPr>
            </w:pPr>
            <w:r>
              <w:rPr>
                <w:rFonts w:ascii="宋体" w:hAnsi="宋体" w:cs="宋体"/>
                <w:color w:val="000000" w:themeColor="text1"/>
                <w:spacing w:val="-20"/>
                <w:sz w:val="18"/>
                <w:szCs w:val="18"/>
                <w14:textFill>
                  <w14:solidFill>
                    <w14:schemeClr w14:val="tx1"/>
                  </w14:solidFill>
                </w14:textFill>
              </w:rPr>
              <w:t>20</w:t>
            </w:r>
          </w:p>
        </w:tc>
        <w:tc>
          <w:tcPr>
            <w:tcW w:w="216" w:type="pct"/>
            <w:vAlign w:val="center"/>
          </w:tcPr>
          <w:p w14:paraId="108C0F3B">
            <w:pPr>
              <w:jc w:val="center"/>
              <w:rPr>
                <w:rFonts w:ascii="Times New Roman" w:hAnsi="Times New Roman"/>
                <w:color w:val="000000" w:themeColor="text1"/>
                <w:spacing w:val="-20"/>
                <w:sz w:val="18"/>
                <w:szCs w:val="18"/>
                <w14:textFill>
                  <w14:solidFill>
                    <w14:schemeClr w14:val="tx1"/>
                  </w14:solidFill>
                </w14:textFill>
              </w:rPr>
            </w:pPr>
            <w:r>
              <w:rPr>
                <w:rFonts w:ascii="宋体" w:hAnsi="宋体" w:cs="宋体"/>
                <w:color w:val="000000" w:themeColor="text1"/>
                <w:spacing w:val="-20"/>
                <w:sz w:val="18"/>
                <w:szCs w:val="18"/>
                <w14:textFill>
                  <w14:solidFill>
                    <w14:schemeClr w14:val="tx1"/>
                  </w14:solidFill>
                </w14:textFill>
              </w:rPr>
              <w:t>4</w:t>
            </w:r>
          </w:p>
        </w:tc>
        <w:tc>
          <w:tcPr>
            <w:tcW w:w="228" w:type="pct"/>
            <w:vAlign w:val="center"/>
          </w:tcPr>
          <w:p w14:paraId="46DA5871">
            <w:pPr>
              <w:jc w:val="center"/>
              <w:rPr>
                <w:rFonts w:ascii="Times New Roman" w:hAnsi="Times New Roman"/>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1.5</w:t>
            </w:r>
          </w:p>
        </w:tc>
        <w:tc>
          <w:tcPr>
            <w:tcW w:w="295" w:type="pct"/>
            <w:vAlign w:val="center"/>
          </w:tcPr>
          <w:p w14:paraId="448B0082">
            <w:pPr>
              <w:jc w:val="center"/>
              <w:rPr>
                <w:rFonts w:ascii="Times New Roman" w:hAnsi="Times New Roman"/>
                <w:color w:val="000000" w:themeColor="text1"/>
                <w:spacing w:val="-20"/>
                <w:sz w:val="18"/>
                <w:szCs w:val="18"/>
                <w14:textFill>
                  <w14:solidFill>
                    <w14:schemeClr w14:val="tx1"/>
                  </w14:solidFill>
                </w14:textFill>
              </w:rPr>
            </w:pPr>
          </w:p>
        </w:tc>
        <w:tc>
          <w:tcPr>
            <w:tcW w:w="279" w:type="pct"/>
            <w:gridSpan w:val="4"/>
            <w:vAlign w:val="center"/>
          </w:tcPr>
          <w:p w14:paraId="6705EEB1">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252" w:type="pct"/>
            <w:gridSpan w:val="2"/>
            <w:vAlign w:val="center"/>
          </w:tcPr>
          <w:p w14:paraId="08F94EFE">
            <w:pPr>
              <w:jc w:val="center"/>
              <w:rPr>
                <w:rFonts w:ascii="Times New Roman" w:hAnsi="Times New Roman"/>
                <w:color w:val="000000" w:themeColor="text1"/>
                <w:spacing w:val="-20"/>
                <w:sz w:val="18"/>
                <w:szCs w:val="18"/>
                <w14:textFill>
                  <w14:solidFill>
                    <w14:schemeClr w14:val="tx1"/>
                  </w14:solidFill>
                </w14:textFill>
              </w:rPr>
            </w:pPr>
          </w:p>
        </w:tc>
        <w:tc>
          <w:tcPr>
            <w:tcW w:w="275" w:type="pct"/>
            <w:gridSpan w:val="2"/>
            <w:vAlign w:val="center"/>
          </w:tcPr>
          <w:p w14:paraId="2278FF11">
            <w:pPr>
              <w:jc w:val="center"/>
              <w:rPr>
                <w:rFonts w:ascii="Times New Roman" w:hAnsi="Times New Roman"/>
                <w:color w:val="000000" w:themeColor="text1"/>
                <w:spacing w:val="-20"/>
                <w:sz w:val="18"/>
                <w:szCs w:val="18"/>
                <w14:textFill>
                  <w14:solidFill>
                    <w14:schemeClr w14:val="tx1"/>
                  </w14:solidFill>
                </w14:textFill>
              </w:rPr>
            </w:pPr>
          </w:p>
        </w:tc>
        <w:tc>
          <w:tcPr>
            <w:tcW w:w="269" w:type="pct"/>
            <w:gridSpan w:val="2"/>
            <w:vAlign w:val="center"/>
          </w:tcPr>
          <w:p w14:paraId="32CFF224">
            <w:pPr>
              <w:jc w:val="center"/>
              <w:rPr>
                <w:rFonts w:ascii="Times New Roman" w:hAnsi="Times New Roman"/>
                <w:color w:val="000000" w:themeColor="text1"/>
                <w:spacing w:val="-20"/>
                <w:sz w:val="18"/>
                <w:szCs w:val="18"/>
                <w14:textFill>
                  <w14:solidFill>
                    <w14:schemeClr w14:val="tx1"/>
                  </w14:solidFill>
                </w14:textFill>
              </w:rPr>
            </w:pPr>
          </w:p>
        </w:tc>
        <w:tc>
          <w:tcPr>
            <w:tcW w:w="271" w:type="pct"/>
            <w:gridSpan w:val="2"/>
            <w:vAlign w:val="center"/>
          </w:tcPr>
          <w:p w14:paraId="7CCC8C77">
            <w:pPr>
              <w:autoSpaceDE w:val="0"/>
              <w:autoSpaceDN w:val="0"/>
              <w:jc w:val="center"/>
              <w:rPr>
                <w:rFonts w:ascii="Times New Roman" w:hAnsi="Times New Roman"/>
                <w:color w:val="000000" w:themeColor="text1"/>
                <w:spacing w:val="-20"/>
                <w:sz w:val="18"/>
                <w:szCs w:val="18"/>
                <w14:textFill>
                  <w14:solidFill>
                    <w14:schemeClr w14:val="tx1"/>
                  </w14:solidFill>
                </w14:textFill>
              </w:rPr>
            </w:pPr>
          </w:p>
        </w:tc>
        <w:tc>
          <w:tcPr>
            <w:tcW w:w="335" w:type="pct"/>
            <w:vAlign w:val="center"/>
          </w:tcPr>
          <w:p w14:paraId="55DC456C">
            <w:pPr>
              <w:autoSpaceDE w:val="0"/>
              <w:autoSpaceDN w:val="0"/>
              <w:jc w:val="center"/>
              <w:rPr>
                <w:rFonts w:ascii="Times New Roman" w:hAnsi="Times New Roman"/>
                <w:color w:val="000000" w:themeColor="text1"/>
                <w:spacing w:val="-20"/>
                <w:sz w:val="18"/>
                <w:szCs w:val="18"/>
                <w14:textFill>
                  <w14:solidFill>
                    <w14:schemeClr w14:val="tx1"/>
                  </w14:solidFill>
                </w14:textFill>
              </w:rPr>
            </w:pPr>
          </w:p>
        </w:tc>
      </w:tr>
      <w:tr w14:paraId="12FFC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jc w:val="center"/>
        </w:trPr>
        <w:tc>
          <w:tcPr>
            <w:tcW w:w="197" w:type="pct"/>
            <w:vMerge w:val="continue"/>
            <w:vAlign w:val="center"/>
          </w:tcPr>
          <w:p w14:paraId="34F8BA6A">
            <w:pPr>
              <w:jc w:val="center"/>
              <w:rPr>
                <w:rFonts w:ascii="Times New Roman" w:hAnsi="Times New Roman"/>
                <w:bCs/>
                <w:color w:val="000000"/>
                <w:sz w:val="24"/>
                <w:szCs w:val="24"/>
              </w:rPr>
            </w:pPr>
          </w:p>
        </w:tc>
        <w:tc>
          <w:tcPr>
            <w:tcW w:w="216" w:type="pct"/>
            <w:vMerge w:val="continue"/>
            <w:vAlign w:val="center"/>
          </w:tcPr>
          <w:p w14:paraId="34D65CF0">
            <w:pPr>
              <w:autoSpaceDE w:val="0"/>
              <w:autoSpaceDN w:val="0"/>
              <w:jc w:val="center"/>
              <w:rPr>
                <w:rFonts w:ascii="Times New Roman" w:hAnsi="Times New Roman"/>
                <w:bCs/>
                <w:color w:val="000000"/>
                <w:sz w:val="24"/>
                <w:szCs w:val="24"/>
              </w:rPr>
            </w:pPr>
          </w:p>
        </w:tc>
        <w:tc>
          <w:tcPr>
            <w:tcW w:w="815" w:type="pct"/>
            <w:gridSpan w:val="2"/>
            <w:vAlign w:val="center"/>
          </w:tcPr>
          <w:p w14:paraId="15ACFA37">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GG111030</w:t>
            </w:r>
          </w:p>
        </w:tc>
        <w:tc>
          <w:tcPr>
            <w:tcW w:w="865" w:type="pct"/>
            <w:vAlign w:val="center"/>
          </w:tcPr>
          <w:p w14:paraId="403A6364">
            <w:pPr>
              <w:jc w:val="center"/>
              <w:rPr>
                <w:rFonts w:ascii="Times New Roman" w:hAnsi="Times New Roman"/>
                <w:color w:val="000000" w:themeColor="text1"/>
                <w:spacing w:val="-20"/>
                <w:sz w:val="18"/>
                <w:szCs w:val="18"/>
                <w14:textFill>
                  <w14:solidFill>
                    <w14:schemeClr w14:val="tx1"/>
                  </w14:solidFill>
                </w14:textFill>
              </w:rPr>
            </w:pPr>
            <w:r>
              <w:rPr>
                <w:rFonts w:hint="eastAsia"/>
                <w:color w:val="000000"/>
                <w:sz w:val="18"/>
                <w:szCs w:val="18"/>
              </w:rPr>
              <w:t>中华民族共同体概论</w:t>
            </w:r>
          </w:p>
        </w:tc>
        <w:tc>
          <w:tcPr>
            <w:tcW w:w="271" w:type="pct"/>
            <w:vAlign w:val="center"/>
          </w:tcPr>
          <w:p w14:paraId="5888E99A">
            <w:pPr>
              <w:jc w:val="center"/>
              <w:rPr>
                <w:rFonts w:ascii="Times New Roman" w:hAnsi="Times New Roman"/>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24</w:t>
            </w:r>
          </w:p>
        </w:tc>
        <w:tc>
          <w:tcPr>
            <w:tcW w:w="216" w:type="pct"/>
            <w:vAlign w:val="center"/>
          </w:tcPr>
          <w:p w14:paraId="7765814A">
            <w:pPr>
              <w:jc w:val="center"/>
              <w:rPr>
                <w:rFonts w:ascii="Times New Roman" w:hAnsi="Times New Roman"/>
                <w:color w:val="000000" w:themeColor="text1"/>
                <w:spacing w:val="-20"/>
                <w:sz w:val="18"/>
                <w:szCs w:val="18"/>
                <w14:textFill>
                  <w14:solidFill>
                    <w14:schemeClr w14:val="tx1"/>
                  </w14:solidFill>
                </w14:textFill>
              </w:rPr>
            </w:pPr>
            <w:r>
              <w:rPr>
                <w:rFonts w:ascii="宋体" w:hAnsi="宋体" w:cs="宋体"/>
                <w:color w:val="000000" w:themeColor="text1"/>
                <w:spacing w:val="-20"/>
                <w:sz w:val="18"/>
                <w:szCs w:val="18"/>
                <w14:textFill>
                  <w14:solidFill>
                    <w14:schemeClr w14:val="tx1"/>
                  </w14:solidFill>
                </w14:textFill>
              </w:rPr>
              <w:t>22</w:t>
            </w:r>
          </w:p>
        </w:tc>
        <w:tc>
          <w:tcPr>
            <w:tcW w:w="216" w:type="pct"/>
            <w:vAlign w:val="center"/>
          </w:tcPr>
          <w:p w14:paraId="52721276">
            <w:pPr>
              <w:jc w:val="center"/>
              <w:rPr>
                <w:rFonts w:ascii="Times New Roman" w:hAnsi="Times New Roman"/>
                <w:color w:val="000000" w:themeColor="text1"/>
                <w:spacing w:val="-20"/>
                <w:sz w:val="18"/>
                <w:szCs w:val="18"/>
                <w14:textFill>
                  <w14:solidFill>
                    <w14:schemeClr w14:val="tx1"/>
                  </w14:solidFill>
                </w14:textFill>
              </w:rPr>
            </w:pPr>
            <w:r>
              <w:rPr>
                <w:rFonts w:ascii="宋体" w:hAnsi="宋体" w:cs="宋体"/>
                <w:color w:val="000000" w:themeColor="text1"/>
                <w:spacing w:val="-20"/>
                <w:sz w:val="18"/>
                <w:szCs w:val="18"/>
                <w14:textFill>
                  <w14:solidFill>
                    <w14:schemeClr w14:val="tx1"/>
                  </w14:solidFill>
                </w14:textFill>
              </w:rPr>
              <w:t>2</w:t>
            </w:r>
          </w:p>
        </w:tc>
        <w:tc>
          <w:tcPr>
            <w:tcW w:w="228" w:type="pct"/>
            <w:vAlign w:val="center"/>
          </w:tcPr>
          <w:p w14:paraId="6AC879D7">
            <w:pPr>
              <w:jc w:val="center"/>
              <w:rPr>
                <w:rFonts w:ascii="Times New Roman" w:hAnsi="Times New Roman"/>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1.5</w:t>
            </w:r>
          </w:p>
        </w:tc>
        <w:tc>
          <w:tcPr>
            <w:tcW w:w="295" w:type="pct"/>
            <w:vAlign w:val="center"/>
          </w:tcPr>
          <w:p w14:paraId="4486CB54">
            <w:pPr>
              <w:jc w:val="center"/>
              <w:rPr>
                <w:rFonts w:ascii="Times New Roman" w:hAnsi="Times New Roman"/>
                <w:color w:val="000000" w:themeColor="text1"/>
                <w:spacing w:val="-20"/>
                <w:sz w:val="18"/>
                <w:szCs w:val="18"/>
                <w14:textFill>
                  <w14:solidFill>
                    <w14:schemeClr w14:val="tx1"/>
                  </w14:solidFill>
                </w14:textFill>
              </w:rPr>
            </w:pPr>
          </w:p>
        </w:tc>
        <w:tc>
          <w:tcPr>
            <w:tcW w:w="279" w:type="pct"/>
            <w:gridSpan w:val="4"/>
            <w:vAlign w:val="center"/>
          </w:tcPr>
          <w:p w14:paraId="526AB592">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252" w:type="pct"/>
            <w:gridSpan w:val="2"/>
            <w:vAlign w:val="center"/>
          </w:tcPr>
          <w:p w14:paraId="067639FD">
            <w:pPr>
              <w:jc w:val="center"/>
              <w:rPr>
                <w:rFonts w:ascii="Times New Roman" w:hAnsi="Times New Roman"/>
                <w:color w:val="000000" w:themeColor="text1"/>
                <w:spacing w:val="-20"/>
                <w:sz w:val="18"/>
                <w:szCs w:val="18"/>
                <w14:textFill>
                  <w14:solidFill>
                    <w14:schemeClr w14:val="tx1"/>
                  </w14:solidFill>
                </w14:textFill>
              </w:rPr>
            </w:pPr>
          </w:p>
        </w:tc>
        <w:tc>
          <w:tcPr>
            <w:tcW w:w="275" w:type="pct"/>
            <w:gridSpan w:val="2"/>
            <w:vAlign w:val="center"/>
          </w:tcPr>
          <w:p w14:paraId="27B572FB">
            <w:pPr>
              <w:jc w:val="center"/>
              <w:rPr>
                <w:rFonts w:ascii="Times New Roman" w:hAnsi="Times New Roman"/>
                <w:color w:val="000000" w:themeColor="text1"/>
                <w:spacing w:val="-20"/>
                <w:sz w:val="18"/>
                <w:szCs w:val="18"/>
                <w14:textFill>
                  <w14:solidFill>
                    <w14:schemeClr w14:val="tx1"/>
                  </w14:solidFill>
                </w14:textFill>
              </w:rPr>
            </w:pPr>
          </w:p>
        </w:tc>
        <w:tc>
          <w:tcPr>
            <w:tcW w:w="269" w:type="pct"/>
            <w:gridSpan w:val="2"/>
            <w:vAlign w:val="center"/>
          </w:tcPr>
          <w:p w14:paraId="0CE9FB00">
            <w:pPr>
              <w:jc w:val="center"/>
              <w:rPr>
                <w:rFonts w:ascii="Times New Roman" w:hAnsi="Times New Roman"/>
                <w:color w:val="000000" w:themeColor="text1"/>
                <w:spacing w:val="-20"/>
                <w:sz w:val="18"/>
                <w:szCs w:val="18"/>
                <w14:textFill>
                  <w14:solidFill>
                    <w14:schemeClr w14:val="tx1"/>
                  </w14:solidFill>
                </w14:textFill>
              </w:rPr>
            </w:pPr>
          </w:p>
        </w:tc>
        <w:tc>
          <w:tcPr>
            <w:tcW w:w="271" w:type="pct"/>
            <w:gridSpan w:val="2"/>
            <w:vAlign w:val="center"/>
          </w:tcPr>
          <w:p w14:paraId="4B0CEB01">
            <w:pPr>
              <w:autoSpaceDE w:val="0"/>
              <w:autoSpaceDN w:val="0"/>
              <w:jc w:val="center"/>
              <w:rPr>
                <w:rFonts w:ascii="Times New Roman" w:hAnsi="Times New Roman"/>
                <w:color w:val="000000" w:themeColor="text1"/>
                <w:spacing w:val="-20"/>
                <w:sz w:val="18"/>
                <w:szCs w:val="18"/>
                <w14:textFill>
                  <w14:solidFill>
                    <w14:schemeClr w14:val="tx1"/>
                  </w14:solidFill>
                </w14:textFill>
              </w:rPr>
            </w:pPr>
          </w:p>
        </w:tc>
        <w:tc>
          <w:tcPr>
            <w:tcW w:w="335" w:type="pct"/>
            <w:vAlign w:val="center"/>
          </w:tcPr>
          <w:p w14:paraId="474F800A">
            <w:pPr>
              <w:autoSpaceDE w:val="0"/>
              <w:autoSpaceDN w:val="0"/>
              <w:jc w:val="center"/>
              <w:rPr>
                <w:rFonts w:ascii="Times New Roman" w:hAnsi="Times New Roman"/>
                <w:color w:val="000000" w:themeColor="text1"/>
                <w:spacing w:val="-20"/>
                <w:sz w:val="18"/>
                <w:szCs w:val="18"/>
                <w14:textFill>
                  <w14:solidFill>
                    <w14:schemeClr w14:val="tx1"/>
                  </w14:solidFill>
                </w14:textFill>
              </w:rPr>
            </w:pPr>
          </w:p>
        </w:tc>
      </w:tr>
      <w:tr w14:paraId="547CB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42AA23AC">
            <w:pPr>
              <w:jc w:val="center"/>
              <w:rPr>
                <w:rFonts w:ascii="Times New Roman" w:hAnsi="Times New Roman"/>
                <w:bCs/>
                <w:color w:val="000000"/>
                <w:sz w:val="24"/>
                <w:szCs w:val="24"/>
              </w:rPr>
            </w:pPr>
          </w:p>
        </w:tc>
        <w:tc>
          <w:tcPr>
            <w:tcW w:w="216" w:type="pct"/>
            <w:vMerge w:val="continue"/>
            <w:vAlign w:val="center"/>
          </w:tcPr>
          <w:p w14:paraId="3A9CBE2D">
            <w:pPr>
              <w:autoSpaceDE w:val="0"/>
              <w:autoSpaceDN w:val="0"/>
              <w:jc w:val="center"/>
              <w:rPr>
                <w:rFonts w:ascii="Times New Roman" w:hAnsi="Times New Roman"/>
                <w:bCs/>
                <w:color w:val="000000"/>
                <w:sz w:val="24"/>
                <w:szCs w:val="24"/>
              </w:rPr>
            </w:pPr>
          </w:p>
        </w:tc>
        <w:tc>
          <w:tcPr>
            <w:tcW w:w="815" w:type="pct"/>
            <w:gridSpan w:val="2"/>
            <w:vAlign w:val="center"/>
          </w:tcPr>
          <w:p w14:paraId="4C2B385B">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GG111012</w:t>
            </w:r>
          </w:p>
        </w:tc>
        <w:tc>
          <w:tcPr>
            <w:tcW w:w="865" w:type="pct"/>
            <w:vAlign w:val="center"/>
          </w:tcPr>
          <w:p w14:paraId="01769AD0">
            <w:pPr>
              <w:jc w:val="center"/>
              <w:rPr>
                <w:rFonts w:ascii="Times New Roman" w:hAnsi="Times New Roman"/>
                <w:color w:val="000000"/>
                <w:sz w:val="18"/>
                <w:szCs w:val="18"/>
              </w:rPr>
            </w:pPr>
            <w:r>
              <w:rPr>
                <w:rFonts w:hint="eastAsia" w:ascii="Times New Roman" w:hAnsi="Times New Roman"/>
                <w:color w:val="000000"/>
                <w:sz w:val="18"/>
                <w:szCs w:val="18"/>
              </w:rPr>
              <w:t>形势与政策</w:t>
            </w:r>
          </w:p>
        </w:tc>
        <w:tc>
          <w:tcPr>
            <w:tcW w:w="271" w:type="pct"/>
            <w:vAlign w:val="center"/>
          </w:tcPr>
          <w:p w14:paraId="0DE50976">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48</w:t>
            </w:r>
          </w:p>
        </w:tc>
        <w:tc>
          <w:tcPr>
            <w:tcW w:w="216" w:type="pct"/>
            <w:vAlign w:val="center"/>
          </w:tcPr>
          <w:p w14:paraId="471CA50B">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44</w:t>
            </w:r>
          </w:p>
        </w:tc>
        <w:tc>
          <w:tcPr>
            <w:tcW w:w="216" w:type="pct"/>
            <w:vAlign w:val="center"/>
          </w:tcPr>
          <w:p w14:paraId="56EC600D">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28" w:type="pct"/>
            <w:vAlign w:val="center"/>
          </w:tcPr>
          <w:p w14:paraId="11963E22">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1101" w:type="pct"/>
            <w:gridSpan w:val="9"/>
            <w:vAlign w:val="center"/>
          </w:tcPr>
          <w:p w14:paraId="561166B6">
            <w:pPr>
              <w:jc w:val="center"/>
              <w:rPr>
                <w:rFonts w:ascii="Times New Roman" w:hAnsi="Times New Roman"/>
                <w:color w:val="00000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学期，每学期12学时</w:t>
            </w:r>
          </w:p>
        </w:tc>
        <w:tc>
          <w:tcPr>
            <w:tcW w:w="269" w:type="pct"/>
            <w:gridSpan w:val="2"/>
            <w:vAlign w:val="center"/>
          </w:tcPr>
          <w:p w14:paraId="7E6BCEBE">
            <w:pPr>
              <w:ind w:left="-159" w:leftChars="-76" w:firstLine="161" w:firstLineChars="115"/>
              <w:jc w:val="center"/>
              <w:rPr>
                <w:rFonts w:ascii="Times New Roman" w:hAnsi="Times New Roman"/>
                <w:color w:val="000000"/>
                <w:spacing w:val="-20"/>
                <w:sz w:val="18"/>
                <w:szCs w:val="18"/>
              </w:rPr>
            </w:pPr>
          </w:p>
        </w:tc>
        <w:tc>
          <w:tcPr>
            <w:tcW w:w="271" w:type="pct"/>
            <w:gridSpan w:val="2"/>
            <w:vAlign w:val="center"/>
          </w:tcPr>
          <w:p w14:paraId="0223B6BB">
            <w:pPr>
              <w:ind w:left="-159" w:leftChars="-76" w:firstLine="161" w:firstLineChars="115"/>
              <w:jc w:val="center"/>
              <w:rPr>
                <w:rFonts w:ascii="Times New Roman" w:hAnsi="Times New Roman"/>
                <w:color w:val="000000"/>
                <w:spacing w:val="-20"/>
                <w:sz w:val="18"/>
                <w:szCs w:val="18"/>
              </w:rPr>
            </w:pPr>
          </w:p>
        </w:tc>
        <w:tc>
          <w:tcPr>
            <w:tcW w:w="335" w:type="pct"/>
            <w:vAlign w:val="center"/>
          </w:tcPr>
          <w:p w14:paraId="1235E5AB">
            <w:pPr>
              <w:jc w:val="center"/>
              <w:rPr>
                <w:rFonts w:ascii="Times New Roman" w:hAnsi="Times New Roman"/>
                <w:color w:val="000000"/>
                <w:spacing w:val="-20"/>
                <w:sz w:val="18"/>
                <w:szCs w:val="18"/>
              </w:rPr>
            </w:pPr>
          </w:p>
        </w:tc>
      </w:tr>
      <w:tr w14:paraId="29403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3199159E">
            <w:pPr>
              <w:jc w:val="center"/>
              <w:rPr>
                <w:rFonts w:ascii="Times New Roman" w:hAnsi="Times New Roman"/>
                <w:bCs/>
                <w:color w:val="000000"/>
                <w:sz w:val="24"/>
                <w:szCs w:val="24"/>
              </w:rPr>
            </w:pPr>
          </w:p>
        </w:tc>
        <w:tc>
          <w:tcPr>
            <w:tcW w:w="216" w:type="pct"/>
            <w:vMerge w:val="continue"/>
            <w:vAlign w:val="center"/>
          </w:tcPr>
          <w:p w14:paraId="47242BA0">
            <w:pPr>
              <w:autoSpaceDE w:val="0"/>
              <w:autoSpaceDN w:val="0"/>
              <w:jc w:val="center"/>
              <w:rPr>
                <w:rFonts w:ascii="Times New Roman" w:hAnsi="Times New Roman"/>
                <w:bCs/>
                <w:color w:val="000000"/>
                <w:sz w:val="24"/>
                <w:szCs w:val="24"/>
              </w:rPr>
            </w:pPr>
          </w:p>
        </w:tc>
        <w:tc>
          <w:tcPr>
            <w:tcW w:w="815" w:type="pct"/>
            <w:gridSpan w:val="2"/>
            <w:vAlign w:val="center"/>
          </w:tcPr>
          <w:p w14:paraId="05FEDAD5">
            <w:pPr>
              <w:jc w:val="center"/>
              <w:rPr>
                <w:rFonts w:ascii="Times New Roman" w:hAnsi="Times New Roman"/>
                <w:spacing w:val="-20"/>
                <w:sz w:val="20"/>
                <w:szCs w:val="20"/>
              </w:rPr>
            </w:pPr>
            <w:r>
              <w:rPr>
                <w:rFonts w:hint="eastAsia" w:ascii="微软雅黑" w:hAnsi="微软雅黑" w:eastAsia="微软雅黑"/>
                <w:color w:val="333333"/>
                <w:sz w:val="18"/>
                <w:szCs w:val="18"/>
              </w:rPr>
              <w:t>GG111007</w:t>
            </w:r>
          </w:p>
        </w:tc>
        <w:tc>
          <w:tcPr>
            <w:tcW w:w="865" w:type="pct"/>
            <w:vAlign w:val="center"/>
          </w:tcPr>
          <w:p w14:paraId="0682B6FC">
            <w:pPr>
              <w:jc w:val="center"/>
              <w:rPr>
                <w:rFonts w:ascii="Times New Roman" w:hAnsi="Times New Roman"/>
                <w:spacing w:val="-20"/>
                <w:sz w:val="18"/>
                <w:szCs w:val="18"/>
              </w:rPr>
            </w:pPr>
            <w:r>
              <w:rPr>
                <w:rFonts w:hint="eastAsia" w:ascii="Times New Roman" w:hAnsi="Times New Roman"/>
                <w:spacing w:val="-20"/>
                <w:sz w:val="18"/>
                <w:szCs w:val="18"/>
              </w:rPr>
              <w:t>体育与健康（一）</w:t>
            </w:r>
          </w:p>
        </w:tc>
        <w:tc>
          <w:tcPr>
            <w:tcW w:w="271" w:type="pct"/>
            <w:vAlign w:val="center"/>
          </w:tcPr>
          <w:p w14:paraId="0C0BB198">
            <w:pPr>
              <w:jc w:val="center"/>
              <w:rPr>
                <w:rFonts w:ascii="Times New Roman" w:hAnsi="Times New Roman"/>
                <w:spacing w:val="-20"/>
                <w:sz w:val="18"/>
                <w:szCs w:val="18"/>
              </w:rPr>
            </w:pPr>
            <w:r>
              <w:rPr>
                <w:rFonts w:hint="eastAsia" w:ascii="Times New Roman" w:hAnsi="Times New Roman"/>
                <w:spacing w:val="-20"/>
                <w:sz w:val="18"/>
                <w:szCs w:val="18"/>
              </w:rPr>
              <w:t>36</w:t>
            </w:r>
          </w:p>
        </w:tc>
        <w:tc>
          <w:tcPr>
            <w:tcW w:w="216" w:type="pct"/>
            <w:vAlign w:val="center"/>
          </w:tcPr>
          <w:p w14:paraId="43B1D5F2">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6" w:type="pct"/>
            <w:vAlign w:val="center"/>
          </w:tcPr>
          <w:p w14:paraId="1A6D1C6B">
            <w:pPr>
              <w:jc w:val="center"/>
              <w:rPr>
                <w:rFonts w:ascii="Times New Roman" w:hAnsi="Times New Roman"/>
                <w:spacing w:val="-20"/>
                <w:sz w:val="18"/>
                <w:szCs w:val="18"/>
              </w:rPr>
            </w:pPr>
            <w:r>
              <w:rPr>
                <w:rFonts w:hint="eastAsia" w:ascii="Times New Roman" w:hAnsi="Times New Roman"/>
                <w:spacing w:val="-20"/>
                <w:sz w:val="18"/>
                <w:szCs w:val="18"/>
              </w:rPr>
              <w:t>34</w:t>
            </w:r>
          </w:p>
        </w:tc>
        <w:tc>
          <w:tcPr>
            <w:tcW w:w="228" w:type="pct"/>
            <w:vAlign w:val="center"/>
          </w:tcPr>
          <w:p w14:paraId="6BD2C35C">
            <w:pPr>
              <w:jc w:val="center"/>
              <w:rPr>
                <w:rFonts w:ascii="Times New Roman" w:hAnsi="Times New Roman"/>
                <w:spacing w:val="-20"/>
                <w:sz w:val="18"/>
                <w:szCs w:val="18"/>
              </w:rPr>
            </w:pPr>
            <w:r>
              <w:rPr>
                <w:rFonts w:hint="eastAsia" w:ascii="Times New Roman" w:hAnsi="Times New Roman"/>
                <w:spacing w:val="-20"/>
                <w:sz w:val="18"/>
                <w:szCs w:val="18"/>
              </w:rPr>
              <w:t>1</w:t>
            </w:r>
          </w:p>
        </w:tc>
        <w:tc>
          <w:tcPr>
            <w:tcW w:w="295" w:type="pct"/>
            <w:vAlign w:val="center"/>
          </w:tcPr>
          <w:p w14:paraId="21A5661A">
            <w:pPr>
              <w:jc w:val="center"/>
              <w:rPr>
                <w:rFonts w:ascii="Times New Roman" w:hAnsi="Times New Roman"/>
                <w:spacing w:val="-20"/>
                <w:sz w:val="18"/>
                <w:szCs w:val="18"/>
              </w:rPr>
            </w:pPr>
            <w:r>
              <w:rPr>
                <w:rFonts w:ascii="Times New Roman" w:hAnsi="Times New Roman"/>
                <w:spacing w:val="-20"/>
                <w:sz w:val="18"/>
                <w:szCs w:val="18"/>
              </w:rPr>
              <w:t>2</w:t>
            </w:r>
          </w:p>
        </w:tc>
        <w:tc>
          <w:tcPr>
            <w:tcW w:w="279" w:type="pct"/>
            <w:gridSpan w:val="4"/>
            <w:vAlign w:val="center"/>
          </w:tcPr>
          <w:p w14:paraId="42171384">
            <w:pPr>
              <w:jc w:val="center"/>
              <w:rPr>
                <w:rFonts w:ascii="Times New Roman" w:hAnsi="Times New Roman"/>
                <w:spacing w:val="-20"/>
                <w:sz w:val="18"/>
                <w:szCs w:val="18"/>
              </w:rPr>
            </w:pPr>
          </w:p>
        </w:tc>
        <w:tc>
          <w:tcPr>
            <w:tcW w:w="252" w:type="pct"/>
            <w:gridSpan w:val="2"/>
            <w:vAlign w:val="center"/>
          </w:tcPr>
          <w:p w14:paraId="0CCE5FEF">
            <w:pPr>
              <w:jc w:val="center"/>
              <w:rPr>
                <w:rFonts w:ascii="Times New Roman" w:hAnsi="Times New Roman"/>
                <w:spacing w:val="-20"/>
                <w:sz w:val="18"/>
                <w:szCs w:val="18"/>
              </w:rPr>
            </w:pPr>
          </w:p>
        </w:tc>
        <w:tc>
          <w:tcPr>
            <w:tcW w:w="275" w:type="pct"/>
            <w:gridSpan w:val="2"/>
            <w:vAlign w:val="center"/>
          </w:tcPr>
          <w:p w14:paraId="65C510C0">
            <w:pPr>
              <w:jc w:val="center"/>
              <w:rPr>
                <w:rFonts w:ascii="Times New Roman" w:hAnsi="Times New Roman"/>
                <w:color w:val="FF0000"/>
                <w:spacing w:val="-20"/>
                <w:sz w:val="18"/>
                <w:szCs w:val="18"/>
              </w:rPr>
            </w:pPr>
          </w:p>
        </w:tc>
        <w:tc>
          <w:tcPr>
            <w:tcW w:w="269" w:type="pct"/>
            <w:gridSpan w:val="2"/>
            <w:vAlign w:val="center"/>
          </w:tcPr>
          <w:p w14:paraId="34FF3141">
            <w:pPr>
              <w:autoSpaceDE w:val="0"/>
              <w:autoSpaceDN w:val="0"/>
              <w:jc w:val="center"/>
              <w:rPr>
                <w:rFonts w:ascii="Times New Roman" w:hAnsi="Times New Roman"/>
                <w:color w:val="000000"/>
                <w:spacing w:val="-20"/>
                <w:sz w:val="18"/>
                <w:szCs w:val="18"/>
              </w:rPr>
            </w:pPr>
          </w:p>
        </w:tc>
        <w:tc>
          <w:tcPr>
            <w:tcW w:w="271" w:type="pct"/>
            <w:gridSpan w:val="2"/>
            <w:vAlign w:val="center"/>
          </w:tcPr>
          <w:p w14:paraId="4E51DBEE">
            <w:pPr>
              <w:autoSpaceDE w:val="0"/>
              <w:autoSpaceDN w:val="0"/>
              <w:jc w:val="center"/>
              <w:rPr>
                <w:rFonts w:ascii="Times New Roman" w:hAnsi="Times New Roman"/>
                <w:color w:val="000000"/>
                <w:spacing w:val="-20"/>
                <w:sz w:val="18"/>
                <w:szCs w:val="18"/>
              </w:rPr>
            </w:pPr>
          </w:p>
        </w:tc>
        <w:tc>
          <w:tcPr>
            <w:tcW w:w="335" w:type="pct"/>
            <w:vAlign w:val="center"/>
          </w:tcPr>
          <w:p w14:paraId="1273B051">
            <w:pPr>
              <w:autoSpaceDE w:val="0"/>
              <w:autoSpaceDN w:val="0"/>
              <w:jc w:val="center"/>
              <w:rPr>
                <w:rFonts w:ascii="Times New Roman" w:hAnsi="Times New Roman"/>
                <w:color w:val="000000"/>
                <w:spacing w:val="-20"/>
                <w:sz w:val="18"/>
                <w:szCs w:val="18"/>
              </w:rPr>
            </w:pPr>
          </w:p>
        </w:tc>
      </w:tr>
      <w:tr w14:paraId="0424D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42FD9AB">
            <w:pPr>
              <w:jc w:val="center"/>
              <w:rPr>
                <w:rFonts w:ascii="Times New Roman" w:hAnsi="Times New Roman"/>
                <w:bCs/>
                <w:color w:val="000000"/>
                <w:sz w:val="24"/>
                <w:szCs w:val="24"/>
              </w:rPr>
            </w:pPr>
          </w:p>
        </w:tc>
        <w:tc>
          <w:tcPr>
            <w:tcW w:w="216" w:type="pct"/>
            <w:vMerge w:val="continue"/>
            <w:vAlign w:val="center"/>
          </w:tcPr>
          <w:p w14:paraId="486DBBC2">
            <w:pPr>
              <w:autoSpaceDE w:val="0"/>
              <w:autoSpaceDN w:val="0"/>
              <w:jc w:val="center"/>
              <w:rPr>
                <w:rFonts w:ascii="Times New Roman" w:hAnsi="Times New Roman"/>
                <w:bCs/>
                <w:color w:val="000000"/>
                <w:sz w:val="24"/>
                <w:szCs w:val="24"/>
              </w:rPr>
            </w:pPr>
          </w:p>
        </w:tc>
        <w:tc>
          <w:tcPr>
            <w:tcW w:w="815" w:type="pct"/>
            <w:gridSpan w:val="2"/>
            <w:vAlign w:val="center"/>
          </w:tcPr>
          <w:p w14:paraId="08E3D049">
            <w:pPr>
              <w:jc w:val="center"/>
              <w:rPr>
                <w:rFonts w:ascii="Times New Roman" w:hAnsi="Times New Roman"/>
                <w:spacing w:val="-20"/>
                <w:sz w:val="20"/>
                <w:szCs w:val="20"/>
              </w:rPr>
            </w:pPr>
            <w:r>
              <w:rPr>
                <w:rFonts w:hint="eastAsia" w:ascii="微软雅黑" w:hAnsi="微软雅黑" w:eastAsia="微软雅黑"/>
                <w:color w:val="333333"/>
                <w:sz w:val="18"/>
                <w:szCs w:val="18"/>
              </w:rPr>
              <w:t>GG111008</w:t>
            </w:r>
          </w:p>
        </w:tc>
        <w:tc>
          <w:tcPr>
            <w:tcW w:w="865" w:type="pct"/>
            <w:vAlign w:val="center"/>
          </w:tcPr>
          <w:p w14:paraId="34F622EA">
            <w:pPr>
              <w:jc w:val="center"/>
              <w:rPr>
                <w:rFonts w:ascii="Times New Roman" w:hAnsi="Times New Roman"/>
                <w:spacing w:val="-20"/>
                <w:sz w:val="18"/>
                <w:szCs w:val="18"/>
              </w:rPr>
            </w:pPr>
            <w:r>
              <w:rPr>
                <w:rFonts w:hint="eastAsia" w:ascii="Times New Roman" w:hAnsi="Times New Roman"/>
                <w:spacing w:val="-20"/>
                <w:sz w:val="18"/>
                <w:szCs w:val="18"/>
              </w:rPr>
              <w:t>体育与健康（二）</w:t>
            </w:r>
          </w:p>
        </w:tc>
        <w:tc>
          <w:tcPr>
            <w:tcW w:w="271" w:type="pct"/>
            <w:vAlign w:val="center"/>
          </w:tcPr>
          <w:p w14:paraId="59E4BF1A">
            <w:pPr>
              <w:jc w:val="center"/>
              <w:rPr>
                <w:rFonts w:ascii="Times New Roman" w:hAnsi="Times New Roman"/>
                <w:spacing w:val="-20"/>
                <w:sz w:val="18"/>
                <w:szCs w:val="18"/>
              </w:rPr>
            </w:pPr>
            <w:r>
              <w:rPr>
                <w:rFonts w:hint="eastAsia" w:ascii="Times New Roman" w:hAnsi="Times New Roman"/>
                <w:spacing w:val="-20"/>
                <w:sz w:val="18"/>
                <w:szCs w:val="18"/>
              </w:rPr>
              <w:t>36</w:t>
            </w:r>
          </w:p>
        </w:tc>
        <w:tc>
          <w:tcPr>
            <w:tcW w:w="216" w:type="pct"/>
            <w:vAlign w:val="center"/>
          </w:tcPr>
          <w:p w14:paraId="3070F50D">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6" w:type="pct"/>
            <w:vAlign w:val="center"/>
          </w:tcPr>
          <w:p w14:paraId="6A3FDD05">
            <w:pPr>
              <w:jc w:val="center"/>
              <w:rPr>
                <w:rFonts w:ascii="Times New Roman" w:hAnsi="Times New Roman"/>
                <w:spacing w:val="-20"/>
                <w:sz w:val="18"/>
                <w:szCs w:val="18"/>
              </w:rPr>
            </w:pPr>
            <w:r>
              <w:rPr>
                <w:rFonts w:hint="eastAsia" w:ascii="Times New Roman" w:hAnsi="Times New Roman"/>
                <w:spacing w:val="-20"/>
                <w:sz w:val="18"/>
                <w:szCs w:val="18"/>
              </w:rPr>
              <w:t>34</w:t>
            </w:r>
          </w:p>
        </w:tc>
        <w:tc>
          <w:tcPr>
            <w:tcW w:w="228" w:type="pct"/>
            <w:vAlign w:val="center"/>
          </w:tcPr>
          <w:p w14:paraId="4BD5F4E1">
            <w:pPr>
              <w:jc w:val="center"/>
              <w:rPr>
                <w:rFonts w:ascii="Times New Roman" w:hAnsi="Times New Roman"/>
                <w:spacing w:val="-20"/>
                <w:sz w:val="18"/>
                <w:szCs w:val="18"/>
              </w:rPr>
            </w:pPr>
            <w:r>
              <w:rPr>
                <w:rFonts w:hint="eastAsia" w:ascii="Times New Roman" w:hAnsi="Times New Roman"/>
                <w:spacing w:val="-20"/>
                <w:sz w:val="18"/>
                <w:szCs w:val="18"/>
              </w:rPr>
              <w:t>1</w:t>
            </w:r>
          </w:p>
        </w:tc>
        <w:tc>
          <w:tcPr>
            <w:tcW w:w="295" w:type="pct"/>
            <w:vAlign w:val="center"/>
          </w:tcPr>
          <w:p w14:paraId="56411EC2">
            <w:pPr>
              <w:jc w:val="center"/>
              <w:rPr>
                <w:rFonts w:ascii="Times New Roman" w:hAnsi="Times New Roman"/>
                <w:spacing w:val="-20"/>
                <w:sz w:val="18"/>
                <w:szCs w:val="18"/>
              </w:rPr>
            </w:pPr>
          </w:p>
        </w:tc>
        <w:tc>
          <w:tcPr>
            <w:tcW w:w="279" w:type="pct"/>
            <w:gridSpan w:val="4"/>
            <w:vAlign w:val="center"/>
          </w:tcPr>
          <w:p w14:paraId="0C7940CE">
            <w:pPr>
              <w:jc w:val="center"/>
              <w:rPr>
                <w:rFonts w:ascii="Times New Roman" w:hAnsi="Times New Roman"/>
                <w:spacing w:val="-20"/>
                <w:sz w:val="18"/>
                <w:szCs w:val="18"/>
              </w:rPr>
            </w:pPr>
            <w:r>
              <w:rPr>
                <w:rFonts w:ascii="Times New Roman" w:hAnsi="Times New Roman"/>
                <w:spacing w:val="-20"/>
                <w:sz w:val="18"/>
                <w:szCs w:val="18"/>
              </w:rPr>
              <w:t>2</w:t>
            </w:r>
          </w:p>
        </w:tc>
        <w:tc>
          <w:tcPr>
            <w:tcW w:w="252" w:type="pct"/>
            <w:gridSpan w:val="2"/>
            <w:vAlign w:val="center"/>
          </w:tcPr>
          <w:p w14:paraId="3FA3F182">
            <w:pPr>
              <w:jc w:val="center"/>
              <w:rPr>
                <w:rFonts w:ascii="Times New Roman" w:hAnsi="Times New Roman"/>
                <w:spacing w:val="-20"/>
                <w:sz w:val="18"/>
                <w:szCs w:val="18"/>
              </w:rPr>
            </w:pPr>
          </w:p>
        </w:tc>
        <w:tc>
          <w:tcPr>
            <w:tcW w:w="275" w:type="pct"/>
            <w:gridSpan w:val="2"/>
            <w:vAlign w:val="center"/>
          </w:tcPr>
          <w:p w14:paraId="23F1D31E">
            <w:pPr>
              <w:jc w:val="center"/>
              <w:rPr>
                <w:rFonts w:ascii="Times New Roman" w:hAnsi="Times New Roman"/>
                <w:color w:val="FF0000"/>
                <w:spacing w:val="-20"/>
                <w:sz w:val="18"/>
                <w:szCs w:val="18"/>
              </w:rPr>
            </w:pPr>
          </w:p>
        </w:tc>
        <w:tc>
          <w:tcPr>
            <w:tcW w:w="269" w:type="pct"/>
            <w:gridSpan w:val="2"/>
            <w:vAlign w:val="center"/>
          </w:tcPr>
          <w:p w14:paraId="3CD6501C">
            <w:pPr>
              <w:jc w:val="center"/>
              <w:rPr>
                <w:rFonts w:ascii="Times New Roman" w:hAnsi="Times New Roman"/>
                <w:color w:val="000000"/>
                <w:spacing w:val="-20"/>
                <w:sz w:val="18"/>
                <w:szCs w:val="18"/>
              </w:rPr>
            </w:pPr>
          </w:p>
        </w:tc>
        <w:tc>
          <w:tcPr>
            <w:tcW w:w="271" w:type="pct"/>
            <w:gridSpan w:val="2"/>
            <w:vAlign w:val="center"/>
          </w:tcPr>
          <w:p w14:paraId="69055B91">
            <w:pPr>
              <w:autoSpaceDE w:val="0"/>
              <w:autoSpaceDN w:val="0"/>
              <w:jc w:val="center"/>
              <w:rPr>
                <w:rFonts w:ascii="Times New Roman" w:hAnsi="Times New Roman"/>
                <w:color w:val="000000"/>
                <w:spacing w:val="-20"/>
                <w:sz w:val="18"/>
                <w:szCs w:val="18"/>
              </w:rPr>
            </w:pPr>
          </w:p>
        </w:tc>
        <w:tc>
          <w:tcPr>
            <w:tcW w:w="335" w:type="pct"/>
            <w:vAlign w:val="center"/>
          </w:tcPr>
          <w:p w14:paraId="6AC2D5DD">
            <w:pPr>
              <w:autoSpaceDE w:val="0"/>
              <w:autoSpaceDN w:val="0"/>
              <w:jc w:val="center"/>
              <w:rPr>
                <w:rFonts w:ascii="Times New Roman" w:hAnsi="Times New Roman"/>
                <w:color w:val="000000"/>
                <w:spacing w:val="-20"/>
                <w:sz w:val="18"/>
                <w:szCs w:val="18"/>
              </w:rPr>
            </w:pPr>
          </w:p>
        </w:tc>
      </w:tr>
      <w:tr w14:paraId="6140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197" w:type="pct"/>
            <w:vMerge w:val="continue"/>
            <w:vAlign w:val="center"/>
          </w:tcPr>
          <w:p w14:paraId="1D206C8B">
            <w:pPr>
              <w:jc w:val="center"/>
              <w:rPr>
                <w:rFonts w:ascii="Times New Roman" w:hAnsi="Times New Roman"/>
                <w:bCs/>
                <w:color w:val="000000"/>
                <w:sz w:val="24"/>
                <w:szCs w:val="24"/>
              </w:rPr>
            </w:pPr>
          </w:p>
        </w:tc>
        <w:tc>
          <w:tcPr>
            <w:tcW w:w="216" w:type="pct"/>
            <w:vMerge w:val="continue"/>
            <w:vAlign w:val="center"/>
          </w:tcPr>
          <w:p w14:paraId="7FC25AC6">
            <w:pPr>
              <w:autoSpaceDE w:val="0"/>
              <w:autoSpaceDN w:val="0"/>
              <w:jc w:val="center"/>
              <w:rPr>
                <w:rFonts w:ascii="Times New Roman" w:hAnsi="Times New Roman"/>
                <w:bCs/>
                <w:color w:val="000000"/>
                <w:sz w:val="24"/>
                <w:szCs w:val="24"/>
              </w:rPr>
            </w:pPr>
          </w:p>
        </w:tc>
        <w:tc>
          <w:tcPr>
            <w:tcW w:w="815" w:type="pct"/>
            <w:gridSpan w:val="2"/>
            <w:vAlign w:val="center"/>
          </w:tcPr>
          <w:p w14:paraId="59719DF3">
            <w:pPr>
              <w:jc w:val="center"/>
              <w:rPr>
                <w:rFonts w:ascii="Times New Roman" w:hAnsi="Times New Roman"/>
                <w:spacing w:val="-20"/>
                <w:sz w:val="20"/>
                <w:szCs w:val="20"/>
              </w:rPr>
            </w:pPr>
            <w:r>
              <w:rPr>
                <w:rFonts w:hint="eastAsia" w:ascii="微软雅黑" w:hAnsi="微软雅黑" w:eastAsia="微软雅黑"/>
                <w:color w:val="333333"/>
                <w:sz w:val="18"/>
                <w:szCs w:val="18"/>
              </w:rPr>
              <w:t>GG111009</w:t>
            </w:r>
          </w:p>
        </w:tc>
        <w:tc>
          <w:tcPr>
            <w:tcW w:w="865" w:type="pct"/>
            <w:vAlign w:val="center"/>
          </w:tcPr>
          <w:p w14:paraId="28F8FE4C">
            <w:pPr>
              <w:jc w:val="center"/>
              <w:rPr>
                <w:rFonts w:ascii="Times New Roman" w:hAnsi="Times New Roman"/>
                <w:spacing w:val="-20"/>
                <w:sz w:val="18"/>
                <w:szCs w:val="18"/>
              </w:rPr>
            </w:pPr>
            <w:r>
              <w:rPr>
                <w:rFonts w:hint="eastAsia" w:ascii="Times New Roman" w:hAnsi="Times New Roman"/>
                <w:spacing w:val="-20"/>
                <w:sz w:val="18"/>
                <w:szCs w:val="18"/>
              </w:rPr>
              <w:t>体育与健康（三）</w:t>
            </w:r>
          </w:p>
        </w:tc>
        <w:tc>
          <w:tcPr>
            <w:tcW w:w="271" w:type="pct"/>
            <w:vAlign w:val="center"/>
          </w:tcPr>
          <w:p w14:paraId="5DF20070">
            <w:pPr>
              <w:jc w:val="center"/>
              <w:rPr>
                <w:rFonts w:ascii="Times New Roman" w:hAnsi="Times New Roman"/>
                <w:spacing w:val="-20"/>
                <w:sz w:val="18"/>
                <w:szCs w:val="18"/>
              </w:rPr>
            </w:pPr>
            <w:r>
              <w:rPr>
                <w:rFonts w:ascii="Times New Roman" w:hAnsi="Times New Roman"/>
                <w:spacing w:val="-20"/>
                <w:sz w:val="18"/>
                <w:szCs w:val="18"/>
              </w:rPr>
              <w:t>3</w:t>
            </w:r>
            <w:r>
              <w:rPr>
                <w:rFonts w:hint="eastAsia" w:ascii="Times New Roman" w:hAnsi="Times New Roman"/>
                <w:spacing w:val="-20"/>
                <w:sz w:val="18"/>
                <w:szCs w:val="18"/>
              </w:rPr>
              <w:t>6</w:t>
            </w:r>
          </w:p>
        </w:tc>
        <w:tc>
          <w:tcPr>
            <w:tcW w:w="216" w:type="pct"/>
            <w:vAlign w:val="center"/>
          </w:tcPr>
          <w:p w14:paraId="3A5AD40E">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6" w:type="pct"/>
            <w:vAlign w:val="center"/>
          </w:tcPr>
          <w:p w14:paraId="4FF150F1">
            <w:pPr>
              <w:jc w:val="center"/>
              <w:rPr>
                <w:rFonts w:ascii="Times New Roman" w:hAnsi="Times New Roman"/>
                <w:spacing w:val="-20"/>
                <w:sz w:val="18"/>
                <w:szCs w:val="18"/>
              </w:rPr>
            </w:pPr>
            <w:r>
              <w:rPr>
                <w:rFonts w:hint="eastAsia" w:ascii="Times New Roman" w:hAnsi="Times New Roman"/>
                <w:spacing w:val="-20"/>
                <w:sz w:val="18"/>
                <w:szCs w:val="18"/>
              </w:rPr>
              <w:t>34</w:t>
            </w:r>
          </w:p>
        </w:tc>
        <w:tc>
          <w:tcPr>
            <w:tcW w:w="228" w:type="pct"/>
            <w:vAlign w:val="center"/>
          </w:tcPr>
          <w:p w14:paraId="29E0F109">
            <w:pPr>
              <w:jc w:val="center"/>
              <w:rPr>
                <w:rFonts w:ascii="Times New Roman" w:hAnsi="Times New Roman"/>
                <w:spacing w:val="-20"/>
                <w:sz w:val="18"/>
                <w:szCs w:val="18"/>
              </w:rPr>
            </w:pPr>
            <w:r>
              <w:rPr>
                <w:rFonts w:hint="eastAsia" w:ascii="Times New Roman" w:hAnsi="Times New Roman"/>
                <w:spacing w:val="-20"/>
                <w:sz w:val="18"/>
                <w:szCs w:val="18"/>
              </w:rPr>
              <w:t>1</w:t>
            </w:r>
          </w:p>
        </w:tc>
        <w:tc>
          <w:tcPr>
            <w:tcW w:w="295" w:type="pct"/>
            <w:vAlign w:val="center"/>
          </w:tcPr>
          <w:p w14:paraId="2D504272">
            <w:pPr>
              <w:jc w:val="center"/>
              <w:rPr>
                <w:rFonts w:ascii="Times New Roman" w:hAnsi="Times New Roman"/>
                <w:spacing w:val="-20"/>
                <w:sz w:val="18"/>
                <w:szCs w:val="18"/>
              </w:rPr>
            </w:pPr>
          </w:p>
        </w:tc>
        <w:tc>
          <w:tcPr>
            <w:tcW w:w="279" w:type="pct"/>
            <w:gridSpan w:val="4"/>
            <w:vAlign w:val="center"/>
          </w:tcPr>
          <w:p w14:paraId="0B677BE9">
            <w:pPr>
              <w:jc w:val="center"/>
              <w:rPr>
                <w:rFonts w:ascii="Times New Roman" w:hAnsi="Times New Roman"/>
                <w:spacing w:val="-20"/>
                <w:sz w:val="18"/>
                <w:szCs w:val="18"/>
              </w:rPr>
            </w:pPr>
          </w:p>
        </w:tc>
        <w:tc>
          <w:tcPr>
            <w:tcW w:w="252" w:type="pct"/>
            <w:gridSpan w:val="2"/>
            <w:vAlign w:val="center"/>
          </w:tcPr>
          <w:p w14:paraId="28077EA9">
            <w:pPr>
              <w:jc w:val="center"/>
              <w:rPr>
                <w:rFonts w:ascii="Times New Roman" w:hAnsi="Times New Roman"/>
                <w:spacing w:val="-20"/>
                <w:sz w:val="18"/>
                <w:szCs w:val="18"/>
              </w:rPr>
            </w:pPr>
            <w:r>
              <w:rPr>
                <w:rFonts w:ascii="Times New Roman" w:hAnsi="Times New Roman"/>
                <w:spacing w:val="-20"/>
                <w:sz w:val="18"/>
                <w:szCs w:val="18"/>
              </w:rPr>
              <w:t>2</w:t>
            </w:r>
          </w:p>
        </w:tc>
        <w:tc>
          <w:tcPr>
            <w:tcW w:w="275" w:type="pct"/>
            <w:gridSpan w:val="2"/>
            <w:vAlign w:val="center"/>
          </w:tcPr>
          <w:p w14:paraId="3D9AC3E5">
            <w:pPr>
              <w:jc w:val="center"/>
              <w:rPr>
                <w:rFonts w:ascii="Times New Roman" w:hAnsi="Times New Roman"/>
                <w:color w:val="FF0000"/>
                <w:spacing w:val="-20"/>
                <w:sz w:val="18"/>
                <w:szCs w:val="18"/>
              </w:rPr>
            </w:pPr>
          </w:p>
        </w:tc>
        <w:tc>
          <w:tcPr>
            <w:tcW w:w="269" w:type="pct"/>
            <w:gridSpan w:val="2"/>
            <w:vAlign w:val="center"/>
          </w:tcPr>
          <w:p w14:paraId="7528C33F">
            <w:pPr>
              <w:jc w:val="center"/>
              <w:rPr>
                <w:rFonts w:ascii="Times New Roman" w:hAnsi="Times New Roman"/>
                <w:color w:val="000000"/>
                <w:spacing w:val="-20"/>
                <w:sz w:val="18"/>
                <w:szCs w:val="18"/>
              </w:rPr>
            </w:pPr>
          </w:p>
        </w:tc>
        <w:tc>
          <w:tcPr>
            <w:tcW w:w="271" w:type="pct"/>
            <w:gridSpan w:val="2"/>
            <w:vAlign w:val="center"/>
          </w:tcPr>
          <w:p w14:paraId="6C6E8B4C">
            <w:pPr>
              <w:autoSpaceDE w:val="0"/>
              <w:autoSpaceDN w:val="0"/>
              <w:jc w:val="center"/>
              <w:rPr>
                <w:rFonts w:ascii="Times New Roman" w:hAnsi="Times New Roman"/>
                <w:color w:val="000000"/>
                <w:spacing w:val="-20"/>
                <w:sz w:val="18"/>
                <w:szCs w:val="18"/>
              </w:rPr>
            </w:pPr>
          </w:p>
        </w:tc>
        <w:tc>
          <w:tcPr>
            <w:tcW w:w="335" w:type="pct"/>
            <w:vAlign w:val="center"/>
          </w:tcPr>
          <w:p w14:paraId="152ABC19">
            <w:pPr>
              <w:autoSpaceDE w:val="0"/>
              <w:autoSpaceDN w:val="0"/>
              <w:jc w:val="center"/>
              <w:rPr>
                <w:rFonts w:ascii="Times New Roman" w:hAnsi="Times New Roman"/>
                <w:color w:val="000000"/>
                <w:spacing w:val="-20"/>
                <w:sz w:val="18"/>
                <w:szCs w:val="18"/>
              </w:rPr>
            </w:pPr>
          </w:p>
        </w:tc>
      </w:tr>
      <w:tr w14:paraId="09FD1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59BCB120">
            <w:pPr>
              <w:jc w:val="center"/>
              <w:rPr>
                <w:rFonts w:ascii="Times New Roman" w:hAnsi="Times New Roman"/>
                <w:bCs/>
                <w:color w:val="000000"/>
                <w:sz w:val="24"/>
                <w:szCs w:val="24"/>
              </w:rPr>
            </w:pPr>
          </w:p>
        </w:tc>
        <w:tc>
          <w:tcPr>
            <w:tcW w:w="216" w:type="pct"/>
            <w:vMerge w:val="continue"/>
            <w:vAlign w:val="center"/>
          </w:tcPr>
          <w:p w14:paraId="34036971">
            <w:pPr>
              <w:autoSpaceDE w:val="0"/>
              <w:autoSpaceDN w:val="0"/>
              <w:jc w:val="center"/>
              <w:rPr>
                <w:rFonts w:ascii="Times New Roman" w:hAnsi="Times New Roman"/>
                <w:bCs/>
                <w:color w:val="000000"/>
                <w:sz w:val="24"/>
                <w:szCs w:val="24"/>
              </w:rPr>
            </w:pPr>
          </w:p>
        </w:tc>
        <w:tc>
          <w:tcPr>
            <w:tcW w:w="815" w:type="pct"/>
            <w:gridSpan w:val="2"/>
            <w:vAlign w:val="center"/>
          </w:tcPr>
          <w:p w14:paraId="36671790">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GG111011</w:t>
            </w:r>
          </w:p>
        </w:tc>
        <w:tc>
          <w:tcPr>
            <w:tcW w:w="865" w:type="pct"/>
            <w:vAlign w:val="center"/>
          </w:tcPr>
          <w:p w14:paraId="117677DD">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大学生就业指导与创新创业教育</w:t>
            </w:r>
          </w:p>
        </w:tc>
        <w:tc>
          <w:tcPr>
            <w:tcW w:w="271" w:type="pct"/>
            <w:vAlign w:val="center"/>
          </w:tcPr>
          <w:p w14:paraId="6A8F2480">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16" w:type="pct"/>
            <w:vAlign w:val="center"/>
          </w:tcPr>
          <w:p w14:paraId="38A64B2D">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20</w:t>
            </w:r>
          </w:p>
        </w:tc>
        <w:tc>
          <w:tcPr>
            <w:tcW w:w="216" w:type="pct"/>
            <w:vAlign w:val="center"/>
          </w:tcPr>
          <w:p w14:paraId="79A323F7">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12</w:t>
            </w:r>
          </w:p>
        </w:tc>
        <w:tc>
          <w:tcPr>
            <w:tcW w:w="228" w:type="pct"/>
            <w:vAlign w:val="center"/>
          </w:tcPr>
          <w:p w14:paraId="2BE6BC4F">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95" w:type="pct"/>
            <w:vAlign w:val="center"/>
          </w:tcPr>
          <w:p w14:paraId="5C87E926">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9" w:type="pct"/>
            <w:gridSpan w:val="4"/>
            <w:vAlign w:val="center"/>
          </w:tcPr>
          <w:p w14:paraId="5C4E005A">
            <w:pPr>
              <w:jc w:val="center"/>
              <w:rPr>
                <w:rFonts w:ascii="Times New Roman" w:hAnsi="Times New Roman"/>
                <w:color w:val="000000"/>
                <w:spacing w:val="-20"/>
                <w:sz w:val="18"/>
                <w:szCs w:val="18"/>
              </w:rPr>
            </w:pPr>
          </w:p>
        </w:tc>
        <w:tc>
          <w:tcPr>
            <w:tcW w:w="252" w:type="pct"/>
            <w:gridSpan w:val="2"/>
            <w:vAlign w:val="center"/>
          </w:tcPr>
          <w:p w14:paraId="19DC4A22">
            <w:pPr>
              <w:jc w:val="center"/>
              <w:rPr>
                <w:rFonts w:ascii="Times New Roman" w:hAnsi="Times New Roman"/>
                <w:color w:val="000000"/>
                <w:spacing w:val="-20"/>
                <w:sz w:val="18"/>
                <w:szCs w:val="18"/>
              </w:rPr>
            </w:pPr>
          </w:p>
        </w:tc>
        <w:tc>
          <w:tcPr>
            <w:tcW w:w="275" w:type="pct"/>
            <w:gridSpan w:val="2"/>
            <w:vAlign w:val="center"/>
          </w:tcPr>
          <w:p w14:paraId="2FEB1F69">
            <w:pPr>
              <w:jc w:val="center"/>
              <w:rPr>
                <w:rFonts w:ascii="Times New Roman" w:hAnsi="Times New Roman"/>
                <w:color w:val="000000"/>
                <w:spacing w:val="-20"/>
                <w:sz w:val="18"/>
                <w:szCs w:val="18"/>
              </w:rPr>
            </w:pPr>
          </w:p>
        </w:tc>
        <w:tc>
          <w:tcPr>
            <w:tcW w:w="269" w:type="pct"/>
            <w:gridSpan w:val="2"/>
            <w:vAlign w:val="center"/>
          </w:tcPr>
          <w:p w14:paraId="612F58EE">
            <w:pPr>
              <w:jc w:val="center"/>
              <w:rPr>
                <w:rFonts w:ascii="Times New Roman" w:hAnsi="Times New Roman"/>
                <w:color w:val="000000"/>
                <w:spacing w:val="-20"/>
                <w:sz w:val="18"/>
                <w:szCs w:val="18"/>
              </w:rPr>
            </w:pPr>
          </w:p>
        </w:tc>
        <w:tc>
          <w:tcPr>
            <w:tcW w:w="271" w:type="pct"/>
            <w:gridSpan w:val="2"/>
            <w:vAlign w:val="center"/>
          </w:tcPr>
          <w:p w14:paraId="7BD2118C">
            <w:pPr>
              <w:jc w:val="center"/>
              <w:rPr>
                <w:rFonts w:ascii="Times New Roman" w:hAnsi="Times New Roman"/>
                <w:color w:val="000000"/>
                <w:spacing w:val="-20"/>
                <w:sz w:val="18"/>
                <w:szCs w:val="18"/>
              </w:rPr>
            </w:pPr>
          </w:p>
        </w:tc>
        <w:tc>
          <w:tcPr>
            <w:tcW w:w="335" w:type="pct"/>
            <w:vAlign w:val="center"/>
          </w:tcPr>
          <w:p w14:paraId="01E57BD5">
            <w:pPr>
              <w:jc w:val="center"/>
              <w:rPr>
                <w:rFonts w:ascii="Times New Roman" w:hAnsi="Times New Roman"/>
                <w:color w:val="000000"/>
                <w:spacing w:val="-20"/>
                <w:sz w:val="18"/>
                <w:szCs w:val="18"/>
              </w:rPr>
            </w:pPr>
          </w:p>
        </w:tc>
      </w:tr>
      <w:tr w14:paraId="3163A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3CE2EDD3">
            <w:pPr>
              <w:jc w:val="center"/>
              <w:rPr>
                <w:rFonts w:ascii="Times New Roman" w:hAnsi="Times New Roman"/>
                <w:bCs/>
                <w:color w:val="000000"/>
                <w:sz w:val="24"/>
                <w:szCs w:val="24"/>
              </w:rPr>
            </w:pPr>
          </w:p>
        </w:tc>
        <w:tc>
          <w:tcPr>
            <w:tcW w:w="216" w:type="pct"/>
            <w:vMerge w:val="continue"/>
            <w:vAlign w:val="center"/>
          </w:tcPr>
          <w:p w14:paraId="41B4C094">
            <w:pPr>
              <w:autoSpaceDE w:val="0"/>
              <w:autoSpaceDN w:val="0"/>
              <w:jc w:val="center"/>
              <w:rPr>
                <w:rFonts w:ascii="Times New Roman" w:hAnsi="Times New Roman"/>
                <w:bCs/>
                <w:color w:val="000000"/>
                <w:sz w:val="24"/>
                <w:szCs w:val="24"/>
              </w:rPr>
            </w:pPr>
          </w:p>
        </w:tc>
        <w:tc>
          <w:tcPr>
            <w:tcW w:w="815" w:type="pct"/>
            <w:gridSpan w:val="2"/>
            <w:vAlign w:val="center"/>
          </w:tcPr>
          <w:p w14:paraId="0236460E">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GG111010</w:t>
            </w:r>
          </w:p>
        </w:tc>
        <w:tc>
          <w:tcPr>
            <w:tcW w:w="865" w:type="pct"/>
            <w:vAlign w:val="center"/>
          </w:tcPr>
          <w:p w14:paraId="1A7CED22">
            <w:pPr>
              <w:jc w:val="center"/>
              <w:rPr>
                <w:rFonts w:ascii="Times New Roman" w:hAnsi="Times New Roman"/>
                <w:spacing w:val="-20"/>
                <w:sz w:val="18"/>
                <w:szCs w:val="18"/>
              </w:rPr>
            </w:pPr>
            <w:r>
              <w:rPr>
                <w:rFonts w:hint="eastAsia" w:ascii="Times New Roman" w:hAnsi="Times New Roman"/>
                <w:spacing w:val="-20"/>
                <w:sz w:val="18"/>
                <w:szCs w:val="18"/>
              </w:rPr>
              <w:t>心理健康教育</w:t>
            </w:r>
          </w:p>
        </w:tc>
        <w:tc>
          <w:tcPr>
            <w:tcW w:w="271" w:type="pct"/>
            <w:vAlign w:val="center"/>
          </w:tcPr>
          <w:p w14:paraId="4461CFE5">
            <w:pPr>
              <w:jc w:val="center"/>
              <w:rPr>
                <w:rFonts w:ascii="Times New Roman" w:hAnsi="Times New Roman"/>
                <w:spacing w:val="-20"/>
                <w:sz w:val="18"/>
                <w:szCs w:val="18"/>
              </w:rPr>
            </w:pPr>
            <w:r>
              <w:rPr>
                <w:rFonts w:ascii="Times New Roman" w:hAnsi="Times New Roman"/>
                <w:spacing w:val="-20"/>
                <w:sz w:val="18"/>
                <w:szCs w:val="18"/>
              </w:rPr>
              <w:t>32</w:t>
            </w:r>
          </w:p>
        </w:tc>
        <w:tc>
          <w:tcPr>
            <w:tcW w:w="216" w:type="pct"/>
            <w:vAlign w:val="center"/>
          </w:tcPr>
          <w:p w14:paraId="2292DE39">
            <w:pPr>
              <w:jc w:val="center"/>
              <w:rPr>
                <w:rFonts w:ascii="Times New Roman" w:hAnsi="Times New Roman"/>
                <w:spacing w:val="-20"/>
                <w:sz w:val="18"/>
                <w:szCs w:val="18"/>
              </w:rPr>
            </w:pPr>
            <w:r>
              <w:rPr>
                <w:rFonts w:ascii="Times New Roman" w:hAnsi="Times New Roman"/>
                <w:spacing w:val="-20"/>
                <w:sz w:val="18"/>
                <w:szCs w:val="18"/>
              </w:rPr>
              <w:t>32</w:t>
            </w:r>
          </w:p>
        </w:tc>
        <w:tc>
          <w:tcPr>
            <w:tcW w:w="216" w:type="pct"/>
            <w:vAlign w:val="center"/>
          </w:tcPr>
          <w:p w14:paraId="6518B242">
            <w:pPr>
              <w:jc w:val="center"/>
              <w:rPr>
                <w:rFonts w:ascii="Times New Roman" w:hAnsi="Times New Roman"/>
                <w:spacing w:val="-20"/>
                <w:sz w:val="18"/>
                <w:szCs w:val="18"/>
              </w:rPr>
            </w:pPr>
          </w:p>
        </w:tc>
        <w:tc>
          <w:tcPr>
            <w:tcW w:w="228" w:type="pct"/>
            <w:vAlign w:val="center"/>
          </w:tcPr>
          <w:p w14:paraId="31D8323C">
            <w:pPr>
              <w:jc w:val="center"/>
              <w:rPr>
                <w:rFonts w:ascii="Times New Roman" w:hAnsi="Times New Roman"/>
                <w:spacing w:val="-20"/>
                <w:sz w:val="18"/>
                <w:szCs w:val="18"/>
              </w:rPr>
            </w:pPr>
            <w:r>
              <w:rPr>
                <w:rFonts w:ascii="Times New Roman" w:hAnsi="Times New Roman"/>
                <w:spacing w:val="-20"/>
                <w:sz w:val="18"/>
                <w:szCs w:val="18"/>
              </w:rPr>
              <w:t>2</w:t>
            </w:r>
          </w:p>
        </w:tc>
        <w:tc>
          <w:tcPr>
            <w:tcW w:w="295" w:type="pct"/>
            <w:vAlign w:val="center"/>
          </w:tcPr>
          <w:p w14:paraId="3905B6A6">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9" w:type="pct"/>
            <w:gridSpan w:val="4"/>
            <w:vAlign w:val="center"/>
          </w:tcPr>
          <w:p w14:paraId="1301B2E9">
            <w:pPr>
              <w:jc w:val="center"/>
              <w:rPr>
                <w:rFonts w:ascii="Times New Roman" w:hAnsi="Times New Roman"/>
                <w:color w:val="000000"/>
                <w:spacing w:val="-20"/>
                <w:sz w:val="18"/>
                <w:szCs w:val="18"/>
              </w:rPr>
            </w:pPr>
          </w:p>
        </w:tc>
        <w:tc>
          <w:tcPr>
            <w:tcW w:w="252" w:type="pct"/>
            <w:gridSpan w:val="2"/>
            <w:vAlign w:val="center"/>
          </w:tcPr>
          <w:p w14:paraId="6A3B39C7">
            <w:pPr>
              <w:jc w:val="center"/>
              <w:rPr>
                <w:rFonts w:ascii="Times New Roman" w:hAnsi="Times New Roman"/>
                <w:color w:val="000000"/>
                <w:spacing w:val="-20"/>
                <w:sz w:val="18"/>
                <w:szCs w:val="18"/>
              </w:rPr>
            </w:pPr>
          </w:p>
        </w:tc>
        <w:tc>
          <w:tcPr>
            <w:tcW w:w="275" w:type="pct"/>
            <w:gridSpan w:val="2"/>
            <w:vAlign w:val="center"/>
          </w:tcPr>
          <w:p w14:paraId="569DF5F5">
            <w:pPr>
              <w:jc w:val="center"/>
              <w:rPr>
                <w:rFonts w:ascii="Times New Roman" w:hAnsi="Times New Roman"/>
                <w:color w:val="000000"/>
                <w:spacing w:val="-20"/>
                <w:sz w:val="18"/>
                <w:szCs w:val="18"/>
              </w:rPr>
            </w:pPr>
          </w:p>
        </w:tc>
        <w:tc>
          <w:tcPr>
            <w:tcW w:w="269" w:type="pct"/>
            <w:gridSpan w:val="2"/>
            <w:vAlign w:val="center"/>
          </w:tcPr>
          <w:p w14:paraId="262157A3">
            <w:pPr>
              <w:jc w:val="center"/>
              <w:rPr>
                <w:rFonts w:ascii="Times New Roman" w:hAnsi="Times New Roman"/>
                <w:color w:val="000000"/>
                <w:spacing w:val="-20"/>
                <w:sz w:val="18"/>
                <w:szCs w:val="18"/>
              </w:rPr>
            </w:pPr>
          </w:p>
        </w:tc>
        <w:tc>
          <w:tcPr>
            <w:tcW w:w="271" w:type="pct"/>
            <w:gridSpan w:val="2"/>
            <w:vAlign w:val="center"/>
          </w:tcPr>
          <w:p w14:paraId="2389CA55">
            <w:pPr>
              <w:jc w:val="center"/>
              <w:rPr>
                <w:rFonts w:ascii="Times New Roman" w:hAnsi="Times New Roman"/>
                <w:color w:val="000000"/>
                <w:spacing w:val="-20"/>
                <w:sz w:val="18"/>
                <w:szCs w:val="18"/>
              </w:rPr>
            </w:pPr>
          </w:p>
        </w:tc>
        <w:tc>
          <w:tcPr>
            <w:tcW w:w="335" w:type="pct"/>
            <w:vAlign w:val="center"/>
          </w:tcPr>
          <w:p w14:paraId="379C61C8">
            <w:pPr>
              <w:jc w:val="center"/>
              <w:rPr>
                <w:rFonts w:ascii="Times New Roman" w:hAnsi="Times New Roman"/>
                <w:color w:val="000000"/>
                <w:spacing w:val="-20"/>
                <w:sz w:val="18"/>
                <w:szCs w:val="18"/>
              </w:rPr>
            </w:pPr>
          </w:p>
        </w:tc>
      </w:tr>
      <w:tr w14:paraId="5BB8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33B40734">
            <w:pPr>
              <w:jc w:val="center"/>
              <w:rPr>
                <w:rFonts w:ascii="Times New Roman" w:hAnsi="Times New Roman"/>
                <w:bCs/>
                <w:color w:val="000000"/>
                <w:sz w:val="24"/>
                <w:szCs w:val="24"/>
              </w:rPr>
            </w:pPr>
          </w:p>
        </w:tc>
        <w:tc>
          <w:tcPr>
            <w:tcW w:w="216" w:type="pct"/>
            <w:vMerge w:val="continue"/>
            <w:vAlign w:val="center"/>
          </w:tcPr>
          <w:p w14:paraId="33050B84">
            <w:pPr>
              <w:autoSpaceDE w:val="0"/>
              <w:autoSpaceDN w:val="0"/>
              <w:jc w:val="center"/>
              <w:rPr>
                <w:rFonts w:ascii="Times New Roman" w:hAnsi="Times New Roman"/>
                <w:bCs/>
                <w:color w:val="000000"/>
                <w:sz w:val="24"/>
                <w:szCs w:val="24"/>
              </w:rPr>
            </w:pPr>
          </w:p>
        </w:tc>
        <w:tc>
          <w:tcPr>
            <w:tcW w:w="815" w:type="pct"/>
            <w:gridSpan w:val="2"/>
            <w:vAlign w:val="center"/>
          </w:tcPr>
          <w:p w14:paraId="583500AE">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GG111016</w:t>
            </w:r>
          </w:p>
        </w:tc>
        <w:tc>
          <w:tcPr>
            <w:tcW w:w="865" w:type="pct"/>
            <w:vAlign w:val="center"/>
          </w:tcPr>
          <w:p w14:paraId="518EE1A9">
            <w:pPr>
              <w:jc w:val="center"/>
              <w:rPr>
                <w:rFonts w:ascii="Times New Roman" w:hAnsi="Times New Roman"/>
                <w:color w:val="000000"/>
                <w:sz w:val="18"/>
                <w:szCs w:val="18"/>
              </w:rPr>
            </w:pPr>
            <w:r>
              <w:rPr>
                <w:rFonts w:hint="eastAsia" w:ascii="Times New Roman" w:hAnsi="Times New Roman"/>
                <w:color w:val="000000"/>
                <w:sz w:val="18"/>
                <w:szCs w:val="18"/>
              </w:rPr>
              <w:t>军事理论</w:t>
            </w:r>
          </w:p>
        </w:tc>
        <w:tc>
          <w:tcPr>
            <w:tcW w:w="271" w:type="pct"/>
            <w:tcBorders>
              <w:bottom w:val="single" w:color="auto" w:sz="4" w:space="0"/>
            </w:tcBorders>
            <w:vAlign w:val="center"/>
          </w:tcPr>
          <w:p w14:paraId="2B97826E">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tcBorders>
              <w:bottom w:val="single" w:color="auto" w:sz="4" w:space="0"/>
            </w:tcBorders>
            <w:vAlign w:val="center"/>
          </w:tcPr>
          <w:p w14:paraId="33D29B5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tcBorders>
              <w:bottom w:val="single" w:color="auto" w:sz="4" w:space="0"/>
            </w:tcBorders>
            <w:vAlign w:val="center"/>
          </w:tcPr>
          <w:p w14:paraId="4A608550">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19DE5991">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95" w:type="pct"/>
            <w:vAlign w:val="center"/>
          </w:tcPr>
          <w:p w14:paraId="63D5EDAF">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9" w:type="pct"/>
            <w:gridSpan w:val="4"/>
            <w:vAlign w:val="center"/>
          </w:tcPr>
          <w:p w14:paraId="1296E295">
            <w:pPr>
              <w:jc w:val="center"/>
              <w:rPr>
                <w:rFonts w:ascii="Times New Roman" w:hAnsi="Times New Roman"/>
                <w:color w:val="000000"/>
                <w:spacing w:val="-20"/>
                <w:sz w:val="18"/>
                <w:szCs w:val="18"/>
              </w:rPr>
            </w:pPr>
          </w:p>
        </w:tc>
        <w:tc>
          <w:tcPr>
            <w:tcW w:w="252" w:type="pct"/>
            <w:gridSpan w:val="2"/>
            <w:vAlign w:val="center"/>
          </w:tcPr>
          <w:p w14:paraId="4E90DB1C">
            <w:pPr>
              <w:jc w:val="center"/>
              <w:rPr>
                <w:rFonts w:ascii="Times New Roman" w:hAnsi="Times New Roman"/>
                <w:color w:val="000000"/>
                <w:spacing w:val="-20"/>
                <w:sz w:val="18"/>
                <w:szCs w:val="18"/>
              </w:rPr>
            </w:pPr>
          </w:p>
        </w:tc>
        <w:tc>
          <w:tcPr>
            <w:tcW w:w="275" w:type="pct"/>
            <w:gridSpan w:val="2"/>
            <w:vAlign w:val="center"/>
          </w:tcPr>
          <w:p w14:paraId="1A85643D">
            <w:pPr>
              <w:jc w:val="center"/>
              <w:rPr>
                <w:rFonts w:ascii="Times New Roman" w:hAnsi="Times New Roman"/>
                <w:color w:val="000000"/>
                <w:spacing w:val="-20"/>
                <w:sz w:val="18"/>
                <w:szCs w:val="18"/>
              </w:rPr>
            </w:pPr>
          </w:p>
        </w:tc>
        <w:tc>
          <w:tcPr>
            <w:tcW w:w="269" w:type="pct"/>
            <w:gridSpan w:val="2"/>
            <w:vAlign w:val="center"/>
          </w:tcPr>
          <w:p w14:paraId="58544551">
            <w:pPr>
              <w:jc w:val="center"/>
              <w:rPr>
                <w:rFonts w:ascii="Times New Roman" w:hAnsi="Times New Roman"/>
                <w:color w:val="000000"/>
                <w:spacing w:val="-20"/>
                <w:sz w:val="18"/>
                <w:szCs w:val="18"/>
              </w:rPr>
            </w:pPr>
          </w:p>
        </w:tc>
        <w:tc>
          <w:tcPr>
            <w:tcW w:w="271" w:type="pct"/>
            <w:gridSpan w:val="2"/>
            <w:vAlign w:val="center"/>
          </w:tcPr>
          <w:p w14:paraId="24AD76FC">
            <w:pPr>
              <w:autoSpaceDE w:val="0"/>
              <w:autoSpaceDN w:val="0"/>
              <w:jc w:val="center"/>
              <w:rPr>
                <w:rFonts w:ascii="Times New Roman" w:hAnsi="Times New Roman"/>
                <w:color w:val="000000"/>
                <w:spacing w:val="-20"/>
                <w:sz w:val="18"/>
                <w:szCs w:val="18"/>
              </w:rPr>
            </w:pPr>
          </w:p>
        </w:tc>
        <w:tc>
          <w:tcPr>
            <w:tcW w:w="335" w:type="pct"/>
            <w:vAlign w:val="center"/>
          </w:tcPr>
          <w:p w14:paraId="72A65C58">
            <w:pPr>
              <w:jc w:val="center"/>
              <w:rPr>
                <w:rFonts w:ascii="Times New Roman" w:hAnsi="Times New Roman"/>
                <w:color w:val="000000"/>
                <w:spacing w:val="-20"/>
                <w:sz w:val="18"/>
                <w:szCs w:val="18"/>
              </w:rPr>
            </w:pPr>
          </w:p>
        </w:tc>
      </w:tr>
      <w:tr w14:paraId="76540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0B29BE5C">
            <w:pPr>
              <w:jc w:val="center"/>
              <w:rPr>
                <w:rFonts w:ascii="Times New Roman" w:hAnsi="Times New Roman"/>
                <w:bCs/>
                <w:color w:val="000000"/>
                <w:sz w:val="24"/>
                <w:szCs w:val="24"/>
              </w:rPr>
            </w:pPr>
          </w:p>
        </w:tc>
        <w:tc>
          <w:tcPr>
            <w:tcW w:w="216" w:type="pct"/>
            <w:vMerge w:val="continue"/>
            <w:vAlign w:val="center"/>
          </w:tcPr>
          <w:p w14:paraId="7506D5E6">
            <w:pPr>
              <w:autoSpaceDE w:val="0"/>
              <w:autoSpaceDN w:val="0"/>
              <w:jc w:val="center"/>
              <w:rPr>
                <w:rFonts w:ascii="Times New Roman" w:hAnsi="Times New Roman"/>
                <w:bCs/>
                <w:color w:val="000000"/>
                <w:sz w:val="24"/>
                <w:szCs w:val="24"/>
              </w:rPr>
            </w:pPr>
          </w:p>
        </w:tc>
        <w:tc>
          <w:tcPr>
            <w:tcW w:w="815" w:type="pct"/>
            <w:gridSpan w:val="2"/>
            <w:vAlign w:val="center"/>
          </w:tcPr>
          <w:p w14:paraId="52046846">
            <w:pPr>
              <w:jc w:val="center"/>
              <w:rPr>
                <w:rFonts w:ascii="Times New Roman" w:hAnsi="Times New Roman"/>
                <w:sz w:val="20"/>
                <w:szCs w:val="20"/>
              </w:rPr>
            </w:pPr>
            <w:r>
              <w:rPr>
                <w:rFonts w:hint="eastAsia" w:ascii="微软雅黑" w:hAnsi="微软雅黑" w:eastAsia="微软雅黑"/>
                <w:color w:val="333333"/>
                <w:sz w:val="18"/>
                <w:szCs w:val="18"/>
              </w:rPr>
              <w:t>GG111004</w:t>
            </w:r>
          </w:p>
        </w:tc>
        <w:tc>
          <w:tcPr>
            <w:tcW w:w="865" w:type="pct"/>
            <w:vAlign w:val="center"/>
          </w:tcPr>
          <w:p w14:paraId="6FC4339E">
            <w:pPr>
              <w:jc w:val="center"/>
              <w:rPr>
                <w:rFonts w:ascii="Times New Roman" w:hAnsi="Times New Roman"/>
                <w:bCs/>
                <w:sz w:val="18"/>
                <w:szCs w:val="18"/>
              </w:rPr>
            </w:pPr>
            <w:r>
              <w:rPr>
                <w:rFonts w:hint="eastAsia" w:ascii="Times New Roman" w:hAnsi="Times New Roman"/>
                <w:bCs/>
                <w:sz w:val="18"/>
                <w:szCs w:val="18"/>
              </w:rPr>
              <w:t>大学英语（一）</w:t>
            </w:r>
          </w:p>
        </w:tc>
        <w:tc>
          <w:tcPr>
            <w:tcW w:w="271" w:type="pct"/>
            <w:tcBorders>
              <w:bottom w:val="single" w:color="auto" w:sz="4" w:space="0"/>
            </w:tcBorders>
            <w:vAlign w:val="center"/>
          </w:tcPr>
          <w:p w14:paraId="41976EDA">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color="auto" w:sz="4" w:space="0"/>
            </w:tcBorders>
            <w:vAlign w:val="center"/>
          </w:tcPr>
          <w:p w14:paraId="6F8F0E8E">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216" w:type="pct"/>
            <w:tcBorders>
              <w:bottom w:val="single" w:color="auto" w:sz="4" w:space="0"/>
            </w:tcBorders>
            <w:vAlign w:val="center"/>
          </w:tcPr>
          <w:p w14:paraId="0816C32A">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color="auto" w:sz="4" w:space="0"/>
            </w:tcBorders>
            <w:vAlign w:val="center"/>
          </w:tcPr>
          <w:p w14:paraId="77E5BF5F">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95" w:type="pct"/>
            <w:vAlign w:val="center"/>
          </w:tcPr>
          <w:p w14:paraId="1EF6FE51">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gridSpan w:val="4"/>
            <w:vAlign w:val="center"/>
          </w:tcPr>
          <w:p w14:paraId="6CA04522">
            <w:pPr>
              <w:jc w:val="center"/>
              <w:rPr>
                <w:rFonts w:ascii="Times New Roman" w:hAnsi="Times New Roman"/>
                <w:color w:val="000000"/>
                <w:spacing w:val="-20"/>
                <w:sz w:val="18"/>
                <w:szCs w:val="18"/>
              </w:rPr>
            </w:pPr>
          </w:p>
        </w:tc>
        <w:tc>
          <w:tcPr>
            <w:tcW w:w="252" w:type="pct"/>
            <w:gridSpan w:val="2"/>
            <w:vAlign w:val="center"/>
          </w:tcPr>
          <w:p w14:paraId="3AA565B5">
            <w:pPr>
              <w:jc w:val="center"/>
              <w:rPr>
                <w:rFonts w:ascii="Times New Roman" w:hAnsi="Times New Roman"/>
                <w:color w:val="000000"/>
                <w:spacing w:val="-20"/>
                <w:sz w:val="18"/>
                <w:szCs w:val="18"/>
              </w:rPr>
            </w:pPr>
          </w:p>
        </w:tc>
        <w:tc>
          <w:tcPr>
            <w:tcW w:w="275" w:type="pct"/>
            <w:gridSpan w:val="2"/>
            <w:vAlign w:val="center"/>
          </w:tcPr>
          <w:p w14:paraId="402C0CA4">
            <w:pPr>
              <w:jc w:val="center"/>
              <w:rPr>
                <w:rFonts w:ascii="Times New Roman" w:hAnsi="Times New Roman"/>
                <w:color w:val="000000"/>
                <w:spacing w:val="-20"/>
                <w:sz w:val="18"/>
                <w:szCs w:val="18"/>
              </w:rPr>
            </w:pPr>
          </w:p>
        </w:tc>
        <w:tc>
          <w:tcPr>
            <w:tcW w:w="269" w:type="pct"/>
            <w:gridSpan w:val="2"/>
            <w:vAlign w:val="center"/>
          </w:tcPr>
          <w:p w14:paraId="04C9F85A">
            <w:pPr>
              <w:jc w:val="center"/>
              <w:rPr>
                <w:rFonts w:ascii="Times New Roman" w:hAnsi="Times New Roman"/>
                <w:color w:val="000000"/>
                <w:spacing w:val="-20"/>
                <w:sz w:val="18"/>
                <w:szCs w:val="18"/>
              </w:rPr>
            </w:pPr>
          </w:p>
        </w:tc>
        <w:tc>
          <w:tcPr>
            <w:tcW w:w="271" w:type="pct"/>
            <w:gridSpan w:val="2"/>
            <w:vAlign w:val="center"/>
          </w:tcPr>
          <w:p w14:paraId="32BBB937">
            <w:pPr>
              <w:autoSpaceDE w:val="0"/>
              <w:autoSpaceDN w:val="0"/>
              <w:jc w:val="center"/>
              <w:rPr>
                <w:rFonts w:ascii="Times New Roman" w:hAnsi="Times New Roman"/>
                <w:color w:val="000000"/>
                <w:spacing w:val="-20"/>
                <w:sz w:val="18"/>
                <w:szCs w:val="18"/>
              </w:rPr>
            </w:pPr>
          </w:p>
        </w:tc>
        <w:tc>
          <w:tcPr>
            <w:tcW w:w="335" w:type="pct"/>
            <w:vAlign w:val="center"/>
          </w:tcPr>
          <w:p w14:paraId="02D87A5B">
            <w:pPr>
              <w:jc w:val="center"/>
              <w:rPr>
                <w:rFonts w:ascii="Times New Roman" w:hAnsi="Times New Roman"/>
                <w:color w:val="000000"/>
                <w:spacing w:val="-20"/>
                <w:sz w:val="18"/>
                <w:szCs w:val="18"/>
              </w:rPr>
            </w:pPr>
          </w:p>
        </w:tc>
      </w:tr>
      <w:tr w14:paraId="4EFC5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13F21C6">
            <w:pPr>
              <w:jc w:val="center"/>
              <w:rPr>
                <w:rFonts w:ascii="Times New Roman" w:hAnsi="Times New Roman"/>
                <w:bCs/>
                <w:color w:val="000000"/>
                <w:sz w:val="24"/>
                <w:szCs w:val="24"/>
              </w:rPr>
            </w:pPr>
          </w:p>
        </w:tc>
        <w:tc>
          <w:tcPr>
            <w:tcW w:w="216" w:type="pct"/>
            <w:vMerge w:val="continue"/>
            <w:vAlign w:val="center"/>
          </w:tcPr>
          <w:p w14:paraId="2CDFA047">
            <w:pPr>
              <w:autoSpaceDE w:val="0"/>
              <w:autoSpaceDN w:val="0"/>
              <w:jc w:val="center"/>
              <w:rPr>
                <w:rFonts w:ascii="Times New Roman" w:hAnsi="Times New Roman"/>
                <w:bCs/>
                <w:color w:val="000000"/>
                <w:sz w:val="24"/>
                <w:szCs w:val="24"/>
              </w:rPr>
            </w:pPr>
          </w:p>
        </w:tc>
        <w:tc>
          <w:tcPr>
            <w:tcW w:w="815" w:type="pct"/>
            <w:gridSpan w:val="2"/>
            <w:vAlign w:val="center"/>
          </w:tcPr>
          <w:p w14:paraId="224062A6">
            <w:pPr>
              <w:jc w:val="center"/>
              <w:rPr>
                <w:rFonts w:ascii="Times New Roman" w:hAnsi="Times New Roman"/>
                <w:sz w:val="20"/>
                <w:szCs w:val="20"/>
              </w:rPr>
            </w:pPr>
            <w:r>
              <w:rPr>
                <w:rFonts w:hint="eastAsia" w:ascii="微软雅黑" w:hAnsi="微软雅黑" w:eastAsia="微软雅黑"/>
                <w:color w:val="333333"/>
                <w:sz w:val="18"/>
                <w:szCs w:val="18"/>
              </w:rPr>
              <w:t>GG111005</w:t>
            </w:r>
          </w:p>
        </w:tc>
        <w:tc>
          <w:tcPr>
            <w:tcW w:w="865" w:type="pct"/>
            <w:vAlign w:val="center"/>
          </w:tcPr>
          <w:p w14:paraId="136E2774">
            <w:pPr>
              <w:jc w:val="center"/>
              <w:rPr>
                <w:rFonts w:ascii="Times New Roman" w:hAnsi="Times New Roman"/>
                <w:bCs/>
                <w:sz w:val="18"/>
                <w:szCs w:val="18"/>
              </w:rPr>
            </w:pPr>
            <w:r>
              <w:rPr>
                <w:rFonts w:hint="eastAsia" w:ascii="Times New Roman" w:hAnsi="Times New Roman"/>
                <w:bCs/>
                <w:sz w:val="18"/>
                <w:szCs w:val="18"/>
              </w:rPr>
              <w:t>大学英语（二）</w:t>
            </w:r>
          </w:p>
        </w:tc>
        <w:tc>
          <w:tcPr>
            <w:tcW w:w="271" w:type="pct"/>
            <w:tcBorders>
              <w:bottom w:val="single" w:color="auto" w:sz="4" w:space="0"/>
            </w:tcBorders>
            <w:vAlign w:val="center"/>
          </w:tcPr>
          <w:p w14:paraId="5E984E08">
            <w:pPr>
              <w:jc w:val="center"/>
              <w:rPr>
                <w:rFonts w:ascii="Times New Roman" w:hAnsi="Times New Roman"/>
                <w:bCs/>
                <w:spacing w:val="-20"/>
                <w:sz w:val="18"/>
                <w:szCs w:val="18"/>
              </w:rPr>
            </w:pPr>
            <w:r>
              <w:rPr>
                <w:rFonts w:hint="eastAsia" w:ascii="Times New Roman" w:hAnsi="Times New Roman"/>
                <w:bCs/>
                <w:spacing w:val="-20"/>
                <w:sz w:val="18"/>
                <w:szCs w:val="18"/>
              </w:rPr>
              <w:t>64</w:t>
            </w:r>
          </w:p>
        </w:tc>
        <w:tc>
          <w:tcPr>
            <w:tcW w:w="216" w:type="pct"/>
            <w:tcBorders>
              <w:bottom w:val="single" w:color="auto" w:sz="4" w:space="0"/>
            </w:tcBorders>
            <w:vAlign w:val="center"/>
          </w:tcPr>
          <w:p w14:paraId="49BFD286">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216" w:type="pct"/>
            <w:tcBorders>
              <w:bottom w:val="single" w:color="auto" w:sz="4" w:space="0"/>
            </w:tcBorders>
            <w:vAlign w:val="center"/>
          </w:tcPr>
          <w:p w14:paraId="41EB2EC7">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color="auto" w:sz="4" w:space="0"/>
            </w:tcBorders>
            <w:vAlign w:val="center"/>
          </w:tcPr>
          <w:p w14:paraId="32F9985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95" w:type="pct"/>
            <w:vAlign w:val="center"/>
          </w:tcPr>
          <w:p w14:paraId="1D1F3C32">
            <w:pPr>
              <w:jc w:val="center"/>
              <w:rPr>
                <w:rFonts w:ascii="Times New Roman" w:hAnsi="Times New Roman"/>
                <w:color w:val="000000"/>
                <w:spacing w:val="-20"/>
                <w:sz w:val="18"/>
                <w:szCs w:val="18"/>
              </w:rPr>
            </w:pPr>
          </w:p>
        </w:tc>
        <w:tc>
          <w:tcPr>
            <w:tcW w:w="279" w:type="pct"/>
            <w:gridSpan w:val="4"/>
            <w:vAlign w:val="center"/>
          </w:tcPr>
          <w:p w14:paraId="30021C0A">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52" w:type="pct"/>
            <w:gridSpan w:val="2"/>
            <w:vAlign w:val="center"/>
          </w:tcPr>
          <w:p w14:paraId="401F90E3">
            <w:pPr>
              <w:jc w:val="center"/>
              <w:rPr>
                <w:rFonts w:ascii="Times New Roman" w:hAnsi="Times New Roman"/>
                <w:color w:val="000000"/>
                <w:spacing w:val="-20"/>
                <w:sz w:val="18"/>
                <w:szCs w:val="18"/>
              </w:rPr>
            </w:pPr>
          </w:p>
        </w:tc>
        <w:tc>
          <w:tcPr>
            <w:tcW w:w="275" w:type="pct"/>
            <w:gridSpan w:val="2"/>
            <w:vAlign w:val="center"/>
          </w:tcPr>
          <w:p w14:paraId="41139C87">
            <w:pPr>
              <w:jc w:val="center"/>
              <w:rPr>
                <w:rFonts w:ascii="Times New Roman" w:hAnsi="Times New Roman"/>
                <w:color w:val="000000"/>
                <w:spacing w:val="-20"/>
                <w:sz w:val="18"/>
                <w:szCs w:val="18"/>
              </w:rPr>
            </w:pPr>
          </w:p>
        </w:tc>
        <w:tc>
          <w:tcPr>
            <w:tcW w:w="269" w:type="pct"/>
            <w:gridSpan w:val="2"/>
            <w:vAlign w:val="center"/>
          </w:tcPr>
          <w:p w14:paraId="2FF7D14D">
            <w:pPr>
              <w:jc w:val="center"/>
              <w:rPr>
                <w:rFonts w:ascii="Times New Roman" w:hAnsi="Times New Roman"/>
                <w:color w:val="000000"/>
                <w:spacing w:val="-20"/>
                <w:sz w:val="18"/>
                <w:szCs w:val="18"/>
              </w:rPr>
            </w:pPr>
          </w:p>
        </w:tc>
        <w:tc>
          <w:tcPr>
            <w:tcW w:w="271" w:type="pct"/>
            <w:gridSpan w:val="2"/>
            <w:vAlign w:val="center"/>
          </w:tcPr>
          <w:p w14:paraId="7190FA84">
            <w:pPr>
              <w:autoSpaceDE w:val="0"/>
              <w:autoSpaceDN w:val="0"/>
              <w:jc w:val="center"/>
              <w:rPr>
                <w:rFonts w:ascii="Times New Roman" w:hAnsi="Times New Roman"/>
                <w:color w:val="000000"/>
                <w:spacing w:val="-20"/>
                <w:sz w:val="18"/>
                <w:szCs w:val="18"/>
              </w:rPr>
            </w:pPr>
          </w:p>
        </w:tc>
        <w:tc>
          <w:tcPr>
            <w:tcW w:w="335" w:type="pct"/>
            <w:vAlign w:val="center"/>
          </w:tcPr>
          <w:p w14:paraId="7486BBEE">
            <w:pPr>
              <w:jc w:val="center"/>
              <w:rPr>
                <w:rFonts w:ascii="Times New Roman" w:hAnsi="Times New Roman"/>
                <w:color w:val="000000"/>
                <w:spacing w:val="-20"/>
                <w:sz w:val="18"/>
                <w:szCs w:val="18"/>
              </w:rPr>
            </w:pPr>
          </w:p>
        </w:tc>
      </w:tr>
      <w:tr w14:paraId="08D3A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3D1F9E79">
            <w:pPr>
              <w:jc w:val="center"/>
              <w:rPr>
                <w:rFonts w:ascii="Times New Roman" w:hAnsi="Times New Roman"/>
                <w:bCs/>
                <w:color w:val="000000"/>
                <w:sz w:val="24"/>
                <w:szCs w:val="24"/>
              </w:rPr>
            </w:pPr>
          </w:p>
        </w:tc>
        <w:tc>
          <w:tcPr>
            <w:tcW w:w="216" w:type="pct"/>
            <w:vMerge w:val="continue"/>
            <w:vAlign w:val="center"/>
          </w:tcPr>
          <w:p w14:paraId="223B392E">
            <w:pPr>
              <w:autoSpaceDE w:val="0"/>
              <w:autoSpaceDN w:val="0"/>
              <w:jc w:val="center"/>
              <w:rPr>
                <w:rFonts w:ascii="Times New Roman" w:hAnsi="Times New Roman"/>
                <w:bCs/>
                <w:color w:val="000000"/>
                <w:sz w:val="24"/>
                <w:szCs w:val="24"/>
              </w:rPr>
            </w:pPr>
          </w:p>
        </w:tc>
        <w:tc>
          <w:tcPr>
            <w:tcW w:w="815" w:type="pct"/>
            <w:gridSpan w:val="2"/>
            <w:vAlign w:val="center"/>
          </w:tcPr>
          <w:p w14:paraId="4674CA84">
            <w:pPr>
              <w:jc w:val="center"/>
              <w:rPr>
                <w:rFonts w:ascii="Times New Roman" w:hAnsi="Times New Roman"/>
                <w:sz w:val="20"/>
                <w:szCs w:val="20"/>
              </w:rPr>
            </w:pPr>
            <w:r>
              <w:rPr>
                <w:rFonts w:hint="eastAsia" w:ascii="微软雅黑" w:hAnsi="微软雅黑" w:eastAsia="微软雅黑"/>
                <w:color w:val="333333"/>
                <w:sz w:val="18"/>
                <w:szCs w:val="18"/>
              </w:rPr>
              <w:t>GG111006</w:t>
            </w:r>
          </w:p>
        </w:tc>
        <w:tc>
          <w:tcPr>
            <w:tcW w:w="865" w:type="pct"/>
            <w:vAlign w:val="center"/>
          </w:tcPr>
          <w:p w14:paraId="58B517CD">
            <w:pPr>
              <w:jc w:val="center"/>
              <w:rPr>
                <w:rFonts w:ascii="Times New Roman" w:hAnsi="Times New Roman"/>
                <w:bCs/>
                <w:sz w:val="18"/>
                <w:szCs w:val="18"/>
              </w:rPr>
            </w:pPr>
            <w:r>
              <w:rPr>
                <w:rFonts w:hint="eastAsia" w:ascii="Times New Roman" w:hAnsi="Times New Roman"/>
                <w:bCs/>
                <w:sz w:val="18"/>
                <w:szCs w:val="18"/>
              </w:rPr>
              <w:t>信息技术</w:t>
            </w:r>
          </w:p>
        </w:tc>
        <w:tc>
          <w:tcPr>
            <w:tcW w:w="271" w:type="pct"/>
            <w:tcBorders>
              <w:bottom w:val="single" w:color="auto" w:sz="4" w:space="0"/>
            </w:tcBorders>
            <w:vAlign w:val="center"/>
          </w:tcPr>
          <w:p w14:paraId="7FB2BEFA">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color="auto" w:sz="4" w:space="0"/>
            </w:tcBorders>
            <w:vAlign w:val="center"/>
          </w:tcPr>
          <w:p w14:paraId="785B3CA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color="auto" w:sz="4" w:space="0"/>
            </w:tcBorders>
            <w:vAlign w:val="center"/>
          </w:tcPr>
          <w:p w14:paraId="15F8BD6A">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8" w:type="pct"/>
            <w:tcBorders>
              <w:bottom w:val="single" w:color="auto" w:sz="4" w:space="0"/>
            </w:tcBorders>
            <w:vAlign w:val="center"/>
          </w:tcPr>
          <w:p w14:paraId="6FA3FB14">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95" w:type="pct"/>
            <w:vAlign w:val="center"/>
          </w:tcPr>
          <w:p w14:paraId="5A7CFFB5">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gridSpan w:val="4"/>
            <w:vAlign w:val="center"/>
          </w:tcPr>
          <w:p w14:paraId="031E7AE7">
            <w:pPr>
              <w:jc w:val="center"/>
              <w:rPr>
                <w:rFonts w:ascii="Times New Roman" w:hAnsi="Times New Roman"/>
                <w:color w:val="000000"/>
                <w:spacing w:val="-20"/>
                <w:sz w:val="18"/>
                <w:szCs w:val="18"/>
              </w:rPr>
            </w:pPr>
          </w:p>
        </w:tc>
        <w:tc>
          <w:tcPr>
            <w:tcW w:w="252" w:type="pct"/>
            <w:gridSpan w:val="2"/>
            <w:vAlign w:val="center"/>
          </w:tcPr>
          <w:p w14:paraId="6BF5E226">
            <w:pPr>
              <w:jc w:val="center"/>
              <w:rPr>
                <w:rFonts w:ascii="Times New Roman" w:hAnsi="Times New Roman"/>
                <w:color w:val="000000"/>
                <w:spacing w:val="-20"/>
                <w:sz w:val="18"/>
                <w:szCs w:val="18"/>
              </w:rPr>
            </w:pPr>
          </w:p>
        </w:tc>
        <w:tc>
          <w:tcPr>
            <w:tcW w:w="275" w:type="pct"/>
            <w:gridSpan w:val="2"/>
            <w:vAlign w:val="center"/>
          </w:tcPr>
          <w:p w14:paraId="5B8F896D">
            <w:pPr>
              <w:jc w:val="center"/>
              <w:rPr>
                <w:rFonts w:ascii="Times New Roman" w:hAnsi="Times New Roman"/>
                <w:color w:val="000000"/>
                <w:spacing w:val="-20"/>
                <w:sz w:val="18"/>
                <w:szCs w:val="18"/>
              </w:rPr>
            </w:pPr>
          </w:p>
        </w:tc>
        <w:tc>
          <w:tcPr>
            <w:tcW w:w="269" w:type="pct"/>
            <w:gridSpan w:val="2"/>
            <w:vAlign w:val="center"/>
          </w:tcPr>
          <w:p w14:paraId="77E93039">
            <w:pPr>
              <w:jc w:val="center"/>
              <w:rPr>
                <w:rFonts w:ascii="Times New Roman" w:hAnsi="Times New Roman"/>
                <w:color w:val="000000"/>
                <w:spacing w:val="-20"/>
                <w:sz w:val="18"/>
                <w:szCs w:val="18"/>
              </w:rPr>
            </w:pPr>
          </w:p>
        </w:tc>
        <w:tc>
          <w:tcPr>
            <w:tcW w:w="271" w:type="pct"/>
            <w:gridSpan w:val="2"/>
            <w:vAlign w:val="center"/>
          </w:tcPr>
          <w:p w14:paraId="45CBE3E4">
            <w:pPr>
              <w:autoSpaceDE w:val="0"/>
              <w:autoSpaceDN w:val="0"/>
              <w:jc w:val="center"/>
              <w:rPr>
                <w:rFonts w:ascii="Times New Roman" w:hAnsi="Times New Roman"/>
                <w:color w:val="000000"/>
                <w:spacing w:val="-20"/>
                <w:sz w:val="18"/>
                <w:szCs w:val="18"/>
              </w:rPr>
            </w:pPr>
          </w:p>
        </w:tc>
        <w:tc>
          <w:tcPr>
            <w:tcW w:w="335" w:type="pct"/>
            <w:vAlign w:val="center"/>
          </w:tcPr>
          <w:p w14:paraId="7A0C0287">
            <w:pPr>
              <w:jc w:val="center"/>
              <w:rPr>
                <w:rFonts w:ascii="Times New Roman" w:hAnsi="Times New Roman"/>
                <w:color w:val="000000"/>
                <w:spacing w:val="-20"/>
                <w:sz w:val="18"/>
                <w:szCs w:val="18"/>
              </w:rPr>
            </w:pPr>
          </w:p>
        </w:tc>
      </w:tr>
      <w:tr w14:paraId="3BBBD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0CEF3E1">
            <w:pPr>
              <w:jc w:val="center"/>
              <w:rPr>
                <w:rFonts w:ascii="Times New Roman" w:hAnsi="Times New Roman"/>
                <w:bCs/>
                <w:color w:val="000000"/>
                <w:sz w:val="24"/>
                <w:szCs w:val="24"/>
              </w:rPr>
            </w:pPr>
          </w:p>
        </w:tc>
        <w:tc>
          <w:tcPr>
            <w:tcW w:w="216" w:type="pct"/>
            <w:vMerge w:val="continue"/>
            <w:vAlign w:val="center"/>
          </w:tcPr>
          <w:p w14:paraId="3925655A">
            <w:pPr>
              <w:autoSpaceDE w:val="0"/>
              <w:autoSpaceDN w:val="0"/>
              <w:jc w:val="center"/>
              <w:rPr>
                <w:rFonts w:ascii="Times New Roman" w:hAnsi="Times New Roman"/>
                <w:bCs/>
                <w:color w:val="000000"/>
                <w:sz w:val="24"/>
                <w:szCs w:val="24"/>
              </w:rPr>
            </w:pPr>
          </w:p>
        </w:tc>
        <w:tc>
          <w:tcPr>
            <w:tcW w:w="815" w:type="pct"/>
            <w:gridSpan w:val="2"/>
            <w:vAlign w:val="center"/>
          </w:tcPr>
          <w:p w14:paraId="2536352A">
            <w:pPr>
              <w:jc w:val="center"/>
              <w:rPr>
                <w:rFonts w:ascii="Times New Roman" w:hAnsi="Times New Roman"/>
                <w:sz w:val="20"/>
                <w:szCs w:val="20"/>
              </w:rPr>
            </w:pPr>
            <w:r>
              <w:rPr>
                <w:rFonts w:hint="eastAsia" w:ascii="微软雅黑" w:hAnsi="微软雅黑" w:eastAsia="微软雅黑"/>
                <w:color w:val="333333"/>
                <w:sz w:val="18"/>
                <w:szCs w:val="18"/>
              </w:rPr>
              <w:t>GG111017</w:t>
            </w:r>
          </w:p>
        </w:tc>
        <w:tc>
          <w:tcPr>
            <w:tcW w:w="865" w:type="pct"/>
            <w:vAlign w:val="center"/>
          </w:tcPr>
          <w:p w14:paraId="11095E4E">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中华传统文化</w:t>
            </w:r>
          </w:p>
        </w:tc>
        <w:tc>
          <w:tcPr>
            <w:tcW w:w="271" w:type="pct"/>
            <w:tcBorders>
              <w:bottom w:val="single" w:color="auto" w:sz="4" w:space="0"/>
            </w:tcBorders>
            <w:vAlign w:val="center"/>
          </w:tcPr>
          <w:p w14:paraId="7C8D827E">
            <w:pPr>
              <w:jc w:val="center"/>
              <w:rPr>
                <w:rFonts w:ascii="Times New Roman" w:hAnsi="Times New Roman"/>
                <w:bCs/>
                <w:spacing w:val="-20"/>
                <w:sz w:val="18"/>
                <w:szCs w:val="18"/>
              </w:rPr>
            </w:pPr>
            <w:r>
              <w:rPr>
                <w:rFonts w:ascii="Times New Roman" w:hAnsi="Times New Roman"/>
                <w:bCs/>
                <w:spacing w:val="-20"/>
                <w:sz w:val="18"/>
                <w:szCs w:val="18"/>
              </w:rPr>
              <w:t>32</w:t>
            </w:r>
          </w:p>
        </w:tc>
        <w:tc>
          <w:tcPr>
            <w:tcW w:w="216" w:type="pct"/>
            <w:tcBorders>
              <w:bottom w:val="single" w:color="auto" w:sz="4" w:space="0"/>
            </w:tcBorders>
            <w:vAlign w:val="center"/>
          </w:tcPr>
          <w:p w14:paraId="56F4AEF3">
            <w:pPr>
              <w:jc w:val="center"/>
              <w:rPr>
                <w:rFonts w:ascii="Times New Roman" w:hAnsi="Times New Roman"/>
                <w:bCs/>
                <w:spacing w:val="-20"/>
                <w:sz w:val="18"/>
                <w:szCs w:val="18"/>
              </w:rPr>
            </w:pPr>
            <w:r>
              <w:rPr>
                <w:rFonts w:ascii="Times New Roman" w:hAnsi="Times New Roman"/>
                <w:bCs/>
                <w:spacing w:val="-20"/>
                <w:sz w:val="18"/>
                <w:szCs w:val="18"/>
              </w:rPr>
              <w:t>32</w:t>
            </w:r>
          </w:p>
        </w:tc>
        <w:tc>
          <w:tcPr>
            <w:tcW w:w="216" w:type="pct"/>
            <w:tcBorders>
              <w:bottom w:val="single" w:color="auto" w:sz="4" w:space="0"/>
            </w:tcBorders>
            <w:vAlign w:val="center"/>
          </w:tcPr>
          <w:p w14:paraId="45887F45">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411450B1">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95" w:type="pct"/>
            <w:vAlign w:val="center"/>
          </w:tcPr>
          <w:p w14:paraId="4344B661">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9" w:type="pct"/>
            <w:gridSpan w:val="4"/>
            <w:vAlign w:val="center"/>
          </w:tcPr>
          <w:p w14:paraId="1F79783F">
            <w:pPr>
              <w:jc w:val="center"/>
              <w:rPr>
                <w:rFonts w:ascii="Times New Roman" w:hAnsi="Times New Roman"/>
                <w:color w:val="000000"/>
                <w:spacing w:val="-20"/>
                <w:sz w:val="18"/>
                <w:szCs w:val="18"/>
              </w:rPr>
            </w:pPr>
          </w:p>
        </w:tc>
        <w:tc>
          <w:tcPr>
            <w:tcW w:w="252" w:type="pct"/>
            <w:gridSpan w:val="2"/>
            <w:vAlign w:val="center"/>
          </w:tcPr>
          <w:p w14:paraId="6CD9DE55">
            <w:pPr>
              <w:jc w:val="center"/>
              <w:rPr>
                <w:rFonts w:ascii="Times New Roman" w:hAnsi="Times New Roman"/>
                <w:color w:val="000000"/>
                <w:spacing w:val="-20"/>
                <w:sz w:val="18"/>
                <w:szCs w:val="18"/>
              </w:rPr>
            </w:pPr>
          </w:p>
        </w:tc>
        <w:tc>
          <w:tcPr>
            <w:tcW w:w="275" w:type="pct"/>
            <w:gridSpan w:val="2"/>
            <w:vAlign w:val="center"/>
          </w:tcPr>
          <w:p w14:paraId="71099DBC">
            <w:pPr>
              <w:jc w:val="center"/>
              <w:rPr>
                <w:rFonts w:ascii="Times New Roman" w:hAnsi="Times New Roman"/>
                <w:color w:val="000000"/>
                <w:spacing w:val="-20"/>
                <w:sz w:val="18"/>
                <w:szCs w:val="18"/>
              </w:rPr>
            </w:pPr>
          </w:p>
        </w:tc>
        <w:tc>
          <w:tcPr>
            <w:tcW w:w="269" w:type="pct"/>
            <w:gridSpan w:val="2"/>
            <w:vAlign w:val="center"/>
          </w:tcPr>
          <w:p w14:paraId="1B98FD30">
            <w:pPr>
              <w:jc w:val="center"/>
              <w:rPr>
                <w:rFonts w:ascii="Times New Roman" w:hAnsi="Times New Roman"/>
                <w:color w:val="000000"/>
                <w:spacing w:val="-20"/>
                <w:sz w:val="18"/>
                <w:szCs w:val="18"/>
              </w:rPr>
            </w:pPr>
          </w:p>
        </w:tc>
        <w:tc>
          <w:tcPr>
            <w:tcW w:w="271" w:type="pct"/>
            <w:gridSpan w:val="2"/>
            <w:vAlign w:val="center"/>
          </w:tcPr>
          <w:p w14:paraId="0F5DC96E">
            <w:pPr>
              <w:autoSpaceDE w:val="0"/>
              <w:autoSpaceDN w:val="0"/>
              <w:jc w:val="center"/>
              <w:rPr>
                <w:rFonts w:ascii="Times New Roman" w:hAnsi="Times New Roman"/>
                <w:color w:val="000000"/>
                <w:spacing w:val="-20"/>
                <w:sz w:val="18"/>
                <w:szCs w:val="18"/>
              </w:rPr>
            </w:pPr>
          </w:p>
        </w:tc>
        <w:tc>
          <w:tcPr>
            <w:tcW w:w="335" w:type="pct"/>
            <w:vAlign w:val="center"/>
          </w:tcPr>
          <w:p w14:paraId="425A564B">
            <w:pPr>
              <w:jc w:val="center"/>
              <w:rPr>
                <w:rFonts w:ascii="Times New Roman" w:hAnsi="Times New Roman"/>
                <w:color w:val="000000"/>
                <w:spacing w:val="-20"/>
                <w:sz w:val="18"/>
                <w:szCs w:val="18"/>
              </w:rPr>
            </w:pPr>
          </w:p>
        </w:tc>
      </w:tr>
      <w:tr w14:paraId="69DF9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2708CFF4">
            <w:pPr>
              <w:jc w:val="center"/>
              <w:rPr>
                <w:rFonts w:ascii="Times New Roman" w:hAnsi="Times New Roman"/>
                <w:bCs/>
                <w:color w:val="000000"/>
                <w:sz w:val="24"/>
                <w:szCs w:val="24"/>
              </w:rPr>
            </w:pPr>
          </w:p>
        </w:tc>
        <w:tc>
          <w:tcPr>
            <w:tcW w:w="216" w:type="pct"/>
            <w:vMerge w:val="continue"/>
            <w:vAlign w:val="center"/>
          </w:tcPr>
          <w:p w14:paraId="33E6C545">
            <w:pPr>
              <w:autoSpaceDE w:val="0"/>
              <w:autoSpaceDN w:val="0"/>
              <w:jc w:val="center"/>
              <w:rPr>
                <w:rFonts w:ascii="Times New Roman" w:hAnsi="Times New Roman"/>
                <w:bCs/>
                <w:color w:val="000000"/>
                <w:sz w:val="24"/>
                <w:szCs w:val="24"/>
              </w:rPr>
            </w:pPr>
          </w:p>
        </w:tc>
        <w:tc>
          <w:tcPr>
            <w:tcW w:w="815" w:type="pct"/>
            <w:gridSpan w:val="2"/>
            <w:vAlign w:val="center"/>
          </w:tcPr>
          <w:p w14:paraId="0824EA70">
            <w:pPr>
              <w:jc w:val="center"/>
              <w:rPr>
                <w:rFonts w:ascii="Times New Roman" w:hAnsi="Times New Roman"/>
                <w:sz w:val="20"/>
                <w:szCs w:val="20"/>
              </w:rPr>
            </w:pPr>
            <w:r>
              <w:rPr>
                <w:rFonts w:hint="eastAsia" w:ascii="微软雅黑" w:hAnsi="微软雅黑" w:eastAsia="微软雅黑"/>
                <w:color w:val="333333"/>
                <w:sz w:val="18"/>
                <w:szCs w:val="18"/>
              </w:rPr>
              <w:t>GG111025</w:t>
            </w:r>
          </w:p>
        </w:tc>
        <w:tc>
          <w:tcPr>
            <w:tcW w:w="865" w:type="pct"/>
            <w:vAlign w:val="center"/>
          </w:tcPr>
          <w:p w14:paraId="000955A8">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劳动教育</w:t>
            </w:r>
          </w:p>
        </w:tc>
        <w:tc>
          <w:tcPr>
            <w:tcW w:w="271" w:type="pct"/>
            <w:tcBorders>
              <w:bottom w:val="single" w:color="auto" w:sz="4" w:space="0"/>
            </w:tcBorders>
            <w:vAlign w:val="center"/>
          </w:tcPr>
          <w:p w14:paraId="6FAEF339">
            <w:pPr>
              <w:jc w:val="center"/>
              <w:rPr>
                <w:rFonts w:ascii="Times New Roman" w:hAnsi="Times New Roman"/>
                <w:bCs/>
                <w:spacing w:val="-20"/>
                <w:sz w:val="18"/>
                <w:szCs w:val="18"/>
              </w:rPr>
            </w:pPr>
            <w:r>
              <w:rPr>
                <w:rFonts w:hint="eastAsia" w:ascii="Times New Roman" w:hAnsi="Times New Roman"/>
                <w:bCs/>
                <w:spacing w:val="-20"/>
                <w:sz w:val="18"/>
                <w:szCs w:val="18"/>
              </w:rPr>
              <w:t>32</w:t>
            </w:r>
          </w:p>
        </w:tc>
        <w:tc>
          <w:tcPr>
            <w:tcW w:w="216" w:type="pct"/>
            <w:tcBorders>
              <w:bottom w:val="single" w:color="auto" w:sz="4" w:space="0"/>
            </w:tcBorders>
            <w:vAlign w:val="center"/>
          </w:tcPr>
          <w:p w14:paraId="4276FA1F">
            <w:pPr>
              <w:jc w:val="center"/>
              <w:rPr>
                <w:rFonts w:ascii="Times New Roman" w:hAnsi="Times New Roman"/>
                <w:bCs/>
                <w:spacing w:val="-20"/>
                <w:sz w:val="18"/>
                <w:szCs w:val="18"/>
              </w:rPr>
            </w:pPr>
          </w:p>
        </w:tc>
        <w:tc>
          <w:tcPr>
            <w:tcW w:w="216" w:type="pct"/>
            <w:tcBorders>
              <w:bottom w:val="single" w:color="auto" w:sz="4" w:space="0"/>
            </w:tcBorders>
            <w:vAlign w:val="center"/>
          </w:tcPr>
          <w:p w14:paraId="791236C5">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28" w:type="pct"/>
            <w:tcBorders>
              <w:bottom w:val="single" w:color="auto" w:sz="4" w:space="0"/>
            </w:tcBorders>
            <w:vAlign w:val="center"/>
          </w:tcPr>
          <w:p w14:paraId="3C3E6A6C">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1101" w:type="pct"/>
            <w:gridSpan w:val="9"/>
            <w:vAlign w:val="center"/>
          </w:tcPr>
          <w:p w14:paraId="6E41C69F">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14:textFill>
                  <w14:solidFill>
                    <w14:schemeClr w14:val="tx1"/>
                  </w14:solidFill>
                </w14:textFill>
              </w:rPr>
              <w:t>1-4</w:t>
            </w:r>
            <w:r>
              <w:rPr>
                <w:rFonts w:hint="eastAsia" w:ascii="Times New Roman" w:hAnsi="Times New Roman"/>
                <w:color w:val="000000" w:themeColor="text1"/>
                <w:spacing w:val="-20"/>
                <w:sz w:val="18"/>
                <w:szCs w:val="18"/>
                <w14:textFill>
                  <w14:solidFill>
                    <w14:schemeClr w14:val="tx1"/>
                  </w14:solidFill>
                </w14:textFill>
              </w:rPr>
              <w:t>学期，每学期8学时（也可集中实践）</w:t>
            </w:r>
          </w:p>
        </w:tc>
        <w:tc>
          <w:tcPr>
            <w:tcW w:w="269" w:type="pct"/>
            <w:gridSpan w:val="2"/>
            <w:vAlign w:val="center"/>
          </w:tcPr>
          <w:p w14:paraId="06715B3F">
            <w:pPr>
              <w:jc w:val="center"/>
              <w:rPr>
                <w:rFonts w:ascii="Times New Roman" w:hAnsi="Times New Roman"/>
                <w:color w:val="000000"/>
                <w:spacing w:val="-20"/>
                <w:sz w:val="18"/>
                <w:szCs w:val="18"/>
              </w:rPr>
            </w:pPr>
          </w:p>
        </w:tc>
        <w:tc>
          <w:tcPr>
            <w:tcW w:w="271" w:type="pct"/>
            <w:gridSpan w:val="2"/>
            <w:vAlign w:val="center"/>
          </w:tcPr>
          <w:p w14:paraId="4E264B8F">
            <w:pPr>
              <w:autoSpaceDE w:val="0"/>
              <w:autoSpaceDN w:val="0"/>
              <w:jc w:val="center"/>
              <w:rPr>
                <w:rFonts w:ascii="Times New Roman" w:hAnsi="Times New Roman"/>
                <w:color w:val="000000"/>
                <w:spacing w:val="-20"/>
                <w:sz w:val="18"/>
                <w:szCs w:val="18"/>
              </w:rPr>
            </w:pPr>
          </w:p>
        </w:tc>
        <w:tc>
          <w:tcPr>
            <w:tcW w:w="335" w:type="pct"/>
            <w:vAlign w:val="center"/>
          </w:tcPr>
          <w:p w14:paraId="34033339">
            <w:pPr>
              <w:jc w:val="center"/>
              <w:rPr>
                <w:rFonts w:ascii="Times New Roman" w:hAnsi="Times New Roman"/>
                <w:color w:val="000000"/>
                <w:spacing w:val="-20"/>
                <w:sz w:val="18"/>
                <w:szCs w:val="18"/>
              </w:rPr>
            </w:pPr>
          </w:p>
        </w:tc>
      </w:tr>
      <w:tr w14:paraId="1F78D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5C5971F2">
            <w:pPr>
              <w:jc w:val="center"/>
              <w:rPr>
                <w:rFonts w:ascii="Times New Roman" w:hAnsi="Times New Roman"/>
                <w:bCs/>
                <w:color w:val="000000"/>
                <w:sz w:val="24"/>
                <w:szCs w:val="24"/>
              </w:rPr>
            </w:pPr>
          </w:p>
        </w:tc>
        <w:tc>
          <w:tcPr>
            <w:tcW w:w="216" w:type="pct"/>
            <w:vMerge w:val="continue"/>
            <w:vAlign w:val="center"/>
          </w:tcPr>
          <w:p w14:paraId="1CE44A38">
            <w:pPr>
              <w:autoSpaceDE w:val="0"/>
              <w:autoSpaceDN w:val="0"/>
              <w:jc w:val="center"/>
              <w:rPr>
                <w:rFonts w:ascii="Times New Roman" w:hAnsi="Times New Roman"/>
                <w:bCs/>
                <w:color w:val="000000"/>
                <w:sz w:val="24"/>
                <w:szCs w:val="24"/>
              </w:rPr>
            </w:pPr>
          </w:p>
        </w:tc>
        <w:tc>
          <w:tcPr>
            <w:tcW w:w="815" w:type="pct"/>
            <w:gridSpan w:val="2"/>
            <w:vAlign w:val="center"/>
          </w:tcPr>
          <w:p w14:paraId="6368E7A2">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GG111026</w:t>
            </w:r>
          </w:p>
        </w:tc>
        <w:tc>
          <w:tcPr>
            <w:tcW w:w="865" w:type="pct"/>
            <w:vAlign w:val="center"/>
          </w:tcPr>
          <w:p w14:paraId="58E278E3">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大学生创新创业教育</w:t>
            </w:r>
          </w:p>
        </w:tc>
        <w:tc>
          <w:tcPr>
            <w:tcW w:w="271" w:type="pct"/>
            <w:tcBorders>
              <w:bottom w:val="single" w:color="auto" w:sz="4" w:space="0"/>
            </w:tcBorders>
            <w:vAlign w:val="center"/>
          </w:tcPr>
          <w:p w14:paraId="1E750B70">
            <w:pPr>
              <w:jc w:val="center"/>
              <w:rPr>
                <w:rFonts w:ascii="Times New Roman" w:hAnsi="Times New Roman"/>
                <w:bCs/>
                <w:spacing w:val="-20"/>
                <w:sz w:val="18"/>
                <w:szCs w:val="18"/>
              </w:rPr>
            </w:pPr>
            <w:r>
              <w:rPr>
                <w:rFonts w:hint="eastAsia" w:ascii="Times New Roman" w:hAnsi="Times New Roman"/>
                <w:bCs/>
                <w:spacing w:val="-20"/>
                <w:sz w:val="18"/>
                <w:szCs w:val="18"/>
              </w:rPr>
              <w:t>32</w:t>
            </w:r>
          </w:p>
        </w:tc>
        <w:tc>
          <w:tcPr>
            <w:tcW w:w="216" w:type="pct"/>
            <w:tcBorders>
              <w:bottom w:val="single" w:color="auto" w:sz="4" w:space="0"/>
            </w:tcBorders>
            <w:vAlign w:val="center"/>
          </w:tcPr>
          <w:p w14:paraId="412F4433">
            <w:pPr>
              <w:jc w:val="center"/>
              <w:rPr>
                <w:rFonts w:ascii="Times New Roman" w:hAnsi="Times New Roman"/>
                <w:bCs/>
                <w:spacing w:val="-20"/>
                <w:sz w:val="18"/>
                <w:szCs w:val="18"/>
              </w:rPr>
            </w:pPr>
          </w:p>
        </w:tc>
        <w:tc>
          <w:tcPr>
            <w:tcW w:w="216" w:type="pct"/>
            <w:tcBorders>
              <w:bottom w:val="single" w:color="auto" w:sz="4" w:space="0"/>
            </w:tcBorders>
            <w:vAlign w:val="center"/>
          </w:tcPr>
          <w:p w14:paraId="4B226EC8">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28" w:type="pct"/>
            <w:tcBorders>
              <w:bottom w:val="single" w:color="auto" w:sz="4" w:space="0"/>
            </w:tcBorders>
            <w:vAlign w:val="center"/>
          </w:tcPr>
          <w:p w14:paraId="5AEE44B1">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95" w:type="pct"/>
            <w:vAlign w:val="center"/>
          </w:tcPr>
          <w:p w14:paraId="0494CB8D">
            <w:pPr>
              <w:jc w:val="center"/>
              <w:rPr>
                <w:rFonts w:ascii="Times New Roman" w:hAnsi="Times New Roman"/>
                <w:color w:val="000000" w:themeColor="text1"/>
                <w:spacing w:val="-20"/>
                <w:sz w:val="18"/>
                <w:szCs w:val="18"/>
                <w14:textFill>
                  <w14:solidFill>
                    <w14:schemeClr w14:val="tx1"/>
                  </w14:solidFill>
                </w14:textFill>
              </w:rPr>
            </w:pPr>
          </w:p>
        </w:tc>
        <w:tc>
          <w:tcPr>
            <w:tcW w:w="279" w:type="pct"/>
            <w:gridSpan w:val="4"/>
            <w:vAlign w:val="center"/>
          </w:tcPr>
          <w:p w14:paraId="464D7925">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252" w:type="pct"/>
            <w:gridSpan w:val="2"/>
            <w:vAlign w:val="center"/>
          </w:tcPr>
          <w:p w14:paraId="18A62CB1">
            <w:pPr>
              <w:jc w:val="center"/>
              <w:rPr>
                <w:rFonts w:ascii="Times New Roman" w:hAnsi="Times New Roman"/>
                <w:color w:val="000000" w:themeColor="text1"/>
                <w:spacing w:val="-20"/>
                <w:sz w:val="18"/>
                <w:szCs w:val="18"/>
                <w14:textFill>
                  <w14:solidFill>
                    <w14:schemeClr w14:val="tx1"/>
                  </w14:solidFill>
                </w14:textFill>
              </w:rPr>
            </w:pPr>
          </w:p>
        </w:tc>
        <w:tc>
          <w:tcPr>
            <w:tcW w:w="275" w:type="pct"/>
            <w:gridSpan w:val="2"/>
            <w:vAlign w:val="center"/>
          </w:tcPr>
          <w:p w14:paraId="0FE5C5CF">
            <w:pPr>
              <w:jc w:val="center"/>
              <w:rPr>
                <w:rFonts w:ascii="Times New Roman" w:hAnsi="Times New Roman"/>
                <w:color w:val="000000" w:themeColor="text1"/>
                <w:spacing w:val="-20"/>
                <w:sz w:val="18"/>
                <w:szCs w:val="18"/>
                <w14:textFill>
                  <w14:solidFill>
                    <w14:schemeClr w14:val="tx1"/>
                  </w14:solidFill>
                </w14:textFill>
              </w:rPr>
            </w:pPr>
          </w:p>
        </w:tc>
        <w:tc>
          <w:tcPr>
            <w:tcW w:w="269" w:type="pct"/>
            <w:gridSpan w:val="2"/>
            <w:vAlign w:val="center"/>
          </w:tcPr>
          <w:p w14:paraId="2DF818D5">
            <w:pPr>
              <w:jc w:val="center"/>
              <w:rPr>
                <w:rFonts w:ascii="Times New Roman" w:hAnsi="Times New Roman"/>
                <w:color w:val="000000"/>
                <w:spacing w:val="-20"/>
                <w:sz w:val="18"/>
                <w:szCs w:val="18"/>
              </w:rPr>
            </w:pPr>
          </w:p>
        </w:tc>
        <w:tc>
          <w:tcPr>
            <w:tcW w:w="271" w:type="pct"/>
            <w:gridSpan w:val="2"/>
            <w:vAlign w:val="center"/>
          </w:tcPr>
          <w:p w14:paraId="4225D331">
            <w:pPr>
              <w:autoSpaceDE w:val="0"/>
              <w:autoSpaceDN w:val="0"/>
              <w:jc w:val="center"/>
              <w:rPr>
                <w:rFonts w:ascii="Times New Roman" w:hAnsi="Times New Roman"/>
                <w:color w:val="000000"/>
                <w:spacing w:val="-20"/>
                <w:sz w:val="18"/>
                <w:szCs w:val="18"/>
              </w:rPr>
            </w:pPr>
          </w:p>
        </w:tc>
        <w:tc>
          <w:tcPr>
            <w:tcW w:w="335" w:type="pct"/>
            <w:vAlign w:val="center"/>
          </w:tcPr>
          <w:p w14:paraId="221C7DEC">
            <w:pPr>
              <w:jc w:val="center"/>
              <w:rPr>
                <w:rFonts w:ascii="Times New Roman" w:hAnsi="Times New Roman"/>
                <w:color w:val="000000"/>
                <w:spacing w:val="-20"/>
                <w:sz w:val="18"/>
                <w:szCs w:val="18"/>
              </w:rPr>
            </w:pPr>
          </w:p>
        </w:tc>
      </w:tr>
      <w:tr w14:paraId="2388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20F03730">
            <w:pPr>
              <w:jc w:val="center"/>
              <w:rPr>
                <w:rFonts w:ascii="Times New Roman" w:hAnsi="Times New Roman"/>
                <w:bCs/>
                <w:color w:val="000000"/>
                <w:sz w:val="24"/>
                <w:szCs w:val="24"/>
              </w:rPr>
            </w:pPr>
          </w:p>
        </w:tc>
        <w:tc>
          <w:tcPr>
            <w:tcW w:w="216" w:type="pct"/>
            <w:vMerge w:val="continue"/>
            <w:vAlign w:val="center"/>
          </w:tcPr>
          <w:p w14:paraId="7A3C3A38">
            <w:pPr>
              <w:autoSpaceDE w:val="0"/>
              <w:autoSpaceDN w:val="0"/>
              <w:jc w:val="center"/>
              <w:rPr>
                <w:rFonts w:ascii="Times New Roman" w:hAnsi="Times New Roman"/>
                <w:bCs/>
                <w:color w:val="000000"/>
                <w:sz w:val="24"/>
                <w:szCs w:val="24"/>
              </w:rPr>
            </w:pPr>
          </w:p>
        </w:tc>
        <w:tc>
          <w:tcPr>
            <w:tcW w:w="815" w:type="pct"/>
            <w:gridSpan w:val="2"/>
            <w:vAlign w:val="center"/>
          </w:tcPr>
          <w:p w14:paraId="632E3CC9">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GG111027</w:t>
            </w:r>
          </w:p>
        </w:tc>
        <w:tc>
          <w:tcPr>
            <w:tcW w:w="865" w:type="pct"/>
            <w:vAlign w:val="center"/>
          </w:tcPr>
          <w:p w14:paraId="22B889E2">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国家安全教育</w:t>
            </w:r>
          </w:p>
        </w:tc>
        <w:tc>
          <w:tcPr>
            <w:tcW w:w="271" w:type="pct"/>
            <w:tcBorders>
              <w:bottom w:val="single" w:color="auto" w:sz="4" w:space="0"/>
            </w:tcBorders>
            <w:vAlign w:val="center"/>
          </w:tcPr>
          <w:p w14:paraId="12FF8614">
            <w:pPr>
              <w:jc w:val="center"/>
              <w:rPr>
                <w:rFonts w:ascii="Times New Roman" w:hAnsi="Times New Roman"/>
                <w:bCs/>
                <w:spacing w:val="-20"/>
                <w:sz w:val="18"/>
                <w:szCs w:val="18"/>
              </w:rPr>
            </w:pPr>
            <w:r>
              <w:rPr>
                <w:rFonts w:hint="eastAsia" w:ascii="Times New Roman" w:hAnsi="Times New Roman"/>
                <w:bCs/>
                <w:spacing w:val="-20"/>
                <w:sz w:val="18"/>
                <w:szCs w:val="18"/>
              </w:rPr>
              <w:t>16</w:t>
            </w:r>
          </w:p>
        </w:tc>
        <w:tc>
          <w:tcPr>
            <w:tcW w:w="216" w:type="pct"/>
            <w:tcBorders>
              <w:bottom w:val="single" w:color="auto" w:sz="4" w:space="0"/>
            </w:tcBorders>
            <w:vAlign w:val="center"/>
          </w:tcPr>
          <w:p w14:paraId="39C3E315">
            <w:pPr>
              <w:jc w:val="center"/>
              <w:rPr>
                <w:rFonts w:ascii="Times New Roman" w:hAnsi="Times New Roman"/>
                <w:bCs/>
                <w:spacing w:val="-20"/>
                <w:sz w:val="18"/>
                <w:szCs w:val="18"/>
              </w:rPr>
            </w:pPr>
            <w:r>
              <w:rPr>
                <w:rFonts w:hint="eastAsia" w:ascii="Times New Roman" w:hAnsi="Times New Roman"/>
                <w:bCs/>
                <w:spacing w:val="-20"/>
                <w:sz w:val="18"/>
                <w:szCs w:val="18"/>
              </w:rPr>
              <w:t>12</w:t>
            </w:r>
          </w:p>
        </w:tc>
        <w:tc>
          <w:tcPr>
            <w:tcW w:w="216" w:type="pct"/>
            <w:tcBorders>
              <w:bottom w:val="single" w:color="auto" w:sz="4" w:space="0"/>
            </w:tcBorders>
            <w:vAlign w:val="center"/>
          </w:tcPr>
          <w:p w14:paraId="5EBABEF9">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28" w:type="pct"/>
            <w:tcBorders>
              <w:bottom w:val="single" w:color="auto" w:sz="4" w:space="0"/>
            </w:tcBorders>
            <w:vAlign w:val="center"/>
          </w:tcPr>
          <w:p w14:paraId="1B7F7421">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w:t>
            </w:r>
          </w:p>
        </w:tc>
        <w:tc>
          <w:tcPr>
            <w:tcW w:w="1101" w:type="pct"/>
            <w:gridSpan w:val="9"/>
            <w:vAlign w:val="center"/>
          </w:tcPr>
          <w:p w14:paraId="08F4145F">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spacing w:val="-20"/>
                <w:sz w:val="18"/>
                <w:szCs w:val="18"/>
              </w:rPr>
              <w:t>1-4</w:t>
            </w:r>
            <w:r>
              <w:rPr>
                <w:rFonts w:hint="eastAsia" w:ascii="Times New Roman" w:hAnsi="Times New Roman"/>
                <w:spacing w:val="-20"/>
                <w:sz w:val="18"/>
                <w:szCs w:val="18"/>
              </w:rPr>
              <w:t>学期，每学期4学时，成绩计入第4学期</w:t>
            </w:r>
          </w:p>
        </w:tc>
        <w:tc>
          <w:tcPr>
            <w:tcW w:w="269" w:type="pct"/>
            <w:gridSpan w:val="2"/>
            <w:vAlign w:val="center"/>
          </w:tcPr>
          <w:p w14:paraId="6EF3695A">
            <w:pPr>
              <w:jc w:val="center"/>
              <w:rPr>
                <w:rFonts w:ascii="Times New Roman" w:hAnsi="Times New Roman"/>
                <w:color w:val="000000"/>
                <w:spacing w:val="-20"/>
                <w:sz w:val="18"/>
                <w:szCs w:val="18"/>
              </w:rPr>
            </w:pPr>
          </w:p>
        </w:tc>
        <w:tc>
          <w:tcPr>
            <w:tcW w:w="271" w:type="pct"/>
            <w:gridSpan w:val="2"/>
            <w:vAlign w:val="center"/>
          </w:tcPr>
          <w:p w14:paraId="1E9236EB">
            <w:pPr>
              <w:autoSpaceDE w:val="0"/>
              <w:autoSpaceDN w:val="0"/>
              <w:jc w:val="center"/>
              <w:rPr>
                <w:rFonts w:ascii="Times New Roman" w:hAnsi="Times New Roman"/>
                <w:color w:val="000000"/>
                <w:spacing w:val="-20"/>
                <w:sz w:val="18"/>
                <w:szCs w:val="18"/>
              </w:rPr>
            </w:pPr>
          </w:p>
        </w:tc>
        <w:tc>
          <w:tcPr>
            <w:tcW w:w="335" w:type="pct"/>
            <w:vAlign w:val="center"/>
          </w:tcPr>
          <w:p w14:paraId="7A7A6FE6">
            <w:pPr>
              <w:jc w:val="center"/>
              <w:rPr>
                <w:rFonts w:ascii="Times New Roman" w:hAnsi="Times New Roman"/>
                <w:color w:val="000000"/>
                <w:spacing w:val="-20"/>
                <w:sz w:val="18"/>
                <w:szCs w:val="18"/>
              </w:rPr>
            </w:pPr>
          </w:p>
        </w:tc>
      </w:tr>
      <w:tr w14:paraId="685D0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04BE7DF1">
            <w:pPr>
              <w:jc w:val="center"/>
              <w:rPr>
                <w:rFonts w:ascii="Times New Roman" w:hAnsi="Times New Roman"/>
                <w:bCs/>
                <w:color w:val="000000"/>
                <w:sz w:val="24"/>
                <w:szCs w:val="24"/>
              </w:rPr>
            </w:pPr>
          </w:p>
        </w:tc>
        <w:tc>
          <w:tcPr>
            <w:tcW w:w="216" w:type="pct"/>
            <w:vMerge w:val="continue"/>
            <w:vAlign w:val="center"/>
          </w:tcPr>
          <w:p w14:paraId="7982625C">
            <w:pPr>
              <w:autoSpaceDE w:val="0"/>
              <w:autoSpaceDN w:val="0"/>
              <w:jc w:val="center"/>
              <w:rPr>
                <w:rFonts w:ascii="Times New Roman" w:hAnsi="Times New Roman"/>
                <w:bCs/>
                <w:color w:val="000000"/>
                <w:sz w:val="24"/>
                <w:szCs w:val="24"/>
              </w:rPr>
            </w:pPr>
          </w:p>
        </w:tc>
        <w:tc>
          <w:tcPr>
            <w:tcW w:w="815" w:type="pct"/>
            <w:gridSpan w:val="2"/>
            <w:vAlign w:val="center"/>
          </w:tcPr>
          <w:p w14:paraId="4893FE59">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GG111028</w:t>
            </w:r>
          </w:p>
        </w:tc>
        <w:tc>
          <w:tcPr>
            <w:tcW w:w="865" w:type="pct"/>
            <w:vAlign w:val="center"/>
          </w:tcPr>
          <w:p w14:paraId="7510E37D">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大学生美育</w:t>
            </w:r>
          </w:p>
        </w:tc>
        <w:tc>
          <w:tcPr>
            <w:tcW w:w="271" w:type="pct"/>
            <w:tcBorders>
              <w:bottom w:val="single" w:color="auto" w:sz="4" w:space="0"/>
            </w:tcBorders>
            <w:vAlign w:val="center"/>
          </w:tcPr>
          <w:p w14:paraId="5275D2B3">
            <w:pPr>
              <w:jc w:val="center"/>
              <w:rPr>
                <w:rFonts w:ascii="Times New Roman" w:hAnsi="Times New Roman"/>
                <w:bCs/>
                <w:spacing w:val="-20"/>
                <w:sz w:val="18"/>
                <w:szCs w:val="18"/>
              </w:rPr>
            </w:pPr>
            <w:r>
              <w:rPr>
                <w:rFonts w:hint="eastAsia" w:ascii="Times New Roman" w:hAnsi="Times New Roman"/>
                <w:bCs/>
                <w:spacing w:val="-20"/>
                <w:sz w:val="18"/>
                <w:szCs w:val="18"/>
              </w:rPr>
              <w:t>32</w:t>
            </w:r>
          </w:p>
        </w:tc>
        <w:tc>
          <w:tcPr>
            <w:tcW w:w="216" w:type="pct"/>
            <w:tcBorders>
              <w:bottom w:val="single" w:color="auto" w:sz="4" w:space="0"/>
            </w:tcBorders>
            <w:vAlign w:val="center"/>
          </w:tcPr>
          <w:p w14:paraId="7859FB09">
            <w:pPr>
              <w:jc w:val="center"/>
              <w:rPr>
                <w:rFonts w:ascii="Times New Roman" w:hAnsi="Times New Roman"/>
                <w:bCs/>
                <w:spacing w:val="-20"/>
                <w:sz w:val="18"/>
                <w:szCs w:val="18"/>
              </w:rPr>
            </w:pPr>
            <w:r>
              <w:rPr>
                <w:rFonts w:hint="eastAsia" w:ascii="Times New Roman" w:hAnsi="Times New Roman"/>
                <w:bCs/>
                <w:spacing w:val="-20"/>
                <w:sz w:val="18"/>
                <w:szCs w:val="18"/>
              </w:rPr>
              <w:t>28</w:t>
            </w:r>
          </w:p>
        </w:tc>
        <w:tc>
          <w:tcPr>
            <w:tcW w:w="216" w:type="pct"/>
            <w:tcBorders>
              <w:bottom w:val="single" w:color="auto" w:sz="4" w:space="0"/>
            </w:tcBorders>
            <w:vAlign w:val="center"/>
          </w:tcPr>
          <w:p w14:paraId="111BFFD9">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28" w:type="pct"/>
            <w:tcBorders>
              <w:bottom w:val="single" w:color="auto" w:sz="4" w:space="0"/>
            </w:tcBorders>
            <w:vAlign w:val="center"/>
          </w:tcPr>
          <w:p w14:paraId="455677C7">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95" w:type="pct"/>
            <w:vAlign w:val="center"/>
          </w:tcPr>
          <w:p w14:paraId="519D3885">
            <w:pPr>
              <w:jc w:val="center"/>
              <w:rPr>
                <w:rFonts w:ascii="Times New Roman" w:hAnsi="Times New Roman"/>
                <w:spacing w:val="-20"/>
                <w:sz w:val="18"/>
                <w:szCs w:val="18"/>
              </w:rPr>
            </w:pPr>
          </w:p>
        </w:tc>
        <w:tc>
          <w:tcPr>
            <w:tcW w:w="274" w:type="pct"/>
            <w:gridSpan w:val="3"/>
            <w:vAlign w:val="center"/>
          </w:tcPr>
          <w:p w14:paraId="4388ED86">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57" w:type="pct"/>
            <w:gridSpan w:val="3"/>
            <w:vAlign w:val="center"/>
          </w:tcPr>
          <w:p w14:paraId="7F34877C">
            <w:pPr>
              <w:jc w:val="center"/>
              <w:rPr>
                <w:rFonts w:ascii="Times New Roman" w:hAnsi="Times New Roman"/>
                <w:spacing w:val="-20"/>
                <w:sz w:val="18"/>
                <w:szCs w:val="18"/>
              </w:rPr>
            </w:pPr>
          </w:p>
        </w:tc>
        <w:tc>
          <w:tcPr>
            <w:tcW w:w="275" w:type="pct"/>
            <w:gridSpan w:val="2"/>
            <w:vAlign w:val="center"/>
          </w:tcPr>
          <w:p w14:paraId="70CF90CE">
            <w:pPr>
              <w:jc w:val="center"/>
              <w:rPr>
                <w:rFonts w:ascii="Times New Roman" w:hAnsi="Times New Roman"/>
                <w:spacing w:val="-20"/>
                <w:sz w:val="18"/>
                <w:szCs w:val="18"/>
              </w:rPr>
            </w:pPr>
          </w:p>
        </w:tc>
        <w:tc>
          <w:tcPr>
            <w:tcW w:w="269" w:type="pct"/>
            <w:gridSpan w:val="2"/>
            <w:vAlign w:val="center"/>
          </w:tcPr>
          <w:p w14:paraId="03701286">
            <w:pPr>
              <w:jc w:val="center"/>
              <w:rPr>
                <w:rFonts w:ascii="Times New Roman" w:hAnsi="Times New Roman"/>
                <w:color w:val="000000"/>
                <w:spacing w:val="-20"/>
                <w:sz w:val="18"/>
                <w:szCs w:val="18"/>
              </w:rPr>
            </w:pPr>
          </w:p>
        </w:tc>
        <w:tc>
          <w:tcPr>
            <w:tcW w:w="271" w:type="pct"/>
            <w:gridSpan w:val="2"/>
            <w:vAlign w:val="center"/>
          </w:tcPr>
          <w:p w14:paraId="7145CEA5">
            <w:pPr>
              <w:autoSpaceDE w:val="0"/>
              <w:autoSpaceDN w:val="0"/>
              <w:jc w:val="center"/>
              <w:rPr>
                <w:rFonts w:ascii="Times New Roman" w:hAnsi="Times New Roman"/>
                <w:color w:val="000000"/>
                <w:spacing w:val="-20"/>
                <w:sz w:val="18"/>
                <w:szCs w:val="18"/>
              </w:rPr>
            </w:pPr>
          </w:p>
        </w:tc>
        <w:tc>
          <w:tcPr>
            <w:tcW w:w="335" w:type="pct"/>
            <w:vAlign w:val="center"/>
          </w:tcPr>
          <w:p w14:paraId="56299A3D">
            <w:pPr>
              <w:jc w:val="center"/>
              <w:rPr>
                <w:rFonts w:ascii="Times New Roman" w:hAnsi="Times New Roman"/>
                <w:color w:val="000000"/>
                <w:spacing w:val="-20"/>
                <w:sz w:val="18"/>
                <w:szCs w:val="18"/>
              </w:rPr>
            </w:pPr>
          </w:p>
        </w:tc>
      </w:tr>
      <w:tr w14:paraId="1970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4550A975">
            <w:pPr>
              <w:jc w:val="center"/>
              <w:rPr>
                <w:rFonts w:ascii="Times New Roman" w:hAnsi="Times New Roman"/>
                <w:bCs/>
                <w:color w:val="000000"/>
                <w:sz w:val="24"/>
                <w:szCs w:val="24"/>
              </w:rPr>
            </w:pPr>
          </w:p>
        </w:tc>
        <w:tc>
          <w:tcPr>
            <w:tcW w:w="216" w:type="pct"/>
            <w:vMerge w:val="continue"/>
            <w:vAlign w:val="center"/>
          </w:tcPr>
          <w:p w14:paraId="28393760">
            <w:pPr>
              <w:autoSpaceDE w:val="0"/>
              <w:autoSpaceDN w:val="0"/>
              <w:jc w:val="center"/>
              <w:rPr>
                <w:rFonts w:ascii="Times New Roman" w:hAnsi="Times New Roman"/>
                <w:bCs/>
                <w:color w:val="000000"/>
                <w:sz w:val="24"/>
                <w:szCs w:val="24"/>
              </w:rPr>
            </w:pPr>
          </w:p>
        </w:tc>
        <w:tc>
          <w:tcPr>
            <w:tcW w:w="815" w:type="pct"/>
            <w:gridSpan w:val="2"/>
            <w:vAlign w:val="center"/>
          </w:tcPr>
          <w:p w14:paraId="1F6B683C">
            <w:pPr>
              <w:jc w:val="center"/>
              <w:rPr>
                <w:rFonts w:ascii="Times New Roman" w:hAnsi="Times New Roman"/>
                <w:sz w:val="20"/>
                <w:szCs w:val="20"/>
              </w:rPr>
            </w:pPr>
            <w:r>
              <w:rPr>
                <w:rFonts w:hint="eastAsia" w:ascii="微软雅黑" w:hAnsi="微软雅黑" w:eastAsia="微软雅黑"/>
                <w:color w:val="333333"/>
                <w:sz w:val="18"/>
                <w:szCs w:val="18"/>
              </w:rPr>
              <w:t>GG111018</w:t>
            </w:r>
          </w:p>
        </w:tc>
        <w:tc>
          <w:tcPr>
            <w:tcW w:w="865" w:type="pct"/>
            <w:vAlign w:val="center"/>
          </w:tcPr>
          <w:p w14:paraId="030CD4CD">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高等数学（一）</w:t>
            </w:r>
          </w:p>
        </w:tc>
        <w:tc>
          <w:tcPr>
            <w:tcW w:w="271" w:type="pct"/>
            <w:tcBorders>
              <w:bottom w:val="single" w:color="auto" w:sz="4" w:space="0"/>
            </w:tcBorders>
            <w:vAlign w:val="center"/>
          </w:tcPr>
          <w:p w14:paraId="272E027C">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color="auto" w:sz="4" w:space="0"/>
            </w:tcBorders>
            <w:vAlign w:val="center"/>
          </w:tcPr>
          <w:p w14:paraId="2D013803">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color="auto" w:sz="4" w:space="0"/>
            </w:tcBorders>
            <w:vAlign w:val="center"/>
          </w:tcPr>
          <w:p w14:paraId="01D07963">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1D58AA1D">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95" w:type="pct"/>
            <w:vAlign w:val="center"/>
          </w:tcPr>
          <w:p w14:paraId="6EB3712F">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gridSpan w:val="4"/>
            <w:vAlign w:val="center"/>
          </w:tcPr>
          <w:p w14:paraId="4E80A175">
            <w:pPr>
              <w:jc w:val="center"/>
              <w:rPr>
                <w:rFonts w:ascii="Times New Roman" w:hAnsi="Times New Roman"/>
                <w:color w:val="000000"/>
                <w:spacing w:val="-20"/>
                <w:sz w:val="18"/>
                <w:szCs w:val="18"/>
              </w:rPr>
            </w:pPr>
          </w:p>
        </w:tc>
        <w:tc>
          <w:tcPr>
            <w:tcW w:w="252" w:type="pct"/>
            <w:gridSpan w:val="2"/>
            <w:vAlign w:val="center"/>
          </w:tcPr>
          <w:p w14:paraId="37828780">
            <w:pPr>
              <w:jc w:val="center"/>
              <w:rPr>
                <w:rFonts w:ascii="Times New Roman" w:hAnsi="Times New Roman"/>
                <w:color w:val="000000"/>
                <w:spacing w:val="-20"/>
                <w:sz w:val="18"/>
                <w:szCs w:val="18"/>
              </w:rPr>
            </w:pPr>
          </w:p>
        </w:tc>
        <w:tc>
          <w:tcPr>
            <w:tcW w:w="275" w:type="pct"/>
            <w:gridSpan w:val="2"/>
            <w:vAlign w:val="center"/>
          </w:tcPr>
          <w:p w14:paraId="1E079E11">
            <w:pPr>
              <w:jc w:val="center"/>
              <w:rPr>
                <w:rFonts w:ascii="Times New Roman" w:hAnsi="Times New Roman"/>
                <w:color w:val="000000"/>
                <w:spacing w:val="-20"/>
                <w:sz w:val="18"/>
                <w:szCs w:val="18"/>
              </w:rPr>
            </w:pPr>
          </w:p>
        </w:tc>
        <w:tc>
          <w:tcPr>
            <w:tcW w:w="269" w:type="pct"/>
            <w:gridSpan w:val="2"/>
            <w:vAlign w:val="center"/>
          </w:tcPr>
          <w:p w14:paraId="76D93FE3">
            <w:pPr>
              <w:jc w:val="center"/>
              <w:rPr>
                <w:rFonts w:ascii="Times New Roman" w:hAnsi="Times New Roman"/>
                <w:color w:val="000000"/>
                <w:spacing w:val="-20"/>
                <w:sz w:val="18"/>
                <w:szCs w:val="18"/>
              </w:rPr>
            </w:pPr>
          </w:p>
        </w:tc>
        <w:tc>
          <w:tcPr>
            <w:tcW w:w="271" w:type="pct"/>
            <w:gridSpan w:val="2"/>
            <w:vAlign w:val="center"/>
          </w:tcPr>
          <w:p w14:paraId="50765FDC">
            <w:pPr>
              <w:autoSpaceDE w:val="0"/>
              <w:autoSpaceDN w:val="0"/>
              <w:jc w:val="center"/>
              <w:rPr>
                <w:rFonts w:ascii="Times New Roman" w:hAnsi="Times New Roman"/>
                <w:color w:val="000000"/>
                <w:spacing w:val="-20"/>
                <w:sz w:val="18"/>
                <w:szCs w:val="18"/>
              </w:rPr>
            </w:pPr>
          </w:p>
        </w:tc>
        <w:tc>
          <w:tcPr>
            <w:tcW w:w="335" w:type="pct"/>
            <w:vAlign w:val="center"/>
          </w:tcPr>
          <w:p w14:paraId="3422B913">
            <w:pPr>
              <w:jc w:val="center"/>
              <w:rPr>
                <w:rFonts w:ascii="Times New Roman" w:hAnsi="Times New Roman"/>
                <w:color w:val="000000"/>
                <w:spacing w:val="-20"/>
                <w:sz w:val="18"/>
                <w:szCs w:val="18"/>
              </w:rPr>
            </w:pPr>
          </w:p>
        </w:tc>
      </w:tr>
      <w:tr w14:paraId="6AEAF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76D72FEF">
            <w:pPr>
              <w:jc w:val="center"/>
              <w:rPr>
                <w:rFonts w:ascii="Times New Roman" w:hAnsi="Times New Roman"/>
                <w:bCs/>
                <w:color w:val="000000"/>
                <w:sz w:val="24"/>
                <w:szCs w:val="24"/>
              </w:rPr>
            </w:pPr>
          </w:p>
        </w:tc>
        <w:tc>
          <w:tcPr>
            <w:tcW w:w="216" w:type="pct"/>
            <w:vMerge w:val="continue"/>
            <w:vAlign w:val="center"/>
          </w:tcPr>
          <w:p w14:paraId="45FDFEC2">
            <w:pPr>
              <w:autoSpaceDE w:val="0"/>
              <w:autoSpaceDN w:val="0"/>
              <w:jc w:val="center"/>
              <w:rPr>
                <w:rFonts w:ascii="Times New Roman" w:hAnsi="Times New Roman"/>
                <w:bCs/>
                <w:color w:val="000000"/>
                <w:sz w:val="24"/>
                <w:szCs w:val="24"/>
              </w:rPr>
            </w:pPr>
          </w:p>
        </w:tc>
        <w:tc>
          <w:tcPr>
            <w:tcW w:w="815" w:type="pct"/>
            <w:gridSpan w:val="2"/>
            <w:vAlign w:val="center"/>
          </w:tcPr>
          <w:p w14:paraId="3C360C16">
            <w:pPr>
              <w:jc w:val="center"/>
              <w:rPr>
                <w:rFonts w:hint="eastAsia" w:ascii="微软雅黑" w:hAnsi="微软雅黑" w:eastAsia="微软雅黑" w:cs="Segoe UI"/>
                <w:color w:val="333333"/>
                <w:sz w:val="18"/>
                <w:szCs w:val="18"/>
              </w:rPr>
            </w:pPr>
            <w:r>
              <w:rPr>
                <w:rFonts w:hint="eastAsia" w:ascii="微软雅黑" w:hAnsi="微软雅黑" w:eastAsia="微软雅黑" w:cs="Segoe UI"/>
                <w:color w:val="333333"/>
                <w:sz w:val="18"/>
                <w:szCs w:val="18"/>
              </w:rPr>
              <w:t>GG111019</w:t>
            </w:r>
          </w:p>
        </w:tc>
        <w:tc>
          <w:tcPr>
            <w:tcW w:w="865" w:type="pct"/>
            <w:vAlign w:val="center"/>
          </w:tcPr>
          <w:p w14:paraId="12FFAB8D">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高等数学（二）</w:t>
            </w:r>
          </w:p>
        </w:tc>
        <w:tc>
          <w:tcPr>
            <w:tcW w:w="271" w:type="pct"/>
            <w:tcBorders>
              <w:bottom w:val="single" w:color="auto" w:sz="4" w:space="0"/>
            </w:tcBorders>
            <w:vAlign w:val="center"/>
          </w:tcPr>
          <w:p w14:paraId="50B796CB">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color="auto" w:sz="4" w:space="0"/>
            </w:tcBorders>
            <w:vAlign w:val="center"/>
          </w:tcPr>
          <w:p w14:paraId="57C91808">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color="auto" w:sz="4" w:space="0"/>
            </w:tcBorders>
            <w:vAlign w:val="center"/>
          </w:tcPr>
          <w:p w14:paraId="16D9CCFF">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25B5A437">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95" w:type="pct"/>
            <w:vAlign w:val="center"/>
          </w:tcPr>
          <w:p w14:paraId="3AC35BD3">
            <w:pPr>
              <w:jc w:val="center"/>
              <w:rPr>
                <w:rFonts w:ascii="Times New Roman" w:hAnsi="Times New Roman"/>
                <w:color w:val="000000"/>
                <w:spacing w:val="-20"/>
                <w:sz w:val="18"/>
                <w:szCs w:val="18"/>
              </w:rPr>
            </w:pPr>
          </w:p>
        </w:tc>
        <w:tc>
          <w:tcPr>
            <w:tcW w:w="279" w:type="pct"/>
            <w:gridSpan w:val="4"/>
            <w:vAlign w:val="center"/>
          </w:tcPr>
          <w:p w14:paraId="68A85312">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52" w:type="pct"/>
            <w:gridSpan w:val="2"/>
            <w:vAlign w:val="center"/>
          </w:tcPr>
          <w:p w14:paraId="05946AA0">
            <w:pPr>
              <w:jc w:val="center"/>
              <w:rPr>
                <w:rFonts w:ascii="Times New Roman" w:hAnsi="Times New Roman"/>
                <w:color w:val="000000"/>
                <w:spacing w:val="-20"/>
                <w:sz w:val="18"/>
                <w:szCs w:val="18"/>
              </w:rPr>
            </w:pPr>
          </w:p>
        </w:tc>
        <w:tc>
          <w:tcPr>
            <w:tcW w:w="275" w:type="pct"/>
            <w:gridSpan w:val="2"/>
            <w:vAlign w:val="center"/>
          </w:tcPr>
          <w:p w14:paraId="3B1C289D">
            <w:pPr>
              <w:jc w:val="center"/>
              <w:rPr>
                <w:rFonts w:ascii="Times New Roman" w:hAnsi="Times New Roman"/>
                <w:color w:val="000000"/>
                <w:spacing w:val="-20"/>
                <w:sz w:val="18"/>
                <w:szCs w:val="18"/>
              </w:rPr>
            </w:pPr>
          </w:p>
        </w:tc>
        <w:tc>
          <w:tcPr>
            <w:tcW w:w="269" w:type="pct"/>
            <w:gridSpan w:val="2"/>
            <w:vAlign w:val="center"/>
          </w:tcPr>
          <w:p w14:paraId="05CD3103">
            <w:pPr>
              <w:jc w:val="center"/>
              <w:rPr>
                <w:rFonts w:ascii="Times New Roman" w:hAnsi="Times New Roman"/>
                <w:color w:val="000000"/>
                <w:spacing w:val="-20"/>
                <w:sz w:val="18"/>
                <w:szCs w:val="18"/>
              </w:rPr>
            </w:pPr>
          </w:p>
        </w:tc>
        <w:tc>
          <w:tcPr>
            <w:tcW w:w="271" w:type="pct"/>
            <w:gridSpan w:val="2"/>
            <w:vAlign w:val="center"/>
          </w:tcPr>
          <w:p w14:paraId="0BF2A54F">
            <w:pPr>
              <w:autoSpaceDE w:val="0"/>
              <w:autoSpaceDN w:val="0"/>
              <w:jc w:val="center"/>
              <w:rPr>
                <w:rFonts w:ascii="Times New Roman" w:hAnsi="Times New Roman"/>
                <w:color w:val="000000"/>
                <w:spacing w:val="-20"/>
                <w:sz w:val="18"/>
                <w:szCs w:val="18"/>
              </w:rPr>
            </w:pPr>
          </w:p>
        </w:tc>
        <w:tc>
          <w:tcPr>
            <w:tcW w:w="335" w:type="pct"/>
            <w:vAlign w:val="center"/>
          </w:tcPr>
          <w:p w14:paraId="3BB29948">
            <w:pPr>
              <w:jc w:val="center"/>
              <w:rPr>
                <w:rFonts w:ascii="Times New Roman" w:hAnsi="Times New Roman"/>
                <w:color w:val="000000"/>
                <w:spacing w:val="-20"/>
                <w:sz w:val="18"/>
                <w:szCs w:val="18"/>
              </w:rPr>
            </w:pPr>
          </w:p>
        </w:tc>
      </w:tr>
      <w:tr w14:paraId="2D005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3501AC05">
            <w:pPr>
              <w:jc w:val="center"/>
              <w:rPr>
                <w:rFonts w:ascii="Times New Roman" w:hAnsi="Times New Roman"/>
                <w:bCs/>
                <w:color w:val="000000"/>
                <w:sz w:val="24"/>
                <w:szCs w:val="24"/>
              </w:rPr>
            </w:pPr>
          </w:p>
        </w:tc>
        <w:tc>
          <w:tcPr>
            <w:tcW w:w="216" w:type="pct"/>
            <w:vMerge w:val="continue"/>
            <w:vAlign w:val="center"/>
          </w:tcPr>
          <w:p w14:paraId="62581CB7">
            <w:pPr>
              <w:autoSpaceDE w:val="0"/>
              <w:autoSpaceDN w:val="0"/>
              <w:jc w:val="center"/>
              <w:rPr>
                <w:rFonts w:ascii="Times New Roman" w:hAnsi="Times New Roman"/>
                <w:bCs/>
                <w:color w:val="000000"/>
                <w:sz w:val="24"/>
                <w:szCs w:val="24"/>
              </w:rPr>
            </w:pPr>
          </w:p>
        </w:tc>
        <w:tc>
          <w:tcPr>
            <w:tcW w:w="1680" w:type="pct"/>
            <w:gridSpan w:val="3"/>
            <w:vAlign w:val="center"/>
          </w:tcPr>
          <w:p w14:paraId="5F95B5FD">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tcBorders>
              <w:top w:val="single" w:color="auto" w:sz="4" w:space="0"/>
              <w:left w:val="nil"/>
              <w:bottom w:val="single" w:color="auto" w:sz="4" w:space="0"/>
              <w:right w:val="single" w:color="auto" w:sz="4" w:space="0"/>
            </w:tcBorders>
            <w:shd w:val="clear" w:color="auto" w:fill="auto"/>
            <w:vAlign w:val="center"/>
          </w:tcPr>
          <w:p w14:paraId="349ADE28">
            <w:pPr>
              <w:jc w:val="right"/>
              <w:rPr>
                <w:rFonts w:ascii="Times New Roman" w:hAnsi="Times New Roman" w:eastAsia="等线"/>
                <w:color w:val="000000"/>
                <w:sz w:val="18"/>
                <w:szCs w:val="18"/>
              </w:rPr>
            </w:pPr>
            <w:r>
              <w:rPr>
                <w:rFonts w:hint="eastAsia" w:ascii="Times New Roman" w:hAnsi="Times New Roman" w:eastAsia="等线"/>
                <w:color w:val="000000"/>
                <w:sz w:val="18"/>
                <w:szCs w:val="18"/>
              </w:rPr>
              <w:t>844</w:t>
            </w:r>
          </w:p>
        </w:tc>
        <w:tc>
          <w:tcPr>
            <w:tcW w:w="216" w:type="pct"/>
            <w:tcBorders>
              <w:top w:val="single" w:color="auto" w:sz="4" w:space="0"/>
              <w:left w:val="single" w:color="auto" w:sz="4" w:space="0"/>
              <w:bottom w:val="single" w:color="auto" w:sz="4" w:space="0"/>
              <w:right w:val="single" w:color="auto" w:sz="4" w:space="0"/>
            </w:tcBorders>
            <w:shd w:val="clear" w:color="auto" w:fill="auto"/>
            <w:vAlign w:val="center"/>
          </w:tcPr>
          <w:p w14:paraId="35CF3F92">
            <w:pPr>
              <w:jc w:val="right"/>
              <w:rPr>
                <w:rFonts w:ascii="Times New Roman" w:hAnsi="Times New Roman" w:eastAsia="等线"/>
                <w:color w:val="000000"/>
                <w:sz w:val="18"/>
                <w:szCs w:val="18"/>
              </w:rPr>
            </w:pPr>
            <w:r>
              <w:rPr>
                <w:rFonts w:hint="eastAsia" w:ascii="Times New Roman" w:hAnsi="Times New Roman" w:eastAsia="等线"/>
                <w:color w:val="000000"/>
                <w:sz w:val="18"/>
                <w:szCs w:val="18"/>
              </w:rPr>
              <w:t>624</w:t>
            </w:r>
          </w:p>
        </w:tc>
        <w:tc>
          <w:tcPr>
            <w:tcW w:w="216" w:type="pct"/>
            <w:tcBorders>
              <w:top w:val="single" w:color="auto" w:sz="4" w:space="0"/>
              <w:left w:val="single" w:color="auto" w:sz="4" w:space="0"/>
              <w:bottom w:val="single" w:color="auto" w:sz="4" w:space="0"/>
              <w:right w:val="single" w:color="auto" w:sz="4" w:space="0"/>
            </w:tcBorders>
            <w:shd w:val="clear" w:color="auto" w:fill="auto"/>
            <w:vAlign w:val="center"/>
          </w:tcPr>
          <w:p w14:paraId="2202625C">
            <w:pPr>
              <w:jc w:val="right"/>
              <w:rPr>
                <w:rFonts w:ascii="Times New Roman" w:hAnsi="Times New Roman" w:eastAsia="等线"/>
                <w:color w:val="000000"/>
                <w:sz w:val="18"/>
                <w:szCs w:val="18"/>
              </w:rPr>
            </w:pPr>
            <w:r>
              <w:rPr>
                <w:rFonts w:hint="eastAsia" w:ascii="Times New Roman" w:hAnsi="Times New Roman" w:eastAsia="等线"/>
                <w:color w:val="000000"/>
                <w:sz w:val="18"/>
                <w:szCs w:val="18"/>
              </w:rPr>
              <w:t>252</w:t>
            </w:r>
          </w:p>
        </w:tc>
        <w:tc>
          <w:tcPr>
            <w:tcW w:w="228" w:type="pct"/>
            <w:tcBorders>
              <w:top w:val="single" w:color="auto" w:sz="4" w:space="0"/>
              <w:left w:val="single" w:color="auto" w:sz="4" w:space="0"/>
              <w:bottom w:val="single" w:color="auto" w:sz="4" w:space="0"/>
              <w:right w:val="nil"/>
            </w:tcBorders>
            <w:shd w:val="clear" w:color="auto" w:fill="auto"/>
            <w:vAlign w:val="center"/>
          </w:tcPr>
          <w:p w14:paraId="24BF1D89">
            <w:pPr>
              <w:jc w:val="right"/>
              <w:rPr>
                <w:rFonts w:ascii="Times New Roman" w:hAnsi="Times New Roman" w:eastAsia="等线"/>
                <w:color w:val="000000"/>
                <w:sz w:val="18"/>
                <w:szCs w:val="18"/>
              </w:rPr>
            </w:pPr>
            <w:r>
              <w:rPr>
                <w:rFonts w:hint="eastAsia" w:ascii="Times New Roman" w:hAnsi="Times New Roman" w:eastAsia="等线"/>
                <w:color w:val="000000"/>
                <w:sz w:val="18"/>
                <w:szCs w:val="18"/>
              </w:rPr>
              <w:t>47</w:t>
            </w:r>
          </w:p>
        </w:tc>
        <w:tc>
          <w:tcPr>
            <w:tcW w:w="295" w:type="pct"/>
            <w:vAlign w:val="center"/>
          </w:tcPr>
          <w:p w14:paraId="2B5CC1B9">
            <w:pPr>
              <w:jc w:val="center"/>
              <w:rPr>
                <w:rFonts w:ascii="Times New Roman" w:hAnsi="Times New Roman"/>
                <w:b/>
                <w:sz w:val="18"/>
                <w:szCs w:val="18"/>
              </w:rPr>
            </w:pPr>
            <w:r>
              <w:rPr>
                <w:rFonts w:hint="eastAsia" w:ascii="Times New Roman" w:hAnsi="Times New Roman"/>
                <w:b/>
                <w:sz w:val="18"/>
                <w:szCs w:val="18"/>
              </w:rPr>
              <w:t>48</w:t>
            </w:r>
          </w:p>
        </w:tc>
        <w:tc>
          <w:tcPr>
            <w:tcW w:w="279" w:type="pct"/>
            <w:gridSpan w:val="4"/>
            <w:vAlign w:val="center"/>
          </w:tcPr>
          <w:p w14:paraId="3F885499">
            <w:pPr>
              <w:jc w:val="center"/>
              <w:rPr>
                <w:rFonts w:ascii="Times New Roman" w:hAnsi="Times New Roman"/>
                <w:b/>
                <w:color w:val="000000"/>
                <w:sz w:val="18"/>
                <w:szCs w:val="18"/>
              </w:rPr>
            </w:pPr>
            <w:r>
              <w:rPr>
                <w:rFonts w:hint="eastAsia" w:ascii="Times New Roman" w:hAnsi="Times New Roman"/>
                <w:b/>
                <w:color w:val="000000"/>
                <w:sz w:val="18"/>
                <w:szCs w:val="18"/>
              </w:rPr>
              <w:t>40</w:t>
            </w:r>
          </w:p>
        </w:tc>
        <w:tc>
          <w:tcPr>
            <w:tcW w:w="252" w:type="pct"/>
            <w:gridSpan w:val="2"/>
            <w:vAlign w:val="center"/>
          </w:tcPr>
          <w:p w14:paraId="161B2D96">
            <w:pPr>
              <w:jc w:val="center"/>
              <w:rPr>
                <w:rFonts w:ascii="Times New Roman" w:hAnsi="Times New Roman"/>
                <w:b/>
                <w:color w:val="000000"/>
                <w:sz w:val="18"/>
                <w:szCs w:val="18"/>
              </w:rPr>
            </w:pPr>
            <w:r>
              <w:rPr>
                <w:rFonts w:hint="eastAsia" w:ascii="Times New Roman" w:hAnsi="Times New Roman"/>
                <w:b/>
                <w:color w:val="000000"/>
                <w:sz w:val="18"/>
                <w:szCs w:val="18"/>
              </w:rPr>
              <w:t>29</w:t>
            </w:r>
          </w:p>
        </w:tc>
        <w:tc>
          <w:tcPr>
            <w:tcW w:w="275" w:type="pct"/>
            <w:gridSpan w:val="2"/>
            <w:vAlign w:val="center"/>
          </w:tcPr>
          <w:p w14:paraId="363FEF49">
            <w:pPr>
              <w:jc w:val="center"/>
              <w:rPr>
                <w:rFonts w:ascii="Times New Roman" w:hAnsi="Times New Roman"/>
                <w:b/>
                <w:color w:val="000000"/>
                <w:sz w:val="18"/>
                <w:szCs w:val="18"/>
              </w:rPr>
            </w:pPr>
            <w:r>
              <w:rPr>
                <w:rFonts w:hint="eastAsia" w:ascii="Times New Roman" w:hAnsi="Times New Roman"/>
                <w:b/>
                <w:color w:val="000000"/>
                <w:sz w:val="18"/>
                <w:szCs w:val="18"/>
              </w:rPr>
              <w:t>16</w:t>
            </w:r>
          </w:p>
        </w:tc>
        <w:tc>
          <w:tcPr>
            <w:tcW w:w="269" w:type="pct"/>
            <w:gridSpan w:val="2"/>
            <w:vAlign w:val="center"/>
          </w:tcPr>
          <w:p w14:paraId="2E254D90">
            <w:pPr>
              <w:jc w:val="center"/>
              <w:rPr>
                <w:rFonts w:ascii="Times New Roman" w:hAnsi="Times New Roman"/>
                <w:b/>
                <w:color w:val="000000"/>
                <w:sz w:val="18"/>
                <w:szCs w:val="18"/>
              </w:rPr>
            </w:pPr>
            <w:r>
              <w:rPr>
                <w:rFonts w:hint="eastAsia" w:ascii="Times New Roman" w:hAnsi="Times New Roman"/>
                <w:b/>
                <w:color w:val="000000"/>
                <w:sz w:val="18"/>
                <w:szCs w:val="18"/>
              </w:rPr>
              <w:t>0</w:t>
            </w:r>
          </w:p>
        </w:tc>
        <w:tc>
          <w:tcPr>
            <w:tcW w:w="271" w:type="pct"/>
            <w:gridSpan w:val="2"/>
            <w:vAlign w:val="center"/>
          </w:tcPr>
          <w:p w14:paraId="770CFD2F">
            <w:pPr>
              <w:autoSpaceDE w:val="0"/>
              <w:autoSpaceDN w:val="0"/>
              <w:jc w:val="center"/>
              <w:rPr>
                <w:rFonts w:ascii="Times New Roman" w:hAnsi="Times New Roman"/>
                <w:b/>
                <w:color w:val="000000"/>
                <w:sz w:val="18"/>
                <w:szCs w:val="18"/>
              </w:rPr>
            </w:pPr>
            <w:r>
              <w:rPr>
                <w:rFonts w:hint="eastAsia" w:ascii="Times New Roman" w:hAnsi="Times New Roman"/>
                <w:b/>
                <w:color w:val="000000"/>
                <w:sz w:val="18"/>
                <w:szCs w:val="18"/>
              </w:rPr>
              <w:t>0</w:t>
            </w:r>
          </w:p>
        </w:tc>
        <w:tc>
          <w:tcPr>
            <w:tcW w:w="335" w:type="pct"/>
            <w:vAlign w:val="center"/>
          </w:tcPr>
          <w:p w14:paraId="00EBF9B4">
            <w:pPr>
              <w:autoSpaceDE w:val="0"/>
              <w:autoSpaceDN w:val="0"/>
              <w:jc w:val="center"/>
              <w:rPr>
                <w:rFonts w:ascii="Times New Roman" w:hAnsi="Times New Roman"/>
                <w:b/>
                <w:color w:val="000000"/>
                <w:sz w:val="18"/>
                <w:szCs w:val="18"/>
              </w:rPr>
            </w:pPr>
          </w:p>
        </w:tc>
      </w:tr>
      <w:tr w14:paraId="67E06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14:paraId="22841D84">
            <w:pPr>
              <w:jc w:val="center"/>
              <w:rPr>
                <w:rFonts w:ascii="Times New Roman" w:hAnsi="Times New Roman"/>
                <w:color w:val="000000"/>
                <w:sz w:val="18"/>
                <w:szCs w:val="18"/>
              </w:rPr>
            </w:pPr>
          </w:p>
        </w:tc>
        <w:tc>
          <w:tcPr>
            <w:tcW w:w="216" w:type="pct"/>
            <w:vMerge w:val="restart"/>
            <w:vAlign w:val="center"/>
          </w:tcPr>
          <w:p w14:paraId="14664480">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67B7499F">
            <w:pPr>
              <w:jc w:val="center"/>
              <w:rPr>
                <w:rFonts w:ascii="Times New Roman" w:hAnsi="Times New Roman"/>
                <w:color w:val="000000"/>
                <w:sz w:val="18"/>
                <w:szCs w:val="18"/>
              </w:rPr>
            </w:pPr>
            <w:r>
              <w:rPr>
                <w:rFonts w:hint="eastAsia" w:ascii="Times New Roman" w:hAnsi="Times New Roman"/>
                <w:color w:val="000000"/>
                <w:sz w:val="18"/>
                <w:szCs w:val="18"/>
              </w:rPr>
              <w:t>基础课程</w:t>
            </w:r>
          </w:p>
        </w:tc>
        <w:tc>
          <w:tcPr>
            <w:tcW w:w="815" w:type="pct"/>
            <w:gridSpan w:val="2"/>
            <w:vAlign w:val="center"/>
          </w:tcPr>
          <w:p w14:paraId="795AFF42">
            <w:pPr>
              <w:jc w:val="center"/>
              <w:rPr>
                <w:rFonts w:ascii="Times New Roman" w:hAnsi="Times New Roman"/>
                <w:color w:val="000000"/>
                <w:spacing w:val="-20"/>
                <w:sz w:val="18"/>
                <w:szCs w:val="18"/>
              </w:rPr>
            </w:pPr>
            <w:r>
              <w:rPr>
                <w:rFonts w:hint="eastAsia" w:ascii="宋体" w:hAnsi="宋体" w:cs="宋体"/>
                <w:color w:val="000000"/>
                <w:kern w:val="0"/>
                <w:sz w:val="22"/>
              </w:rPr>
              <w:t>SZ121301</w:t>
            </w:r>
          </w:p>
        </w:tc>
        <w:tc>
          <w:tcPr>
            <w:tcW w:w="865" w:type="pct"/>
            <w:vAlign w:val="center"/>
          </w:tcPr>
          <w:p w14:paraId="3D847F65">
            <w:pPr>
              <w:jc w:val="center"/>
              <w:rPr>
                <w:rFonts w:ascii="Times New Roman" w:hAnsi="Times New Roman"/>
                <w:b/>
                <w:color w:val="FF0000"/>
                <w:spacing w:val="-20"/>
                <w:sz w:val="18"/>
                <w:szCs w:val="18"/>
              </w:rPr>
            </w:pPr>
            <w:r>
              <w:rPr>
                <w:rFonts w:hint="eastAsia" w:ascii="Times New Roman" w:hAnsi="Times New Roman"/>
                <w:spacing w:val="-20"/>
                <w:sz w:val="18"/>
                <w:szCs w:val="18"/>
              </w:rPr>
              <w:t>商务基础</w:t>
            </w:r>
          </w:p>
        </w:tc>
        <w:tc>
          <w:tcPr>
            <w:tcW w:w="271" w:type="pct"/>
            <w:vAlign w:val="center"/>
          </w:tcPr>
          <w:p w14:paraId="215A6194">
            <w:pPr>
              <w:jc w:val="center"/>
              <w:rPr>
                <w:rFonts w:ascii="Times New Roman" w:hAnsi="Times New Roman"/>
                <w:b/>
                <w:color w:val="FF0000"/>
                <w:spacing w:val="-20"/>
                <w:sz w:val="18"/>
                <w:szCs w:val="18"/>
              </w:rPr>
            </w:pPr>
            <w:r>
              <w:rPr>
                <w:rFonts w:hint="eastAsia" w:ascii="Times New Roman" w:hAnsi="Times New Roman"/>
                <w:bCs/>
                <w:spacing w:val="-20"/>
                <w:sz w:val="18"/>
                <w:szCs w:val="18"/>
              </w:rPr>
              <w:t>64</w:t>
            </w:r>
          </w:p>
        </w:tc>
        <w:tc>
          <w:tcPr>
            <w:tcW w:w="216" w:type="pct"/>
            <w:vAlign w:val="center"/>
          </w:tcPr>
          <w:p w14:paraId="281E1282">
            <w:pPr>
              <w:jc w:val="center"/>
              <w:rPr>
                <w:rFonts w:ascii="Times New Roman" w:hAnsi="Times New Roman"/>
                <w:b/>
                <w:color w:val="FF0000"/>
                <w:spacing w:val="-20"/>
                <w:sz w:val="18"/>
                <w:szCs w:val="18"/>
              </w:rPr>
            </w:pPr>
            <w:r>
              <w:rPr>
                <w:rFonts w:hint="eastAsia" w:ascii="Times New Roman" w:hAnsi="Times New Roman"/>
                <w:bCs/>
                <w:spacing w:val="-20"/>
                <w:sz w:val="18"/>
                <w:szCs w:val="18"/>
              </w:rPr>
              <w:t>32</w:t>
            </w:r>
          </w:p>
        </w:tc>
        <w:tc>
          <w:tcPr>
            <w:tcW w:w="216" w:type="pct"/>
            <w:vAlign w:val="center"/>
          </w:tcPr>
          <w:p w14:paraId="0C7325E7">
            <w:pPr>
              <w:jc w:val="center"/>
              <w:rPr>
                <w:rFonts w:ascii="Times New Roman" w:hAnsi="Times New Roman"/>
                <w:b/>
                <w:color w:val="FF0000"/>
                <w:spacing w:val="-20"/>
                <w:sz w:val="18"/>
                <w:szCs w:val="18"/>
              </w:rPr>
            </w:pPr>
            <w:r>
              <w:rPr>
                <w:rFonts w:hint="eastAsia" w:ascii="Times New Roman" w:hAnsi="Times New Roman"/>
                <w:b/>
                <w:color w:val="000000" w:themeColor="text1"/>
                <w:spacing w:val="-20"/>
                <w:sz w:val="18"/>
                <w:szCs w:val="18"/>
                <w14:textFill>
                  <w14:solidFill>
                    <w14:schemeClr w14:val="tx1"/>
                  </w14:solidFill>
                </w14:textFill>
              </w:rPr>
              <w:t>32</w:t>
            </w:r>
          </w:p>
        </w:tc>
        <w:tc>
          <w:tcPr>
            <w:tcW w:w="228" w:type="pct"/>
            <w:vAlign w:val="center"/>
          </w:tcPr>
          <w:p w14:paraId="35CE7B1C">
            <w:pPr>
              <w:jc w:val="center"/>
              <w:rPr>
                <w:rFonts w:ascii="Times New Roman" w:hAnsi="Times New Roman"/>
                <w:b/>
                <w:color w:val="FF0000"/>
                <w:spacing w:val="-20"/>
                <w:sz w:val="18"/>
                <w:szCs w:val="18"/>
              </w:rPr>
            </w:pPr>
            <w:r>
              <w:rPr>
                <w:rFonts w:hint="eastAsia" w:ascii="Times New Roman" w:hAnsi="Times New Roman"/>
                <w:bCs/>
                <w:spacing w:val="-20"/>
                <w:sz w:val="18"/>
                <w:szCs w:val="18"/>
              </w:rPr>
              <w:t>4</w:t>
            </w:r>
          </w:p>
        </w:tc>
        <w:tc>
          <w:tcPr>
            <w:tcW w:w="295" w:type="pct"/>
            <w:shd w:val="clear" w:color="auto" w:fill="auto"/>
            <w:vAlign w:val="center"/>
          </w:tcPr>
          <w:p w14:paraId="3CBC107F">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9" w:type="pct"/>
            <w:gridSpan w:val="4"/>
            <w:shd w:val="clear" w:color="auto" w:fill="auto"/>
            <w:vAlign w:val="center"/>
          </w:tcPr>
          <w:p w14:paraId="049C8E47">
            <w:pPr>
              <w:jc w:val="center"/>
              <w:rPr>
                <w:rFonts w:ascii="Times New Roman" w:hAnsi="Times New Roman"/>
                <w:color w:val="000000"/>
                <w:spacing w:val="-20"/>
                <w:sz w:val="18"/>
                <w:szCs w:val="18"/>
              </w:rPr>
            </w:pPr>
          </w:p>
        </w:tc>
        <w:tc>
          <w:tcPr>
            <w:tcW w:w="252" w:type="pct"/>
            <w:gridSpan w:val="2"/>
            <w:shd w:val="clear" w:color="auto" w:fill="auto"/>
            <w:vAlign w:val="center"/>
          </w:tcPr>
          <w:p w14:paraId="34728875">
            <w:pPr>
              <w:ind w:right="280"/>
              <w:jc w:val="center"/>
              <w:rPr>
                <w:rFonts w:ascii="Times New Roman" w:hAnsi="Times New Roman"/>
                <w:color w:val="000000"/>
                <w:spacing w:val="-20"/>
                <w:sz w:val="18"/>
                <w:szCs w:val="18"/>
              </w:rPr>
            </w:pPr>
          </w:p>
        </w:tc>
        <w:tc>
          <w:tcPr>
            <w:tcW w:w="275" w:type="pct"/>
            <w:gridSpan w:val="2"/>
            <w:shd w:val="clear" w:color="auto" w:fill="auto"/>
            <w:vAlign w:val="center"/>
          </w:tcPr>
          <w:p w14:paraId="6A82F9AA">
            <w:pPr>
              <w:ind w:right="280"/>
              <w:jc w:val="center"/>
              <w:rPr>
                <w:rFonts w:ascii="Times New Roman" w:hAnsi="Times New Roman"/>
                <w:color w:val="000000"/>
                <w:spacing w:val="-20"/>
                <w:sz w:val="18"/>
                <w:szCs w:val="18"/>
              </w:rPr>
            </w:pPr>
          </w:p>
        </w:tc>
        <w:tc>
          <w:tcPr>
            <w:tcW w:w="269" w:type="pct"/>
            <w:gridSpan w:val="2"/>
            <w:vAlign w:val="center"/>
          </w:tcPr>
          <w:p w14:paraId="5B2AD010">
            <w:pPr>
              <w:autoSpaceDE w:val="0"/>
              <w:autoSpaceDN w:val="0"/>
              <w:jc w:val="center"/>
              <w:rPr>
                <w:rFonts w:ascii="Times New Roman" w:hAnsi="Times New Roman"/>
                <w:color w:val="000000"/>
                <w:spacing w:val="-20"/>
                <w:sz w:val="18"/>
                <w:szCs w:val="18"/>
              </w:rPr>
            </w:pPr>
          </w:p>
        </w:tc>
        <w:tc>
          <w:tcPr>
            <w:tcW w:w="271" w:type="pct"/>
            <w:gridSpan w:val="2"/>
            <w:vAlign w:val="center"/>
          </w:tcPr>
          <w:p w14:paraId="3E6A4A36">
            <w:pPr>
              <w:autoSpaceDE w:val="0"/>
              <w:autoSpaceDN w:val="0"/>
              <w:jc w:val="center"/>
              <w:rPr>
                <w:rFonts w:ascii="Times New Roman" w:hAnsi="Times New Roman"/>
                <w:color w:val="000000"/>
                <w:spacing w:val="-20"/>
                <w:sz w:val="18"/>
                <w:szCs w:val="18"/>
              </w:rPr>
            </w:pPr>
          </w:p>
        </w:tc>
        <w:tc>
          <w:tcPr>
            <w:tcW w:w="335" w:type="pct"/>
            <w:vAlign w:val="center"/>
          </w:tcPr>
          <w:p w14:paraId="68EF3B82">
            <w:pPr>
              <w:autoSpaceDE w:val="0"/>
              <w:autoSpaceDN w:val="0"/>
              <w:jc w:val="center"/>
              <w:rPr>
                <w:rFonts w:ascii="Times New Roman" w:hAnsi="Times New Roman"/>
                <w:color w:val="000000"/>
                <w:spacing w:val="-20"/>
                <w:sz w:val="18"/>
                <w:szCs w:val="18"/>
              </w:rPr>
            </w:pPr>
          </w:p>
        </w:tc>
      </w:tr>
      <w:tr w14:paraId="7731B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14C9CC0">
            <w:pPr>
              <w:jc w:val="center"/>
              <w:rPr>
                <w:rFonts w:ascii="Times New Roman" w:hAnsi="Times New Roman"/>
                <w:color w:val="000000"/>
                <w:sz w:val="18"/>
                <w:szCs w:val="18"/>
              </w:rPr>
            </w:pPr>
          </w:p>
        </w:tc>
        <w:tc>
          <w:tcPr>
            <w:tcW w:w="216" w:type="pct"/>
            <w:vMerge w:val="continue"/>
            <w:vAlign w:val="center"/>
          </w:tcPr>
          <w:p w14:paraId="793CF722">
            <w:pPr>
              <w:jc w:val="center"/>
              <w:rPr>
                <w:rFonts w:ascii="Times New Roman" w:hAnsi="Times New Roman"/>
                <w:color w:val="000000"/>
                <w:sz w:val="18"/>
                <w:szCs w:val="18"/>
              </w:rPr>
            </w:pPr>
          </w:p>
        </w:tc>
        <w:tc>
          <w:tcPr>
            <w:tcW w:w="815" w:type="pct"/>
            <w:gridSpan w:val="2"/>
            <w:vAlign w:val="center"/>
          </w:tcPr>
          <w:p w14:paraId="14B909EF">
            <w:pPr>
              <w:jc w:val="center"/>
              <w:rPr>
                <w:rFonts w:ascii="Times New Roman" w:hAnsi="Times New Roman"/>
                <w:color w:val="000000"/>
                <w:spacing w:val="-20"/>
                <w:sz w:val="18"/>
                <w:szCs w:val="18"/>
              </w:rPr>
            </w:pPr>
            <w:r>
              <w:rPr>
                <w:rFonts w:hint="eastAsia" w:ascii="宋体" w:hAnsi="宋体" w:cs="宋体"/>
                <w:color w:val="000000"/>
                <w:kern w:val="0"/>
                <w:sz w:val="22"/>
              </w:rPr>
              <w:t>SZ121302</w:t>
            </w:r>
          </w:p>
        </w:tc>
        <w:tc>
          <w:tcPr>
            <w:tcW w:w="865" w:type="pct"/>
            <w:vAlign w:val="center"/>
          </w:tcPr>
          <w:p w14:paraId="7DE2F746">
            <w:pPr>
              <w:jc w:val="center"/>
              <w:rPr>
                <w:rFonts w:ascii="Times New Roman" w:hAnsi="Times New Roman"/>
                <w:color w:val="000000"/>
                <w:spacing w:val="-20"/>
                <w:sz w:val="18"/>
                <w:szCs w:val="18"/>
              </w:rPr>
            </w:pPr>
            <w:r>
              <w:rPr>
                <w:rFonts w:hint="eastAsia" w:ascii="Times New Roman" w:hAnsi="Times New Roman"/>
                <w:spacing w:val="-20"/>
                <w:sz w:val="18"/>
                <w:szCs w:val="18"/>
              </w:rPr>
              <w:t>仓储与配送管理实务</w:t>
            </w:r>
          </w:p>
        </w:tc>
        <w:tc>
          <w:tcPr>
            <w:tcW w:w="271" w:type="pct"/>
            <w:vAlign w:val="center"/>
          </w:tcPr>
          <w:p w14:paraId="347C566A">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64</w:t>
            </w:r>
          </w:p>
        </w:tc>
        <w:tc>
          <w:tcPr>
            <w:tcW w:w="216" w:type="pct"/>
            <w:vAlign w:val="center"/>
          </w:tcPr>
          <w:p w14:paraId="6819B938">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216" w:type="pct"/>
            <w:vAlign w:val="center"/>
          </w:tcPr>
          <w:p w14:paraId="03A17074">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228" w:type="pct"/>
            <w:vAlign w:val="center"/>
          </w:tcPr>
          <w:p w14:paraId="71AF8039">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95" w:type="pct"/>
            <w:shd w:val="clear" w:color="auto" w:fill="auto"/>
            <w:vAlign w:val="center"/>
          </w:tcPr>
          <w:p w14:paraId="0BE54327">
            <w:pPr>
              <w:jc w:val="center"/>
              <w:rPr>
                <w:rFonts w:ascii="Times New Roman" w:hAnsi="Times New Roman"/>
                <w:color w:val="000000"/>
                <w:spacing w:val="-20"/>
                <w:sz w:val="18"/>
                <w:szCs w:val="18"/>
              </w:rPr>
            </w:pPr>
          </w:p>
        </w:tc>
        <w:tc>
          <w:tcPr>
            <w:tcW w:w="279" w:type="pct"/>
            <w:gridSpan w:val="4"/>
            <w:shd w:val="clear" w:color="auto" w:fill="auto"/>
            <w:vAlign w:val="center"/>
          </w:tcPr>
          <w:p w14:paraId="2648AD8B">
            <w:pPr>
              <w:jc w:val="center"/>
              <w:rPr>
                <w:rFonts w:ascii="Times New Roman" w:hAnsi="Times New Roman"/>
                <w:color w:val="000000"/>
                <w:spacing w:val="-20"/>
                <w:sz w:val="18"/>
                <w:szCs w:val="18"/>
              </w:rPr>
            </w:pPr>
          </w:p>
        </w:tc>
        <w:tc>
          <w:tcPr>
            <w:tcW w:w="252" w:type="pct"/>
            <w:gridSpan w:val="2"/>
            <w:shd w:val="clear" w:color="auto" w:fill="auto"/>
            <w:vAlign w:val="center"/>
          </w:tcPr>
          <w:p w14:paraId="070E65D8">
            <w:pPr>
              <w:ind w:right="28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5" w:type="pct"/>
            <w:gridSpan w:val="2"/>
            <w:shd w:val="clear" w:color="auto" w:fill="auto"/>
            <w:vAlign w:val="center"/>
          </w:tcPr>
          <w:p w14:paraId="39B6AB20">
            <w:pPr>
              <w:ind w:right="280"/>
              <w:jc w:val="center"/>
              <w:rPr>
                <w:rFonts w:ascii="Times New Roman" w:hAnsi="Times New Roman"/>
                <w:color w:val="000000"/>
                <w:spacing w:val="-20"/>
                <w:sz w:val="18"/>
                <w:szCs w:val="18"/>
              </w:rPr>
            </w:pPr>
          </w:p>
        </w:tc>
        <w:tc>
          <w:tcPr>
            <w:tcW w:w="269" w:type="pct"/>
            <w:gridSpan w:val="2"/>
            <w:vAlign w:val="center"/>
          </w:tcPr>
          <w:p w14:paraId="457ECA95">
            <w:pPr>
              <w:autoSpaceDE w:val="0"/>
              <w:autoSpaceDN w:val="0"/>
              <w:jc w:val="center"/>
              <w:rPr>
                <w:rFonts w:ascii="Times New Roman" w:hAnsi="Times New Roman"/>
                <w:color w:val="000000"/>
                <w:spacing w:val="-20"/>
                <w:sz w:val="18"/>
                <w:szCs w:val="18"/>
              </w:rPr>
            </w:pPr>
          </w:p>
        </w:tc>
        <w:tc>
          <w:tcPr>
            <w:tcW w:w="271" w:type="pct"/>
            <w:gridSpan w:val="2"/>
            <w:vAlign w:val="center"/>
          </w:tcPr>
          <w:p w14:paraId="5E6A177D">
            <w:pPr>
              <w:autoSpaceDE w:val="0"/>
              <w:autoSpaceDN w:val="0"/>
              <w:jc w:val="center"/>
              <w:rPr>
                <w:rFonts w:ascii="Times New Roman" w:hAnsi="Times New Roman"/>
                <w:color w:val="000000"/>
                <w:spacing w:val="-20"/>
                <w:sz w:val="18"/>
                <w:szCs w:val="18"/>
              </w:rPr>
            </w:pPr>
          </w:p>
        </w:tc>
        <w:tc>
          <w:tcPr>
            <w:tcW w:w="335" w:type="pct"/>
            <w:vAlign w:val="center"/>
          </w:tcPr>
          <w:p w14:paraId="17E2CC35">
            <w:pPr>
              <w:autoSpaceDE w:val="0"/>
              <w:autoSpaceDN w:val="0"/>
              <w:jc w:val="center"/>
              <w:rPr>
                <w:rFonts w:ascii="Times New Roman" w:hAnsi="Times New Roman"/>
                <w:color w:val="000000"/>
                <w:spacing w:val="-20"/>
                <w:sz w:val="18"/>
                <w:szCs w:val="18"/>
              </w:rPr>
            </w:pPr>
          </w:p>
        </w:tc>
      </w:tr>
      <w:tr w14:paraId="26A6E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37EE854">
            <w:pPr>
              <w:jc w:val="center"/>
              <w:rPr>
                <w:rFonts w:ascii="Times New Roman" w:hAnsi="Times New Roman"/>
                <w:color w:val="000000"/>
                <w:sz w:val="18"/>
                <w:szCs w:val="18"/>
              </w:rPr>
            </w:pPr>
          </w:p>
        </w:tc>
        <w:tc>
          <w:tcPr>
            <w:tcW w:w="216" w:type="pct"/>
            <w:vMerge w:val="continue"/>
            <w:vAlign w:val="center"/>
          </w:tcPr>
          <w:p w14:paraId="428965A7">
            <w:pPr>
              <w:jc w:val="center"/>
              <w:rPr>
                <w:rFonts w:ascii="Times New Roman" w:hAnsi="Times New Roman"/>
                <w:color w:val="000000"/>
                <w:sz w:val="18"/>
                <w:szCs w:val="18"/>
              </w:rPr>
            </w:pPr>
          </w:p>
        </w:tc>
        <w:tc>
          <w:tcPr>
            <w:tcW w:w="815" w:type="pct"/>
            <w:gridSpan w:val="2"/>
            <w:vAlign w:val="center"/>
          </w:tcPr>
          <w:p w14:paraId="325E3204">
            <w:pPr>
              <w:jc w:val="center"/>
              <w:rPr>
                <w:rFonts w:ascii="Times New Roman" w:hAnsi="Times New Roman"/>
                <w:color w:val="000000"/>
                <w:spacing w:val="-20"/>
                <w:sz w:val="18"/>
                <w:szCs w:val="18"/>
              </w:rPr>
            </w:pPr>
            <w:r>
              <w:rPr>
                <w:rFonts w:hint="eastAsia" w:ascii="宋体" w:hAnsi="宋体" w:cs="宋体"/>
                <w:color w:val="000000"/>
                <w:kern w:val="0"/>
                <w:sz w:val="22"/>
              </w:rPr>
              <w:t>SZ121303</w:t>
            </w:r>
          </w:p>
        </w:tc>
        <w:tc>
          <w:tcPr>
            <w:tcW w:w="865" w:type="pct"/>
            <w:vAlign w:val="center"/>
          </w:tcPr>
          <w:p w14:paraId="10813282">
            <w:pPr>
              <w:jc w:val="center"/>
              <w:rPr>
                <w:rFonts w:ascii="Times New Roman" w:hAnsi="Times New Roman"/>
                <w:color w:val="000000"/>
                <w:spacing w:val="-20"/>
                <w:sz w:val="18"/>
                <w:szCs w:val="18"/>
              </w:rPr>
            </w:pPr>
            <w:r>
              <w:rPr>
                <w:rFonts w:hint="eastAsia" w:ascii="Times New Roman" w:hAnsi="Times New Roman"/>
                <w:spacing w:val="-20"/>
                <w:sz w:val="18"/>
                <w:szCs w:val="18"/>
              </w:rPr>
              <w:t>运输管理实务</w:t>
            </w:r>
          </w:p>
        </w:tc>
        <w:tc>
          <w:tcPr>
            <w:tcW w:w="271" w:type="pct"/>
            <w:vAlign w:val="center"/>
          </w:tcPr>
          <w:p w14:paraId="6ED21D9D">
            <w:pPr>
              <w:jc w:val="center"/>
              <w:rPr>
                <w:rFonts w:ascii="Times New Roman" w:hAnsi="Times New Roman"/>
                <w:color w:val="000000"/>
                <w:spacing w:val="-20"/>
                <w:sz w:val="18"/>
                <w:szCs w:val="18"/>
              </w:rPr>
            </w:pPr>
            <w:r>
              <w:rPr>
                <w:rFonts w:hint="eastAsia" w:ascii="Times New Roman" w:hAnsi="Times New Roman"/>
                <w:bCs/>
                <w:spacing w:val="-20"/>
                <w:sz w:val="18"/>
                <w:szCs w:val="18"/>
              </w:rPr>
              <w:t>64</w:t>
            </w:r>
          </w:p>
        </w:tc>
        <w:tc>
          <w:tcPr>
            <w:tcW w:w="216" w:type="pct"/>
            <w:vAlign w:val="center"/>
          </w:tcPr>
          <w:p w14:paraId="3EB345AB">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bCs/>
                <w:color w:val="000000" w:themeColor="text1"/>
                <w:spacing w:val="-20"/>
                <w:sz w:val="18"/>
                <w:szCs w:val="18"/>
                <w14:textFill>
                  <w14:solidFill>
                    <w14:schemeClr w14:val="tx1"/>
                  </w14:solidFill>
                </w14:textFill>
              </w:rPr>
              <w:t>32</w:t>
            </w:r>
          </w:p>
        </w:tc>
        <w:tc>
          <w:tcPr>
            <w:tcW w:w="216" w:type="pct"/>
            <w:vAlign w:val="center"/>
          </w:tcPr>
          <w:p w14:paraId="4F04932A">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228" w:type="pct"/>
            <w:vAlign w:val="center"/>
          </w:tcPr>
          <w:p w14:paraId="47CF333D">
            <w:pPr>
              <w:jc w:val="center"/>
              <w:rPr>
                <w:rFonts w:ascii="Times New Roman" w:hAnsi="Times New Roman"/>
                <w:color w:val="000000"/>
                <w:spacing w:val="-20"/>
                <w:sz w:val="18"/>
                <w:szCs w:val="18"/>
              </w:rPr>
            </w:pPr>
            <w:r>
              <w:rPr>
                <w:rFonts w:hint="eastAsia" w:ascii="Times New Roman" w:hAnsi="Times New Roman"/>
                <w:bCs/>
                <w:spacing w:val="-20"/>
                <w:sz w:val="18"/>
                <w:szCs w:val="18"/>
              </w:rPr>
              <w:t>4</w:t>
            </w:r>
          </w:p>
        </w:tc>
        <w:tc>
          <w:tcPr>
            <w:tcW w:w="295" w:type="pct"/>
            <w:shd w:val="clear" w:color="auto" w:fill="auto"/>
            <w:vAlign w:val="center"/>
          </w:tcPr>
          <w:p w14:paraId="58A65828">
            <w:pPr>
              <w:jc w:val="center"/>
              <w:rPr>
                <w:rFonts w:ascii="Times New Roman" w:hAnsi="Times New Roman"/>
                <w:color w:val="000000"/>
                <w:spacing w:val="-20"/>
                <w:sz w:val="18"/>
                <w:szCs w:val="18"/>
              </w:rPr>
            </w:pPr>
          </w:p>
        </w:tc>
        <w:tc>
          <w:tcPr>
            <w:tcW w:w="279" w:type="pct"/>
            <w:gridSpan w:val="4"/>
            <w:shd w:val="clear" w:color="auto" w:fill="auto"/>
            <w:vAlign w:val="center"/>
          </w:tcPr>
          <w:p w14:paraId="05A3DFEA">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52" w:type="pct"/>
            <w:gridSpan w:val="2"/>
            <w:shd w:val="clear" w:color="auto" w:fill="auto"/>
            <w:vAlign w:val="center"/>
          </w:tcPr>
          <w:p w14:paraId="4F5E0BC1">
            <w:pPr>
              <w:ind w:right="280"/>
              <w:jc w:val="center"/>
              <w:rPr>
                <w:rFonts w:ascii="Times New Roman" w:hAnsi="Times New Roman"/>
                <w:color w:val="000000"/>
                <w:spacing w:val="-20"/>
                <w:sz w:val="18"/>
                <w:szCs w:val="18"/>
              </w:rPr>
            </w:pPr>
          </w:p>
        </w:tc>
        <w:tc>
          <w:tcPr>
            <w:tcW w:w="275" w:type="pct"/>
            <w:gridSpan w:val="2"/>
            <w:shd w:val="clear" w:color="auto" w:fill="auto"/>
            <w:vAlign w:val="center"/>
          </w:tcPr>
          <w:p w14:paraId="1893DE45">
            <w:pPr>
              <w:ind w:right="280"/>
              <w:jc w:val="center"/>
              <w:rPr>
                <w:rFonts w:ascii="Times New Roman" w:hAnsi="Times New Roman"/>
                <w:color w:val="000000"/>
                <w:spacing w:val="-20"/>
                <w:sz w:val="18"/>
                <w:szCs w:val="18"/>
              </w:rPr>
            </w:pPr>
          </w:p>
        </w:tc>
        <w:tc>
          <w:tcPr>
            <w:tcW w:w="269" w:type="pct"/>
            <w:gridSpan w:val="2"/>
            <w:vAlign w:val="center"/>
          </w:tcPr>
          <w:p w14:paraId="249E198F">
            <w:pPr>
              <w:autoSpaceDE w:val="0"/>
              <w:autoSpaceDN w:val="0"/>
              <w:jc w:val="center"/>
              <w:rPr>
                <w:rFonts w:ascii="Times New Roman" w:hAnsi="Times New Roman"/>
                <w:color w:val="000000"/>
                <w:spacing w:val="-20"/>
                <w:sz w:val="18"/>
                <w:szCs w:val="18"/>
              </w:rPr>
            </w:pPr>
          </w:p>
        </w:tc>
        <w:tc>
          <w:tcPr>
            <w:tcW w:w="271" w:type="pct"/>
            <w:gridSpan w:val="2"/>
            <w:vAlign w:val="center"/>
          </w:tcPr>
          <w:p w14:paraId="387D794B">
            <w:pPr>
              <w:autoSpaceDE w:val="0"/>
              <w:autoSpaceDN w:val="0"/>
              <w:jc w:val="center"/>
              <w:rPr>
                <w:rFonts w:ascii="Times New Roman" w:hAnsi="Times New Roman"/>
                <w:color w:val="000000"/>
                <w:spacing w:val="-20"/>
                <w:sz w:val="18"/>
                <w:szCs w:val="18"/>
              </w:rPr>
            </w:pPr>
          </w:p>
        </w:tc>
        <w:tc>
          <w:tcPr>
            <w:tcW w:w="335" w:type="pct"/>
            <w:vAlign w:val="center"/>
          </w:tcPr>
          <w:p w14:paraId="11CDD541">
            <w:pPr>
              <w:autoSpaceDE w:val="0"/>
              <w:autoSpaceDN w:val="0"/>
              <w:jc w:val="center"/>
              <w:rPr>
                <w:rFonts w:ascii="Times New Roman" w:hAnsi="Times New Roman"/>
                <w:color w:val="000000"/>
                <w:spacing w:val="-20"/>
                <w:sz w:val="18"/>
                <w:szCs w:val="18"/>
              </w:rPr>
            </w:pPr>
          </w:p>
        </w:tc>
      </w:tr>
      <w:tr w14:paraId="1EDAA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50B498A9">
            <w:pPr>
              <w:jc w:val="center"/>
              <w:rPr>
                <w:rFonts w:ascii="Times New Roman" w:hAnsi="Times New Roman"/>
                <w:color w:val="000000"/>
                <w:sz w:val="18"/>
                <w:szCs w:val="18"/>
              </w:rPr>
            </w:pPr>
          </w:p>
        </w:tc>
        <w:tc>
          <w:tcPr>
            <w:tcW w:w="216" w:type="pct"/>
            <w:vMerge w:val="continue"/>
            <w:vAlign w:val="center"/>
          </w:tcPr>
          <w:p w14:paraId="2AB4B16F">
            <w:pPr>
              <w:jc w:val="center"/>
              <w:rPr>
                <w:rFonts w:ascii="Times New Roman" w:hAnsi="Times New Roman"/>
                <w:color w:val="000000"/>
                <w:sz w:val="18"/>
                <w:szCs w:val="18"/>
              </w:rPr>
            </w:pPr>
          </w:p>
        </w:tc>
        <w:tc>
          <w:tcPr>
            <w:tcW w:w="815" w:type="pct"/>
            <w:gridSpan w:val="2"/>
            <w:vAlign w:val="center"/>
          </w:tcPr>
          <w:p w14:paraId="765BC31D">
            <w:pPr>
              <w:jc w:val="center"/>
              <w:rPr>
                <w:rFonts w:ascii="Times New Roman" w:hAnsi="Times New Roman"/>
                <w:color w:val="000000"/>
                <w:spacing w:val="-20"/>
                <w:sz w:val="18"/>
                <w:szCs w:val="18"/>
              </w:rPr>
            </w:pPr>
            <w:r>
              <w:rPr>
                <w:rFonts w:hint="eastAsia" w:ascii="宋体" w:hAnsi="宋体" w:cs="宋体"/>
                <w:color w:val="000000"/>
                <w:kern w:val="0"/>
                <w:sz w:val="22"/>
              </w:rPr>
              <w:t>SZ121305</w:t>
            </w:r>
          </w:p>
        </w:tc>
        <w:tc>
          <w:tcPr>
            <w:tcW w:w="865" w:type="pct"/>
            <w:vAlign w:val="center"/>
          </w:tcPr>
          <w:p w14:paraId="27CFABCA">
            <w:pPr>
              <w:jc w:val="center"/>
              <w:rPr>
                <w:rFonts w:ascii="Times New Roman" w:hAnsi="Times New Roman"/>
                <w:color w:val="000000"/>
                <w:spacing w:val="-20"/>
                <w:sz w:val="18"/>
                <w:szCs w:val="18"/>
              </w:rPr>
            </w:pPr>
            <w:r>
              <w:rPr>
                <w:rFonts w:hint="eastAsia" w:ascii="Times New Roman" w:hAnsi="Times New Roman"/>
                <w:spacing w:val="-20"/>
                <w:sz w:val="18"/>
                <w:szCs w:val="18"/>
              </w:rPr>
              <w:t>国际物流实务</w:t>
            </w:r>
          </w:p>
        </w:tc>
        <w:tc>
          <w:tcPr>
            <w:tcW w:w="271" w:type="pct"/>
            <w:vAlign w:val="center"/>
          </w:tcPr>
          <w:p w14:paraId="09277F35">
            <w:pPr>
              <w:jc w:val="center"/>
              <w:rPr>
                <w:rFonts w:ascii="Times New Roman" w:hAnsi="Times New Roman"/>
                <w:color w:val="000000"/>
                <w:spacing w:val="-20"/>
                <w:sz w:val="18"/>
                <w:szCs w:val="18"/>
              </w:rPr>
            </w:pPr>
            <w:r>
              <w:rPr>
                <w:rFonts w:hint="eastAsia" w:ascii="Times New Roman" w:hAnsi="Times New Roman"/>
                <w:bCs/>
                <w:spacing w:val="-20"/>
                <w:sz w:val="18"/>
                <w:szCs w:val="18"/>
              </w:rPr>
              <w:t>64</w:t>
            </w:r>
          </w:p>
        </w:tc>
        <w:tc>
          <w:tcPr>
            <w:tcW w:w="216" w:type="pct"/>
            <w:vAlign w:val="center"/>
          </w:tcPr>
          <w:p w14:paraId="18240C09">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bCs/>
                <w:color w:val="000000" w:themeColor="text1"/>
                <w:spacing w:val="-20"/>
                <w:sz w:val="18"/>
                <w:szCs w:val="18"/>
                <w14:textFill>
                  <w14:solidFill>
                    <w14:schemeClr w14:val="tx1"/>
                  </w14:solidFill>
                </w14:textFill>
              </w:rPr>
              <w:t>32</w:t>
            </w:r>
          </w:p>
        </w:tc>
        <w:tc>
          <w:tcPr>
            <w:tcW w:w="216" w:type="pct"/>
            <w:vAlign w:val="center"/>
          </w:tcPr>
          <w:p w14:paraId="0B8C189C">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228" w:type="pct"/>
            <w:vAlign w:val="center"/>
          </w:tcPr>
          <w:p w14:paraId="1D8DB0A9">
            <w:pPr>
              <w:jc w:val="center"/>
              <w:rPr>
                <w:rFonts w:ascii="Times New Roman" w:hAnsi="Times New Roman"/>
                <w:color w:val="000000"/>
                <w:spacing w:val="-20"/>
                <w:sz w:val="18"/>
                <w:szCs w:val="18"/>
              </w:rPr>
            </w:pPr>
            <w:r>
              <w:rPr>
                <w:rFonts w:hint="eastAsia" w:ascii="Times New Roman" w:hAnsi="Times New Roman"/>
                <w:bCs/>
                <w:spacing w:val="-20"/>
                <w:sz w:val="18"/>
                <w:szCs w:val="18"/>
              </w:rPr>
              <w:t>4</w:t>
            </w:r>
          </w:p>
        </w:tc>
        <w:tc>
          <w:tcPr>
            <w:tcW w:w="295" w:type="pct"/>
            <w:shd w:val="clear" w:color="auto" w:fill="auto"/>
            <w:vAlign w:val="center"/>
          </w:tcPr>
          <w:p w14:paraId="7EE1D53A">
            <w:pPr>
              <w:jc w:val="center"/>
              <w:rPr>
                <w:rFonts w:ascii="Times New Roman" w:hAnsi="Times New Roman"/>
                <w:color w:val="000000"/>
                <w:spacing w:val="-20"/>
                <w:sz w:val="18"/>
                <w:szCs w:val="18"/>
              </w:rPr>
            </w:pPr>
          </w:p>
        </w:tc>
        <w:tc>
          <w:tcPr>
            <w:tcW w:w="279" w:type="pct"/>
            <w:gridSpan w:val="4"/>
            <w:shd w:val="clear" w:color="auto" w:fill="auto"/>
            <w:vAlign w:val="center"/>
          </w:tcPr>
          <w:p w14:paraId="5AB52263">
            <w:pPr>
              <w:jc w:val="center"/>
              <w:rPr>
                <w:rFonts w:ascii="Times New Roman" w:hAnsi="Times New Roman"/>
                <w:color w:val="000000"/>
                <w:spacing w:val="-20"/>
                <w:sz w:val="18"/>
                <w:szCs w:val="18"/>
              </w:rPr>
            </w:pPr>
          </w:p>
        </w:tc>
        <w:tc>
          <w:tcPr>
            <w:tcW w:w="252" w:type="pct"/>
            <w:gridSpan w:val="2"/>
            <w:shd w:val="clear" w:color="auto" w:fill="auto"/>
            <w:vAlign w:val="center"/>
          </w:tcPr>
          <w:p w14:paraId="2D8AC4CC">
            <w:pPr>
              <w:ind w:right="280"/>
              <w:jc w:val="center"/>
              <w:rPr>
                <w:rFonts w:ascii="Times New Roman" w:hAnsi="Times New Roman"/>
                <w:color w:val="000000"/>
                <w:spacing w:val="-20"/>
                <w:sz w:val="18"/>
                <w:szCs w:val="18"/>
              </w:rPr>
            </w:pPr>
          </w:p>
        </w:tc>
        <w:tc>
          <w:tcPr>
            <w:tcW w:w="275" w:type="pct"/>
            <w:gridSpan w:val="2"/>
            <w:shd w:val="clear" w:color="auto" w:fill="auto"/>
            <w:vAlign w:val="center"/>
          </w:tcPr>
          <w:p w14:paraId="158E407C">
            <w:pPr>
              <w:ind w:right="28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69" w:type="pct"/>
            <w:gridSpan w:val="2"/>
            <w:vAlign w:val="center"/>
          </w:tcPr>
          <w:p w14:paraId="5D470A42">
            <w:pPr>
              <w:autoSpaceDE w:val="0"/>
              <w:autoSpaceDN w:val="0"/>
              <w:jc w:val="center"/>
              <w:rPr>
                <w:rFonts w:ascii="Times New Roman" w:hAnsi="Times New Roman"/>
                <w:color w:val="000000"/>
                <w:spacing w:val="-20"/>
                <w:sz w:val="18"/>
                <w:szCs w:val="18"/>
              </w:rPr>
            </w:pPr>
          </w:p>
        </w:tc>
        <w:tc>
          <w:tcPr>
            <w:tcW w:w="271" w:type="pct"/>
            <w:gridSpan w:val="2"/>
            <w:vAlign w:val="center"/>
          </w:tcPr>
          <w:p w14:paraId="4C498DC4">
            <w:pPr>
              <w:autoSpaceDE w:val="0"/>
              <w:autoSpaceDN w:val="0"/>
              <w:jc w:val="center"/>
              <w:rPr>
                <w:rFonts w:ascii="Times New Roman" w:hAnsi="Times New Roman"/>
                <w:color w:val="000000"/>
                <w:spacing w:val="-20"/>
                <w:sz w:val="18"/>
                <w:szCs w:val="18"/>
              </w:rPr>
            </w:pPr>
          </w:p>
        </w:tc>
        <w:tc>
          <w:tcPr>
            <w:tcW w:w="335" w:type="pct"/>
            <w:vAlign w:val="center"/>
          </w:tcPr>
          <w:p w14:paraId="572CAFD2">
            <w:pPr>
              <w:autoSpaceDE w:val="0"/>
              <w:autoSpaceDN w:val="0"/>
              <w:jc w:val="center"/>
              <w:rPr>
                <w:rFonts w:ascii="Times New Roman" w:hAnsi="Times New Roman"/>
                <w:color w:val="000000"/>
                <w:spacing w:val="-20"/>
                <w:sz w:val="18"/>
                <w:szCs w:val="18"/>
              </w:rPr>
            </w:pPr>
          </w:p>
        </w:tc>
      </w:tr>
      <w:tr w14:paraId="53D67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489EA4D0">
            <w:pPr>
              <w:jc w:val="center"/>
              <w:rPr>
                <w:rFonts w:ascii="Times New Roman" w:hAnsi="Times New Roman"/>
                <w:color w:val="000000"/>
                <w:sz w:val="18"/>
                <w:szCs w:val="18"/>
              </w:rPr>
            </w:pPr>
          </w:p>
        </w:tc>
        <w:tc>
          <w:tcPr>
            <w:tcW w:w="216" w:type="pct"/>
            <w:vMerge w:val="continue"/>
            <w:vAlign w:val="center"/>
          </w:tcPr>
          <w:p w14:paraId="7696E9C2">
            <w:pPr>
              <w:jc w:val="center"/>
              <w:rPr>
                <w:rFonts w:ascii="Times New Roman" w:hAnsi="Times New Roman"/>
                <w:color w:val="000000"/>
                <w:sz w:val="18"/>
                <w:szCs w:val="18"/>
              </w:rPr>
            </w:pPr>
          </w:p>
        </w:tc>
        <w:tc>
          <w:tcPr>
            <w:tcW w:w="815" w:type="pct"/>
            <w:gridSpan w:val="2"/>
            <w:vAlign w:val="center"/>
          </w:tcPr>
          <w:p w14:paraId="5CA9665A">
            <w:pPr>
              <w:jc w:val="center"/>
              <w:rPr>
                <w:rFonts w:ascii="Times New Roman" w:hAnsi="Times New Roman"/>
                <w:color w:val="000000"/>
                <w:spacing w:val="-20"/>
                <w:sz w:val="18"/>
                <w:szCs w:val="18"/>
              </w:rPr>
            </w:pPr>
            <w:r>
              <w:rPr>
                <w:rFonts w:hint="eastAsia" w:ascii="宋体" w:hAnsi="宋体" w:cs="宋体"/>
                <w:color w:val="000000"/>
                <w:kern w:val="0"/>
                <w:sz w:val="22"/>
              </w:rPr>
              <w:t>SZ121306</w:t>
            </w:r>
          </w:p>
        </w:tc>
        <w:tc>
          <w:tcPr>
            <w:tcW w:w="865" w:type="pct"/>
            <w:vAlign w:val="center"/>
          </w:tcPr>
          <w:p w14:paraId="08D87D5F">
            <w:pPr>
              <w:jc w:val="center"/>
              <w:rPr>
                <w:rFonts w:ascii="Times New Roman" w:hAnsi="Times New Roman"/>
                <w:color w:val="000000"/>
                <w:spacing w:val="-20"/>
                <w:sz w:val="18"/>
                <w:szCs w:val="18"/>
              </w:rPr>
            </w:pPr>
            <w:r>
              <w:rPr>
                <w:rFonts w:hint="eastAsia" w:ascii="Times New Roman" w:hAnsi="Times New Roman"/>
                <w:spacing w:val="-20"/>
                <w:sz w:val="18"/>
                <w:szCs w:val="18"/>
              </w:rPr>
              <w:t>采购与供应链管理</w:t>
            </w:r>
          </w:p>
        </w:tc>
        <w:tc>
          <w:tcPr>
            <w:tcW w:w="271" w:type="pct"/>
            <w:vAlign w:val="center"/>
          </w:tcPr>
          <w:p w14:paraId="52101F0D">
            <w:pPr>
              <w:jc w:val="center"/>
              <w:rPr>
                <w:rFonts w:ascii="Times New Roman" w:hAnsi="Times New Roman"/>
                <w:color w:val="000000"/>
                <w:spacing w:val="-20"/>
                <w:sz w:val="18"/>
                <w:szCs w:val="18"/>
              </w:rPr>
            </w:pPr>
            <w:r>
              <w:rPr>
                <w:rFonts w:hint="eastAsia" w:ascii="Times New Roman" w:hAnsi="Times New Roman"/>
                <w:bCs/>
                <w:spacing w:val="-20"/>
                <w:sz w:val="18"/>
                <w:szCs w:val="18"/>
              </w:rPr>
              <w:t>64</w:t>
            </w:r>
          </w:p>
        </w:tc>
        <w:tc>
          <w:tcPr>
            <w:tcW w:w="216" w:type="pct"/>
            <w:vAlign w:val="center"/>
          </w:tcPr>
          <w:p w14:paraId="31246BEB">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bCs/>
                <w:color w:val="000000" w:themeColor="text1"/>
                <w:spacing w:val="-20"/>
                <w:sz w:val="18"/>
                <w:szCs w:val="18"/>
                <w14:textFill>
                  <w14:solidFill>
                    <w14:schemeClr w14:val="tx1"/>
                  </w14:solidFill>
                </w14:textFill>
              </w:rPr>
              <w:t>32</w:t>
            </w:r>
          </w:p>
        </w:tc>
        <w:tc>
          <w:tcPr>
            <w:tcW w:w="216" w:type="pct"/>
            <w:vAlign w:val="center"/>
          </w:tcPr>
          <w:p w14:paraId="2D9D8AAB">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228" w:type="pct"/>
            <w:vAlign w:val="center"/>
          </w:tcPr>
          <w:p w14:paraId="10E847E4">
            <w:pPr>
              <w:jc w:val="center"/>
              <w:rPr>
                <w:rFonts w:ascii="Times New Roman" w:hAnsi="Times New Roman"/>
                <w:color w:val="000000"/>
                <w:spacing w:val="-20"/>
                <w:sz w:val="18"/>
                <w:szCs w:val="18"/>
              </w:rPr>
            </w:pPr>
            <w:r>
              <w:rPr>
                <w:rFonts w:hint="eastAsia" w:ascii="Times New Roman" w:hAnsi="Times New Roman"/>
                <w:bCs/>
                <w:spacing w:val="-20"/>
                <w:sz w:val="18"/>
                <w:szCs w:val="18"/>
              </w:rPr>
              <w:t>4</w:t>
            </w:r>
          </w:p>
        </w:tc>
        <w:tc>
          <w:tcPr>
            <w:tcW w:w="295" w:type="pct"/>
            <w:shd w:val="clear" w:color="auto" w:fill="auto"/>
            <w:vAlign w:val="center"/>
          </w:tcPr>
          <w:p w14:paraId="4B58BE42">
            <w:pPr>
              <w:jc w:val="center"/>
              <w:rPr>
                <w:rFonts w:ascii="Times New Roman" w:hAnsi="Times New Roman"/>
                <w:color w:val="000000"/>
                <w:spacing w:val="-20"/>
                <w:sz w:val="18"/>
                <w:szCs w:val="18"/>
              </w:rPr>
            </w:pPr>
          </w:p>
        </w:tc>
        <w:tc>
          <w:tcPr>
            <w:tcW w:w="279" w:type="pct"/>
            <w:gridSpan w:val="4"/>
            <w:shd w:val="clear" w:color="auto" w:fill="auto"/>
            <w:vAlign w:val="center"/>
          </w:tcPr>
          <w:p w14:paraId="5CFABCDA">
            <w:pPr>
              <w:jc w:val="center"/>
              <w:rPr>
                <w:rFonts w:ascii="Times New Roman" w:hAnsi="Times New Roman"/>
                <w:color w:val="000000"/>
                <w:spacing w:val="-20"/>
                <w:sz w:val="18"/>
                <w:szCs w:val="18"/>
              </w:rPr>
            </w:pPr>
          </w:p>
        </w:tc>
        <w:tc>
          <w:tcPr>
            <w:tcW w:w="252" w:type="pct"/>
            <w:gridSpan w:val="2"/>
            <w:shd w:val="clear" w:color="auto" w:fill="auto"/>
            <w:vAlign w:val="center"/>
          </w:tcPr>
          <w:p w14:paraId="452CE7E1">
            <w:pPr>
              <w:ind w:right="28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5" w:type="pct"/>
            <w:gridSpan w:val="2"/>
            <w:shd w:val="clear" w:color="auto" w:fill="auto"/>
            <w:vAlign w:val="center"/>
          </w:tcPr>
          <w:p w14:paraId="0B3248E4">
            <w:pPr>
              <w:ind w:right="280"/>
              <w:jc w:val="center"/>
              <w:rPr>
                <w:rFonts w:ascii="Times New Roman" w:hAnsi="Times New Roman"/>
                <w:color w:val="000000"/>
                <w:spacing w:val="-20"/>
                <w:sz w:val="18"/>
                <w:szCs w:val="18"/>
              </w:rPr>
            </w:pPr>
          </w:p>
        </w:tc>
        <w:tc>
          <w:tcPr>
            <w:tcW w:w="269" w:type="pct"/>
            <w:gridSpan w:val="2"/>
            <w:vAlign w:val="center"/>
          </w:tcPr>
          <w:p w14:paraId="4BBDEE6C">
            <w:pPr>
              <w:autoSpaceDE w:val="0"/>
              <w:autoSpaceDN w:val="0"/>
              <w:jc w:val="center"/>
              <w:rPr>
                <w:rFonts w:ascii="Times New Roman" w:hAnsi="Times New Roman"/>
                <w:color w:val="000000"/>
                <w:spacing w:val="-20"/>
                <w:sz w:val="18"/>
                <w:szCs w:val="18"/>
              </w:rPr>
            </w:pPr>
          </w:p>
        </w:tc>
        <w:tc>
          <w:tcPr>
            <w:tcW w:w="271" w:type="pct"/>
            <w:gridSpan w:val="2"/>
            <w:vAlign w:val="center"/>
          </w:tcPr>
          <w:p w14:paraId="4DE5368B">
            <w:pPr>
              <w:autoSpaceDE w:val="0"/>
              <w:autoSpaceDN w:val="0"/>
              <w:jc w:val="center"/>
              <w:rPr>
                <w:rFonts w:ascii="Times New Roman" w:hAnsi="Times New Roman"/>
                <w:color w:val="000000"/>
                <w:spacing w:val="-20"/>
                <w:sz w:val="18"/>
                <w:szCs w:val="18"/>
              </w:rPr>
            </w:pPr>
          </w:p>
        </w:tc>
        <w:tc>
          <w:tcPr>
            <w:tcW w:w="335" w:type="pct"/>
            <w:vAlign w:val="center"/>
          </w:tcPr>
          <w:p w14:paraId="20D0F21C">
            <w:pPr>
              <w:autoSpaceDE w:val="0"/>
              <w:autoSpaceDN w:val="0"/>
              <w:jc w:val="center"/>
              <w:rPr>
                <w:rFonts w:ascii="Times New Roman" w:hAnsi="Times New Roman"/>
                <w:color w:val="000000"/>
                <w:spacing w:val="-20"/>
                <w:sz w:val="18"/>
                <w:szCs w:val="18"/>
              </w:rPr>
            </w:pPr>
          </w:p>
        </w:tc>
      </w:tr>
      <w:tr w14:paraId="3FAD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26EF6E14">
            <w:pPr>
              <w:jc w:val="center"/>
              <w:rPr>
                <w:rFonts w:ascii="Times New Roman" w:hAnsi="Times New Roman"/>
                <w:color w:val="000000"/>
                <w:sz w:val="18"/>
                <w:szCs w:val="18"/>
              </w:rPr>
            </w:pPr>
          </w:p>
        </w:tc>
        <w:tc>
          <w:tcPr>
            <w:tcW w:w="216" w:type="pct"/>
            <w:vMerge w:val="continue"/>
            <w:vAlign w:val="center"/>
          </w:tcPr>
          <w:p w14:paraId="11F42674">
            <w:pPr>
              <w:jc w:val="center"/>
              <w:rPr>
                <w:rFonts w:ascii="Times New Roman" w:hAnsi="Times New Roman"/>
                <w:color w:val="000000"/>
                <w:sz w:val="18"/>
                <w:szCs w:val="18"/>
              </w:rPr>
            </w:pPr>
          </w:p>
        </w:tc>
        <w:tc>
          <w:tcPr>
            <w:tcW w:w="815" w:type="pct"/>
            <w:gridSpan w:val="2"/>
            <w:vAlign w:val="center"/>
          </w:tcPr>
          <w:p w14:paraId="361BDCCA">
            <w:pPr>
              <w:jc w:val="center"/>
              <w:rPr>
                <w:rFonts w:ascii="Times New Roman" w:hAnsi="Times New Roman"/>
                <w:color w:val="000000"/>
                <w:spacing w:val="-20"/>
                <w:sz w:val="18"/>
                <w:szCs w:val="18"/>
              </w:rPr>
            </w:pPr>
            <w:r>
              <w:rPr>
                <w:rFonts w:hint="eastAsia" w:ascii="宋体" w:hAnsi="宋体" w:cs="宋体"/>
                <w:color w:val="000000"/>
                <w:kern w:val="0"/>
                <w:sz w:val="22"/>
              </w:rPr>
              <w:t>SZ121311</w:t>
            </w:r>
          </w:p>
        </w:tc>
        <w:tc>
          <w:tcPr>
            <w:tcW w:w="865" w:type="pct"/>
            <w:vAlign w:val="center"/>
          </w:tcPr>
          <w:p w14:paraId="7130876A">
            <w:pPr>
              <w:jc w:val="center"/>
              <w:rPr>
                <w:rFonts w:ascii="Times New Roman" w:hAnsi="Times New Roman"/>
                <w:color w:val="000000"/>
                <w:spacing w:val="-20"/>
                <w:sz w:val="18"/>
                <w:szCs w:val="18"/>
              </w:rPr>
            </w:pPr>
            <w:r>
              <w:rPr>
                <w:rFonts w:hint="eastAsia" w:ascii="Times New Roman" w:hAnsi="Times New Roman"/>
                <w:spacing w:val="-20"/>
                <w:sz w:val="18"/>
                <w:szCs w:val="18"/>
              </w:rPr>
              <w:t>物流成本管理</w:t>
            </w:r>
          </w:p>
        </w:tc>
        <w:tc>
          <w:tcPr>
            <w:tcW w:w="271" w:type="pct"/>
            <w:vAlign w:val="center"/>
          </w:tcPr>
          <w:p w14:paraId="15673475">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64</w:t>
            </w:r>
          </w:p>
        </w:tc>
        <w:tc>
          <w:tcPr>
            <w:tcW w:w="216" w:type="pct"/>
            <w:vAlign w:val="center"/>
          </w:tcPr>
          <w:p w14:paraId="6EBC038C">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216" w:type="pct"/>
            <w:vAlign w:val="center"/>
          </w:tcPr>
          <w:p w14:paraId="042F4A85">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228" w:type="pct"/>
            <w:vAlign w:val="center"/>
          </w:tcPr>
          <w:p w14:paraId="53D4E679">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95" w:type="pct"/>
            <w:shd w:val="clear" w:color="auto" w:fill="auto"/>
            <w:vAlign w:val="center"/>
          </w:tcPr>
          <w:p w14:paraId="64843A6F">
            <w:pPr>
              <w:jc w:val="center"/>
              <w:rPr>
                <w:rFonts w:ascii="Times New Roman" w:hAnsi="Times New Roman"/>
                <w:color w:val="000000"/>
                <w:spacing w:val="-20"/>
                <w:sz w:val="18"/>
                <w:szCs w:val="18"/>
              </w:rPr>
            </w:pPr>
          </w:p>
        </w:tc>
        <w:tc>
          <w:tcPr>
            <w:tcW w:w="279" w:type="pct"/>
            <w:gridSpan w:val="4"/>
            <w:shd w:val="clear" w:color="auto" w:fill="auto"/>
            <w:vAlign w:val="center"/>
          </w:tcPr>
          <w:p w14:paraId="155C520F">
            <w:pPr>
              <w:jc w:val="center"/>
              <w:rPr>
                <w:rFonts w:ascii="Times New Roman" w:hAnsi="Times New Roman"/>
                <w:color w:val="000000"/>
                <w:spacing w:val="-20"/>
                <w:sz w:val="18"/>
                <w:szCs w:val="18"/>
              </w:rPr>
            </w:pPr>
          </w:p>
        </w:tc>
        <w:tc>
          <w:tcPr>
            <w:tcW w:w="252" w:type="pct"/>
            <w:gridSpan w:val="2"/>
            <w:shd w:val="clear" w:color="auto" w:fill="auto"/>
            <w:vAlign w:val="center"/>
          </w:tcPr>
          <w:p w14:paraId="74D61C99">
            <w:pPr>
              <w:ind w:right="280"/>
              <w:jc w:val="center"/>
              <w:rPr>
                <w:rFonts w:ascii="Times New Roman" w:hAnsi="Times New Roman"/>
                <w:color w:val="000000"/>
                <w:spacing w:val="-20"/>
                <w:sz w:val="18"/>
                <w:szCs w:val="18"/>
              </w:rPr>
            </w:pPr>
          </w:p>
        </w:tc>
        <w:tc>
          <w:tcPr>
            <w:tcW w:w="275" w:type="pct"/>
            <w:gridSpan w:val="2"/>
            <w:shd w:val="clear" w:color="auto" w:fill="auto"/>
            <w:vAlign w:val="center"/>
          </w:tcPr>
          <w:p w14:paraId="5F58537B">
            <w:pPr>
              <w:ind w:right="28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69" w:type="pct"/>
            <w:gridSpan w:val="2"/>
            <w:vAlign w:val="center"/>
          </w:tcPr>
          <w:p w14:paraId="422E1D3B">
            <w:pPr>
              <w:autoSpaceDE w:val="0"/>
              <w:autoSpaceDN w:val="0"/>
              <w:jc w:val="center"/>
              <w:rPr>
                <w:rFonts w:ascii="Times New Roman" w:hAnsi="Times New Roman"/>
                <w:color w:val="000000"/>
                <w:spacing w:val="-20"/>
                <w:sz w:val="18"/>
                <w:szCs w:val="18"/>
              </w:rPr>
            </w:pPr>
          </w:p>
        </w:tc>
        <w:tc>
          <w:tcPr>
            <w:tcW w:w="271" w:type="pct"/>
            <w:gridSpan w:val="2"/>
            <w:vAlign w:val="center"/>
          </w:tcPr>
          <w:p w14:paraId="57158FC2">
            <w:pPr>
              <w:autoSpaceDE w:val="0"/>
              <w:autoSpaceDN w:val="0"/>
              <w:jc w:val="center"/>
              <w:rPr>
                <w:rFonts w:ascii="Times New Roman" w:hAnsi="Times New Roman"/>
                <w:color w:val="000000"/>
                <w:spacing w:val="-20"/>
                <w:sz w:val="18"/>
                <w:szCs w:val="18"/>
              </w:rPr>
            </w:pPr>
          </w:p>
        </w:tc>
        <w:tc>
          <w:tcPr>
            <w:tcW w:w="335" w:type="pct"/>
            <w:vAlign w:val="center"/>
          </w:tcPr>
          <w:p w14:paraId="0372773F">
            <w:pPr>
              <w:autoSpaceDE w:val="0"/>
              <w:autoSpaceDN w:val="0"/>
              <w:jc w:val="center"/>
              <w:rPr>
                <w:rFonts w:ascii="Times New Roman" w:hAnsi="Times New Roman"/>
                <w:color w:val="000000"/>
                <w:spacing w:val="-20"/>
                <w:sz w:val="18"/>
                <w:szCs w:val="18"/>
              </w:rPr>
            </w:pPr>
          </w:p>
        </w:tc>
      </w:tr>
      <w:tr w14:paraId="7414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49591FB4">
            <w:pPr>
              <w:jc w:val="center"/>
              <w:rPr>
                <w:rFonts w:ascii="Times New Roman" w:hAnsi="Times New Roman"/>
                <w:color w:val="000000"/>
                <w:sz w:val="18"/>
                <w:szCs w:val="18"/>
              </w:rPr>
            </w:pPr>
          </w:p>
        </w:tc>
        <w:tc>
          <w:tcPr>
            <w:tcW w:w="216" w:type="pct"/>
            <w:vMerge w:val="continue"/>
            <w:vAlign w:val="center"/>
          </w:tcPr>
          <w:p w14:paraId="04ADA88D">
            <w:pPr>
              <w:jc w:val="center"/>
              <w:rPr>
                <w:rFonts w:ascii="Times New Roman" w:hAnsi="Times New Roman"/>
                <w:color w:val="000000"/>
                <w:sz w:val="18"/>
                <w:szCs w:val="18"/>
              </w:rPr>
            </w:pPr>
          </w:p>
        </w:tc>
        <w:tc>
          <w:tcPr>
            <w:tcW w:w="1680" w:type="pct"/>
            <w:gridSpan w:val="3"/>
            <w:vAlign w:val="center"/>
          </w:tcPr>
          <w:p w14:paraId="00EF0EC8">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14:paraId="5C3164FE">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384</w:t>
            </w:r>
          </w:p>
        </w:tc>
        <w:tc>
          <w:tcPr>
            <w:tcW w:w="216" w:type="pct"/>
            <w:vAlign w:val="center"/>
          </w:tcPr>
          <w:p w14:paraId="633EE158">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192</w:t>
            </w:r>
          </w:p>
        </w:tc>
        <w:tc>
          <w:tcPr>
            <w:tcW w:w="216" w:type="pct"/>
            <w:vAlign w:val="center"/>
          </w:tcPr>
          <w:p w14:paraId="7B35CD88">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192</w:t>
            </w:r>
          </w:p>
        </w:tc>
        <w:tc>
          <w:tcPr>
            <w:tcW w:w="228" w:type="pct"/>
            <w:vAlign w:val="center"/>
          </w:tcPr>
          <w:p w14:paraId="79FFE308">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24</w:t>
            </w:r>
          </w:p>
        </w:tc>
        <w:tc>
          <w:tcPr>
            <w:tcW w:w="295" w:type="pct"/>
            <w:shd w:val="clear" w:color="auto" w:fill="auto"/>
            <w:vAlign w:val="center"/>
          </w:tcPr>
          <w:p w14:paraId="7D7912D0">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9" w:type="pct"/>
            <w:gridSpan w:val="4"/>
            <w:shd w:val="clear" w:color="auto" w:fill="auto"/>
            <w:vAlign w:val="center"/>
          </w:tcPr>
          <w:p w14:paraId="5C1016B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52" w:type="pct"/>
            <w:gridSpan w:val="2"/>
            <w:shd w:val="clear" w:color="auto" w:fill="auto"/>
            <w:vAlign w:val="center"/>
          </w:tcPr>
          <w:p w14:paraId="2EE59F85">
            <w:pPr>
              <w:ind w:right="28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8</w:t>
            </w:r>
          </w:p>
        </w:tc>
        <w:tc>
          <w:tcPr>
            <w:tcW w:w="275" w:type="pct"/>
            <w:gridSpan w:val="2"/>
            <w:shd w:val="clear" w:color="auto" w:fill="auto"/>
            <w:vAlign w:val="center"/>
          </w:tcPr>
          <w:p w14:paraId="70101598">
            <w:pPr>
              <w:ind w:right="28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8</w:t>
            </w:r>
          </w:p>
        </w:tc>
        <w:tc>
          <w:tcPr>
            <w:tcW w:w="269" w:type="pct"/>
            <w:gridSpan w:val="2"/>
            <w:vAlign w:val="center"/>
          </w:tcPr>
          <w:p w14:paraId="508CD91C">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0</w:t>
            </w:r>
          </w:p>
        </w:tc>
        <w:tc>
          <w:tcPr>
            <w:tcW w:w="271" w:type="pct"/>
            <w:gridSpan w:val="2"/>
            <w:vAlign w:val="center"/>
          </w:tcPr>
          <w:p w14:paraId="06E5BC4D">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0</w:t>
            </w:r>
          </w:p>
        </w:tc>
        <w:tc>
          <w:tcPr>
            <w:tcW w:w="335" w:type="pct"/>
            <w:vAlign w:val="center"/>
          </w:tcPr>
          <w:p w14:paraId="1AB1B884">
            <w:pPr>
              <w:autoSpaceDE w:val="0"/>
              <w:autoSpaceDN w:val="0"/>
              <w:jc w:val="center"/>
              <w:rPr>
                <w:rFonts w:ascii="Times New Roman" w:hAnsi="Times New Roman"/>
                <w:color w:val="000000"/>
                <w:spacing w:val="-20"/>
                <w:sz w:val="18"/>
                <w:szCs w:val="18"/>
              </w:rPr>
            </w:pPr>
          </w:p>
        </w:tc>
      </w:tr>
      <w:tr w14:paraId="1C5B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4A434021">
            <w:pPr>
              <w:jc w:val="center"/>
              <w:rPr>
                <w:rFonts w:ascii="Times New Roman" w:hAnsi="Times New Roman"/>
                <w:color w:val="000000"/>
                <w:sz w:val="18"/>
                <w:szCs w:val="18"/>
              </w:rPr>
            </w:pPr>
          </w:p>
        </w:tc>
        <w:tc>
          <w:tcPr>
            <w:tcW w:w="216" w:type="pct"/>
            <w:vMerge w:val="restart"/>
            <w:vAlign w:val="center"/>
          </w:tcPr>
          <w:p w14:paraId="3FB4F610">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2B03A605">
            <w:pPr>
              <w:jc w:val="center"/>
              <w:rPr>
                <w:rFonts w:ascii="Times New Roman" w:hAnsi="Times New Roman"/>
                <w:color w:val="000000"/>
                <w:sz w:val="18"/>
                <w:szCs w:val="18"/>
              </w:rPr>
            </w:pPr>
            <w:r>
              <w:rPr>
                <w:rFonts w:hint="eastAsia" w:ascii="Times New Roman" w:hAnsi="Times New Roman"/>
                <w:color w:val="000000"/>
                <w:sz w:val="18"/>
                <w:szCs w:val="18"/>
              </w:rPr>
              <w:t>核心课程</w:t>
            </w:r>
          </w:p>
        </w:tc>
        <w:tc>
          <w:tcPr>
            <w:tcW w:w="815" w:type="pct"/>
            <w:gridSpan w:val="2"/>
            <w:vAlign w:val="center"/>
          </w:tcPr>
          <w:p w14:paraId="35BD223A">
            <w:pPr>
              <w:jc w:val="center"/>
              <w:rPr>
                <w:rFonts w:ascii="Times New Roman" w:hAnsi="Times New Roman"/>
                <w:color w:val="000000"/>
                <w:spacing w:val="-20"/>
                <w:sz w:val="18"/>
                <w:szCs w:val="18"/>
              </w:rPr>
            </w:pPr>
            <w:r>
              <w:rPr>
                <w:rFonts w:hint="eastAsia" w:ascii="宋体" w:hAnsi="宋体" w:cs="宋体"/>
                <w:color w:val="000000"/>
                <w:kern w:val="0"/>
                <w:sz w:val="22"/>
              </w:rPr>
              <w:t>SZ121312</w:t>
            </w:r>
          </w:p>
        </w:tc>
        <w:tc>
          <w:tcPr>
            <w:tcW w:w="865" w:type="pct"/>
            <w:vAlign w:val="center"/>
          </w:tcPr>
          <w:p w14:paraId="0A668FB7">
            <w:pPr>
              <w:jc w:val="center"/>
              <w:rPr>
                <w:rFonts w:ascii="Times New Roman" w:hAnsi="Times New Roman"/>
                <w:color w:val="000000"/>
                <w:spacing w:val="-20"/>
                <w:sz w:val="18"/>
                <w:szCs w:val="18"/>
              </w:rPr>
            </w:pPr>
            <w:r>
              <w:rPr>
                <w:rFonts w:hint="eastAsia" w:ascii="Times New Roman" w:hAnsi="Times New Roman"/>
                <w:spacing w:val="-20"/>
                <w:sz w:val="18"/>
                <w:szCs w:val="18"/>
              </w:rPr>
              <w:t>物流企业管理</w:t>
            </w:r>
          </w:p>
        </w:tc>
        <w:tc>
          <w:tcPr>
            <w:tcW w:w="271" w:type="pct"/>
            <w:vAlign w:val="center"/>
          </w:tcPr>
          <w:p w14:paraId="2B8AD118">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64</w:t>
            </w:r>
          </w:p>
        </w:tc>
        <w:tc>
          <w:tcPr>
            <w:tcW w:w="216" w:type="pct"/>
            <w:vAlign w:val="center"/>
          </w:tcPr>
          <w:p w14:paraId="713D9665">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216" w:type="pct"/>
            <w:vAlign w:val="center"/>
          </w:tcPr>
          <w:p w14:paraId="7E161A48">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228" w:type="pct"/>
            <w:vAlign w:val="center"/>
          </w:tcPr>
          <w:p w14:paraId="1403046C">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95" w:type="pct"/>
            <w:shd w:val="clear" w:color="auto" w:fill="auto"/>
            <w:vAlign w:val="center"/>
          </w:tcPr>
          <w:p w14:paraId="52D4CA89">
            <w:pPr>
              <w:jc w:val="center"/>
              <w:rPr>
                <w:rFonts w:ascii="Times New Roman" w:hAnsi="Times New Roman"/>
                <w:color w:val="000000"/>
                <w:spacing w:val="-20"/>
                <w:sz w:val="18"/>
                <w:szCs w:val="18"/>
              </w:rPr>
            </w:pPr>
          </w:p>
        </w:tc>
        <w:tc>
          <w:tcPr>
            <w:tcW w:w="279" w:type="pct"/>
            <w:gridSpan w:val="4"/>
            <w:shd w:val="clear" w:color="auto" w:fill="auto"/>
            <w:vAlign w:val="center"/>
          </w:tcPr>
          <w:p w14:paraId="782A2817">
            <w:pPr>
              <w:jc w:val="center"/>
              <w:rPr>
                <w:rFonts w:ascii="Times New Roman" w:hAnsi="Times New Roman"/>
                <w:color w:val="000000"/>
                <w:spacing w:val="-20"/>
                <w:sz w:val="18"/>
                <w:szCs w:val="18"/>
              </w:rPr>
            </w:pPr>
          </w:p>
        </w:tc>
        <w:tc>
          <w:tcPr>
            <w:tcW w:w="252" w:type="pct"/>
            <w:gridSpan w:val="2"/>
            <w:shd w:val="clear" w:color="auto" w:fill="auto"/>
            <w:vAlign w:val="center"/>
          </w:tcPr>
          <w:p w14:paraId="0BC26EC1">
            <w:pPr>
              <w:ind w:right="280"/>
              <w:jc w:val="center"/>
              <w:rPr>
                <w:rFonts w:ascii="Times New Roman" w:hAnsi="Times New Roman"/>
                <w:color w:val="000000"/>
                <w:spacing w:val="-20"/>
                <w:sz w:val="18"/>
                <w:szCs w:val="18"/>
              </w:rPr>
            </w:pPr>
          </w:p>
        </w:tc>
        <w:tc>
          <w:tcPr>
            <w:tcW w:w="275" w:type="pct"/>
            <w:gridSpan w:val="2"/>
            <w:shd w:val="clear" w:color="auto" w:fill="auto"/>
            <w:vAlign w:val="center"/>
          </w:tcPr>
          <w:p w14:paraId="5C3789E9">
            <w:pPr>
              <w:ind w:right="28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69" w:type="pct"/>
            <w:gridSpan w:val="2"/>
            <w:vAlign w:val="center"/>
          </w:tcPr>
          <w:p w14:paraId="3F41FDF5">
            <w:pPr>
              <w:autoSpaceDE w:val="0"/>
              <w:autoSpaceDN w:val="0"/>
              <w:jc w:val="center"/>
              <w:rPr>
                <w:rFonts w:ascii="Times New Roman" w:hAnsi="Times New Roman"/>
                <w:color w:val="000000"/>
                <w:spacing w:val="-20"/>
                <w:sz w:val="18"/>
                <w:szCs w:val="18"/>
              </w:rPr>
            </w:pPr>
          </w:p>
        </w:tc>
        <w:tc>
          <w:tcPr>
            <w:tcW w:w="271" w:type="pct"/>
            <w:gridSpan w:val="2"/>
            <w:vAlign w:val="center"/>
          </w:tcPr>
          <w:p w14:paraId="5B008C47">
            <w:pPr>
              <w:autoSpaceDE w:val="0"/>
              <w:autoSpaceDN w:val="0"/>
              <w:jc w:val="center"/>
              <w:rPr>
                <w:rFonts w:ascii="Times New Roman" w:hAnsi="Times New Roman"/>
                <w:color w:val="000000"/>
                <w:spacing w:val="-20"/>
                <w:sz w:val="18"/>
                <w:szCs w:val="18"/>
              </w:rPr>
            </w:pPr>
          </w:p>
        </w:tc>
        <w:tc>
          <w:tcPr>
            <w:tcW w:w="335" w:type="pct"/>
            <w:vAlign w:val="center"/>
          </w:tcPr>
          <w:p w14:paraId="660EE122">
            <w:pPr>
              <w:autoSpaceDE w:val="0"/>
              <w:autoSpaceDN w:val="0"/>
              <w:jc w:val="center"/>
              <w:rPr>
                <w:rFonts w:ascii="Times New Roman" w:hAnsi="Times New Roman"/>
                <w:color w:val="000000"/>
                <w:spacing w:val="-20"/>
                <w:sz w:val="18"/>
                <w:szCs w:val="18"/>
              </w:rPr>
            </w:pPr>
          </w:p>
        </w:tc>
      </w:tr>
      <w:tr w14:paraId="6A87F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27461BDD">
            <w:pPr>
              <w:jc w:val="center"/>
              <w:rPr>
                <w:rFonts w:ascii="Times New Roman" w:hAnsi="Times New Roman"/>
                <w:color w:val="000000"/>
                <w:sz w:val="18"/>
                <w:szCs w:val="18"/>
              </w:rPr>
            </w:pPr>
          </w:p>
        </w:tc>
        <w:tc>
          <w:tcPr>
            <w:tcW w:w="216" w:type="pct"/>
            <w:vMerge w:val="continue"/>
            <w:vAlign w:val="center"/>
          </w:tcPr>
          <w:p w14:paraId="1B0DD473">
            <w:pPr>
              <w:jc w:val="center"/>
              <w:rPr>
                <w:rFonts w:ascii="Times New Roman" w:hAnsi="Times New Roman"/>
                <w:color w:val="000000"/>
                <w:sz w:val="18"/>
                <w:szCs w:val="18"/>
              </w:rPr>
            </w:pPr>
          </w:p>
        </w:tc>
        <w:tc>
          <w:tcPr>
            <w:tcW w:w="815" w:type="pct"/>
            <w:gridSpan w:val="2"/>
            <w:vAlign w:val="center"/>
          </w:tcPr>
          <w:p w14:paraId="7C38D408">
            <w:pPr>
              <w:jc w:val="center"/>
              <w:rPr>
                <w:rFonts w:ascii="Times New Roman" w:hAnsi="Times New Roman"/>
                <w:color w:val="000000"/>
                <w:spacing w:val="-20"/>
                <w:sz w:val="18"/>
                <w:szCs w:val="18"/>
              </w:rPr>
            </w:pPr>
            <w:r>
              <w:rPr>
                <w:rFonts w:hint="eastAsia" w:ascii="宋体" w:hAnsi="宋体" w:cs="宋体"/>
                <w:color w:val="000000"/>
                <w:kern w:val="0"/>
                <w:sz w:val="22"/>
              </w:rPr>
              <w:t>SZ121313</w:t>
            </w:r>
          </w:p>
        </w:tc>
        <w:tc>
          <w:tcPr>
            <w:tcW w:w="865" w:type="pct"/>
            <w:vAlign w:val="center"/>
          </w:tcPr>
          <w:p w14:paraId="2A1B1A88">
            <w:pPr>
              <w:jc w:val="center"/>
              <w:rPr>
                <w:rFonts w:ascii="Times New Roman" w:hAnsi="Times New Roman"/>
                <w:color w:val="000000"/>
                <w:spacing w:val="-20"/>
                <w:sz w:val="18"/>
                <w:szCs w:val="18"/>
              </w:rPr>
            </w:pPr>
            <w:r>
              <w:rPr>
                <w:rFonts w:hint="eastAsia" w:ascii="Times New Roman" w:hAnsi="Times New Roman"/>
                <w:spacing w:val="-20"/>
                <w:sz w:val="18"/>
                <w:szCs w:val="18"/>
              </w:rPr>
              <w:t>物流法规</w:t>
            </w:r>
          </w:p>
        </w:tc>
        <w:tc>
          <w:tcPr>
            <w:tcW w:w="271" w:type="pct"/>
            <w:vAlign w:val="center"/>
          </w:tcPr>
          <w:p w14:paraId="61A16BE8">
            <w:pPr>
              <w:jc w:val="center"/>
              <w:rPr>
                <w:rFonts w:ascii="Times New Roman" w:hAnsi="Times New Roman"/>
                <w:color w:val="000000"/>
                <w:spacing w:val="-20"/>
                <w:sz w:val="18"/>
                <w:szCs w:val="18"/>
              </w:rPr>
            </w:pPr>
            <w:r>
              <w:rPr>
                <w:rFonts w:hint="eastAsia" w:ascii="Times New Roman" w:hAnsi="Times New Roman"/>
                <w:spacing w:val="-20"/>
                <w:sz w:val="18"/>
                <w:szCs w:val="18"/>
              </w:rPr>
              <w:t>64</w:t>
            </w:r>
          </w:p>
        </w:tc>
        <w:tc>
          <w:tcPr>
            <w:tcW w:w="216" w:type="pct"/>
            <w:vAlign w:val="center"/>
          </w:tcPr>
          <w:p w14:paraId="1A408035">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216" w:type="pct"/>
            <w:vAlign w:val="center"/>
          </w:tcPr>
          <w:p w14:paraId="1F40D670">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228" w:type="pct"/>
            <w:vAlign w:val="center"/>
          </w:tcPr>
          <w:p w14:paraId="41C9765C">
            <w:pPr>
              <w:jc w:val="center"/>
              <w:rPr>
                <w:rFonts w:ascii="Times New Roman" w:hAnsi="Times New Roman"/>
                <w:color w:val="000000"/>
                <w:spacing w:val="-20"/>
                <w:sz w:val="18"/>
                <w:szCs w:val="18"/>
              </w:rPr>
            </w:pPr>
            <w:r>
              <w:rPr>
                <w:rFonts w:hint="eastAsia" w:ascii="Times New Roman" w:hAnsi="Times New Roman"/>
                <w:spacing w:val="-20"/>
                <w:sz w:val="18"/>
                <w:szCs w:val="18"/>
              </w:rPr>
              <w:t>4</w:t>
            </w:r>
          </w:p>
        </w:tc>
        <w:tc>
          <w:tcPr>
            <w:tcW w:w="295" w:type="pct"/>
            <w:shd w:val="clear" w:color="auto" w:fill="auto"/>
            <w:vAlign w:val="center"/>
          </w:tcPr>
          <w:p w14:paraId="3060888B">
            <w:pPr>
              <w:jc w:val="center"/>
              <w:rPr>
                <w:rFonts w:ascii="Times New Roman" w:hAnsi="Times New Roman"/>
                <w:color w:val="000000"/>
                <w:spacing w:val="-20"/>
                <w:sz w:val="18"/>
                <w:szCs w:val="18"/>
              </w:rPr>
            </w:pPr>
          </w:p>
        </w:tc>
        <w:tc>
          <w:tcPr>
            <w:tcW w:w="279" w:type="pct"/>
            <w:gridSpan w:val="4"/>
            <w:shd w:val="clear" w:color="auto" w:fill="auto"/>
            <w:vAlign w:val="center"/>
          </w:tcPr>
          <w:p w14:paraId="08352EC0">
            <w:pPr>
              <w:jc w:val="center"/>
              <w:rPr>
                <w:rFonts w:ascii="Times New Roman" w:hAnsi="Times New Roman"/>
                <w:color w:val="000000"/>
                <w:spacing w:val="-20"/>
                <w:sz w:val="18"/>
                <w:szCs w:val="18"/>
              </w:rPr>
            </w:pPr>
            <w:r>
              <w:rPr>
                <w:rFonts w:hint="eastAsia" w:ascii="Times New Roman" w:hAnsi="Times New Roman"/>
                <w:spacing w:val="-20"/>
                <w:sz w:val="18"/>
                <w:szCs w:val="18"/>
              </w:rPr>
              <w:t>4</w:t>
            </w:r>
          </w:p>
        </w:tc>
        <w:tc>
          <w:tcPr>
            <w:tcW w:w="252" w:type="pct"/>
            <w:gridSpan w:val="2"/>
            <w:shd w:val="clear" w:color="auto" w:fill="auto"/>
            <w:vAlign w:val="center"/>
          </w:tcPr>
          <w:p w14:paraId="09639A36">
            <w:pPr>
              <w:ind w:right="280"/>
              <w:jc w:val="center"/>
              <w:rPr>
                <w:rFonts w:ascii="Times New Roman" w:hAnsi="Times New Roman"/>
                <w:color w:val="000000"/>
                <w:spacing w:val="-20"/>
                <w:sz w:val="18"/>
                <w:szCs w:val="18"/>
              </w:rPr>
            </w:pPr>
          </w:p>
        </w:tc>
        <w:tc>
          <w:tcPr>
            <w:tcW w:w="275" w:type="pct"/>
            <w:gridSpan w:val="2"/>
            <w:shd w:val="clear" w:color="auto" w:fill="auto"/>
            <w:vAlign w:val="center"/>
          </w:tcPr>
          <w:p w14:paraId="1A4542FB">
            <w:pPr>
              <w:ind w:right="280"/>
              <w:jc w:val="center"/>
              <w:rPr>
                <w:rFonts w:ascii="Times New Roman" w:hAnsi="Times New Roman"/>
                <w:color w:val="000000"/>
                <w:spacing w:val="-20"/>
                <w:sz w:val="18"/>
                <w:szCs w:val="18"/>
              </w:rPr>
            </w:pPr>
          </w:p>
        </w:tc>
        <w:tc>
          <w:tcPr>
            <w:tcW w:w="269" w:type="pct"/>
            <w:gridSpan w:val="2"/>
            <w:vAlign w:val="center"/>
          </w:tcPr>
          <w:p w14:paraId="0C33959F">
            <w:pPr>
              <w:autoSpaceDE w:val="0"/>
              <w:autoSpaceDN w:val="0"/>
              <w:jc w:val="center"/>
              <w:rPr>
                <w:rFonts w:ascii="Times New Roman" w:hAnsi="Times New Roman"/>
                <w:color w:val="000000"/>
                <w:spacing w:val="-20"/>
                <w:sz w:val="18"/>
                <w:szCs w:val="18"/>
              </w:rPr>
            </w:pPr>
          </w:p>
        </w:tc>
        <w:tc>
          <w:tcPr>
            <w:tcW w:w="271" w:type="pct"/>
            <w:gridSpan w:val="2"/>
            <w:vAlign w:val="center"/>
          </w:tcPr>
          <w:p w14:paraId="7DBBB508">
            <w:pPr>
              <w:autoSpaceDE w:val="0"/>
              <w:autoSpaceDN w:val="0"/>
              <w:jc w:val="center"/>
              <w:rPr>
                <w:rFonts w:ascii="Times New Roman" w:hAnsi="Times New Roman"/>
                <w:color w:val="000000"/>
                <w:spacing w:val="-20"/>
                <w:sz w:val="18"/>
                <w:szCs w:val="18"/>
              </w:rPr>
            </w:pPr>
          </w:p>
        </w:tc>
        <w:tc>
          <w:tcPr>
            <w:tcW w:w="335" w:type="pct"/>
            <w:vAlign w:val="center"/>
          </w:tcPr>
          <w:p w14:paraId="1D750975">
            <w:pPr>
              <w:autoSpaceDE w:val="0"/>
              <w:autoSpaceDN w:val="0"/>
              <w:jc w:val="center"/>
              <w:rPr>
                <w:rFonts w:ascii="Times New Roman" w:hAnsi="Times New Roman"/>
                <w:color w:val="000000"/>
                <w:spacing w:val="-20"/>
                <w:sz w:val="18"/>
                <w:szCs w:val="18"/>
              </w:rPr>
            </w:pPr>
          </w:p>
        </w:tc>
      </w:tr>
      <w:tr w14:paraId="04682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11063040">
            <w:pPr>
              <w:jc w:val="center"/>
              <w:rPr>
                <w:rFonts w:ascii="Times New Roman" w:hAnsi="Times New Roman"/>
                <w:color w:val="000000"/>
                <w:sz w:val="18"/>
                <w:szCs w:val="18"/>
              </w:rPr>
            </w:pPr>
          </w:p>
        </w:tc>
        <w:tc>
          <w:tcPr>
            <w:tcW w:w="216" w:type="pct"/>
            <w:vMerge w:val="continue"/>
            <w:vAlign w:val="center"/>
          </w:tcPr>
          <w:p w14:paraId="4365FBDA">
            <w:pPr>
              <w:jc w:val="center"/>
              <w:rPr>
                <w:rFonts w:ascii="Times New Roman" w:hAnsi="Times New Roman"/>
                <w:color w:val="000000"/>
                <w:sz w:val="18"/>
                <w:szCs w:val="18"/>
              </w:rPr>
            </w:pPr>
          </w:p>
        </w:tc>
        <w:tc>
          <w:tcPr>
            <w:tcW w:w="815" w:type="pct"/>
            <w:gridSpan w:val="2"/>
            <w:vAlign w:val="center"/>
          </w:tcPr>
          <w:p w14:paraId="3D451941">
            <w:pPr>
              <w:jc w:val="center"/>
              <w:rPr>
                <w:rFonts w:ascii="Times New Roman" w:hAnsi="Times New Roman"/>
                <w:color w:val="000000"/>
                <w:spacing w:val="-20"/>
                <w:sz w:val="18"/>
                <w:szCs w:val="18"/>
              </w:rPr>
            </w:pPr>
            <w:r>
              <w:rPr>
                <w:rFonts w:hint="eastAsia" w:ascii="宋体" w:hAnsi="宋体" w:cs="宋体"/>
                <w:color w:val="000000"/>
                <w:kern w:val="0"/>
                <w:sz w:val="22"/>
              </w:rPr>
              <w:t>SZ121314</w:t>
            </w:r>
          </w:p>
        </w:tc>
        <w:tc>
          <w:tcPr>
            <w:tcW w:w="865" w:type="pct"/>
            <w:vAlign w:val="center"/>
          </w:tcPr>
          <w:p w14:paraId="5D22C266">
            <w:pPr>
              <w:jc w:val="center"/>
              <w:rPr>
                <w:rFonts w:ascii="Times New Roman" w:hAnsi="Times New Roman"/>
                <w:color w:val="000000"/>
                <w:spacing w:val="-20"/>
                <w:sz w:val="18"/>
                <w:szCs w:val="18"/>
              </w:rPr>
            </w:pPr>
            <w:r>
              <w:rPr>
                <w:rFonts w:hint="eastAsia" w:ascii="Times New Roman" w:hAnsi="Times New Roman"/>
                <w:spacing w:val="-20"/>
                <w:sz w:val="18"/>
                <w:szCs w:val="18"/>
              </w:rPr>
              <w:t>市场营销</w:t>
            </w:r>
          </w:p>
        </w:tc>
        <w:tc>
          <w:tcPr>
            <w:tcW w:w="271" w:type="pct"/>
            <w:vAlign w:val="center"/>
          </w:tcPr>
          <w:p w14:paraId="5D7D91AE">
            <w:pPr>
              <w:jc w:val="center"/>
              <w:rPr>
                <w:rFonts w:ascii="Times New Roman" w:hAnsi="Times New Roman"/>
                <w:color w:val="000000"/>
                <w:spacing w:val="-20"/>
                <w:sz w:val="18"/>
                <w:szCs w:val="18"/>
              </w:rPr>
            </w:pPr>
            <w:r>
              <w:rPr>
                <w:rFonts w:hint="eastAsia" w:ascii="Times New Roman" w:hAnsi="Times New Roman"/>
                <w:bCs/>
                <w:spacing w:val="-20"/>
                <w:sz w:val="18"/>
                <w:szCs w:val="18"/>
              </w:rPr>
              <w:t>64</w:t>
            </w:r>
          </w:p>
        </w:tc>
        <w:tc>
          <w:tcPr>
            <w:tcW w:w="216" w:type="pct"/>
            <w:vAlign w:val="center"/>
          </w:tcPr>
          <w:p w14:paraId="25C59032">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bCs/>
                <w:color w:val="000000" w:themeColor="text1"/>
                <w:spacing w:val="-20"/>
                <w:sz w:val="18"/>
                <w:szCs w:val="18"/>
                <w14:textFill>
                  <w14:solidFill>
                    <w14:schemeClr w14:val="tx1"/>
                  </w14:solidFill>
                </w14:textFill>
              </w:rPr>
              <w:t>32</w:t>
            </w:r>
          </w:p>
        </w:tc>
        <w:tc>
          <w:tcPr>
            <w:tcW w:w="216" w:type="pct"/>
            <w:vAlign w:val="center"/>
          </w:tcPr>
          <w:p w14:paraId="516E8B33">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228" w:type="pct"/>
            <w:vAlign w:val="center"/>
          </w:tcPr>
          <w:p w14:paraId="46EF659F">
            <w:pPr>
              <w:jc w:val="center"/>
              <w:rPr>
                <w:rFonts w:ascii="Times New Roman" w:hAnsi="Times New Roman"/>
                <w:color w:val="000000"/>
                <w:spacing w:val="-20"/>
                <w:sz w:val="18"/>
                <w:szCs w:val="18"/>
              </w:rPr>
            </w:pPr>
            <w:r>
              <w:rPr>
                <w:rFonts w:hint="eastAsia" w:ascii="Times New Roman" w:hAnsi="Times New Roman"/>
                <w:bCs/>
                <w:spacing w:val="-20"/>
                <w:sz w:val="18"/>
                <w:szCs w:val="18"/>
              </w:rPr>
              <w:t>4</w:t>
            </w:r>
          </w:p>
        </w:tc>
        <w:tc>
          <w:tcPr>
            <w:tcW w:w="295" w:type="pct"/>
            <w:shd w:val="clear" w:color="auto" w:fill="auto"/>
            <w:vAlign w:val="center"/>
          </w:tcPr>
          <w:p w14:paraId="53F103BD">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9" w:type="pct"/>
            <w:gridSpan w:val="4"/>
            <w:shd w:val="clear" w:color="auto" w:fill="auto"/>
            <w:vAlign w:val="center"/>
          </w:tcPr>
          <w:p w14:paraId="5AB09D2F">
            <w:pPr>
              <w:jc w:val="center"/>
              <w:rPr>
                <w:rFonts w:ascii="Times New Roman" w:hAnsi="Times New Roman"/>
                <w:color w:val="000000"/>
                <w:spacing w:val="-20"/>
                <w:sz w:val="18"/>
                <w:szCs w:val="18"/>
              </w:rPr>
            </w:pPr>
          </w:p>
        </w:tc>
        <w:tc>
          <w:tcPr>
            <w:tcW w:w="252" w:type="pct"/>
            <w:gridSpan w:val="2"/>
            <w:shd w:val="clear" w:color="auto" w:fill="auto"/>
            <w:vAlign w:val="center"/>
          </w:tcPr>
          <w:p w14:paraId="4684333B">
            <w:pPr>
              <w:ind w:right="28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5" w:type="pct"/>
            <w:gridSpan w:val="2"/>
            <w:shd w:val="clear" w:color="auto" w:fill="auto"/>
            <w:vAlign w:val="center"/>
          </w:tcPr>
          <w:p w14:paraId="6D6B6E87">
            <w:pPr>
              <w:ind w:right="280"/>
              <w:jc w:val="center"/>
              <w:rPr>
                <w:rFonts w:ascii="Times New Roman" w:hAnsi="Times New Roman"/>
                <w:color w:val="000000"/>
                <w:spacing w:val="-20"/>
                <w:sz w:val="18"/>
                <w:szCs w:val="18"/>
              </w:rPr>
            </w:pPr>
          </w:p>
        </w:tc>
        <w:tc>
          <w:tcPr>
            <w:tcW w:w="269" w:type="pct"/>
            <w:gridSpan w:val="2"/>
            <w:vAlign w:val="center"/>
          </w:tcPr>
          <w:p w14:paraId="537A753F">
            <w:pPr>
              <w:autoSpaceDE w:val="0"/>
              <w:autoSpaceDN w:val="0"/>
              <w:jc w:val="center"/>
              <w:rPr>
                <w:rFonts w:ascii="Times New Roman" w:hAnsi="Times New Roman"/>
                <w:color w:val="000000"/>
                <w:spacing w:val="-20"/>
                <w:sz w:val="18"/>
                <w:szCs w:val="18"/>
              </w:rPr>
            </w:pPr>
          </w:p>
        </w:tc>
        <w:tc>
          <w:tcPr>
            <w:tcW w:w="271" w:type="pct"/>
            <w:gridSpan w:val="2"/>
            <w:vAlign w:val="center"/>
          </w:tcPr>
          <w:p w14:paraId="6BB07C99">
            <w:pPr>
              <w:autoSpaceDE w:val="0"/>
              <w:autoSpaceDN w:val="0"/>
              <w:jc w:val="center"/>
              <w:rPr>
                <w:rFonts w:ascii="Times New Roman" w:hAnsi="Times New Roman"/>
                <w:color w:val="000000"/>
                <w:spacing w:val="-20"/>
                <w:sz w:val="18"/>
                <w:szCs w:val="18"/>
              </w:rPr>
            </w:pPr>
          </w:p>
        </w:tc>
        <w:tc>
          <w:tcPr>
            <w:tcW w:w="335" w:type="pct"/>
            <w:vAlign w:val="center"/>
          </w:tcPr>
          <w:p w14:paraId="48AD769E">
            <w:pPr>
              <w:autoSpaceDE w:val="0"/>
              <w:autoSpaceDN w:val="0"/>
              <w:jc w:val="center"/>
              <w:rPr>
                <w:rFonts w:ascii="Times New Roman" w:hAnsi="Times New Roman"/>
                <w:color w:val="000000"/>
                <w:spacing w:val="-20"/>
                <w:sz w:val="18"/>
                <w:szCs w:val="18"/>
              </w:rPr>
            </w:pPr>
          </w:p>
        </w:tc>
      </w:tr>
      <w:tr w14:paraId="3E73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082E8E52">
            <w:pPr>
              <w:jc w:val="center"/>
              <w:rPr>
                <w:rFonts w:ascii="Times New Roman" w:hAnsi="Times New Roman"/>
                <w:color w:val="000000"/>
                <w:sz w:val="18"/>
                <w:szCs w:val="18"/>
              </w:rPr>
            </w:pPr>
          </w:p>
        </w:tc>
        <w:tc>
          <w:tcPr>
            <w:tcW w:w="216" w:type="pct"/>
            <w:vMerge w:val="continue"/>
            <w:vAlign w:val="center"/>
          </w:tcPr>
          <w:p w14:paraId="281C7BA6">
            <w:pPr>
              <w:jc w:val="center"/>
              <w:rPr>
                <w:rFonts w:ascii="Times New Roman" w:hAnsi="Times New Roman"/>
                <w:color w:val="000000"/>
                <w:sz w:val="18"/>
                <w:szCs w:val="18"/>
              </w:rPr>
            </w:pPr>
          </w:p>
        </w:tc>
        <w:tc>
          <w:tcPr>
            <w:tcW w:w="815" w:type="pct"/>
            <w:gridSpan w:val="2"/>
            <w:vAlign w:val="center"/>
          </w:tcPr>
          <w:p w14:paraId="65BB0D9E">
            <w:pPr>
              <w:jc w:val="center"/>
              <w:rPr>
                <w:rFonts w:ascii="Times New Roman" w:hAnsi="Times New Roman"/>
                <w:color w:val="000000"/>
                <w:spacing w:val="-20"/>
                <w:sz w:val="18"/>
                <w:szCs w:val="18"/>
              </w:rPr>
            </w:pPr>
            <w:r>
              <w:rPr>
                <w:rFonts w:hint="eastAsia" w:ascii="宋体" w:hAnsi="宋体" w:cs="宋体"/>
                <w:color w:val="000000"/>
                <w:kern w:val="0"/>
                <w:sz w:val="22"/>
              </w:rPr>
              <w:t>SZ121310</w:t>
            </w:r>
          </w:p>
        </w:tc>
        <w:tc>
          <w:tcPr>
            <w:tcW w:w="865" w:type="pct"/>
            <w:vAlign w:val="center"/>
          </w:tcPr>
          <w:p w14:paraId="049C4DF0">
            <w:pPr>
              <w:jc w:val="center"/>
              <w:rPr>
                <w:rFonts w:ascii="Times New Roman" w:hAnsi="Times New Roman"/>
                <w:color w:val="000000"/>
                <w:spacing w:val="-20"/>
                <w:sz w:val="18"/>
                <w:szCs w:val="18"/>
              </w:rPr>
            </w:pPr>
            <w:r>
              <w:rPr>
                <w:rFonts w:hint="eastAsia" w:ascii="Times New Roman" w:hAnsi="Times New Roman"/>
                <w:spacing w:val="-20"/>
                <w:sz w:val="18"/>
                <w:szCs w:val="18"/>
              </w:rPr>
              <w:t>物流运筹学</w:t>
            </w:r>
          </w:p>
        </w:tc>
        <w:tc>
          <w:tcPr>
            <w:tcW w:w="271" w:type="pct"/>
            <w:vAlign w:val="center"/>
          </w:tcPr>
          <w:p w14:paraId="5F28C3F8">
            <w:pPr>
              <w:jc w:val="center"/>
              <w:rPr>
                <w:rFonts w:ascii="Times New Roman" w:hAnsi="Times New Roman"/>
                <w:color w:val="000000"/>
                <w:spacing w:val="-20"/>
                <w:sz w:val="18"/>
                <w:szCs w:val="18"/>
              </w:rPr>
            </w:pPr>
            <w:r>
              <w:rPr>
                <w:rFonts w:hint="eastAsia" w:ascii="Times New Roman" w:hAnsi="Times New Roman"/>
                <w:bCs/>
                <w:spacing w:val="-20"/>
                <w:sz w:val="18"/>
                <w:szCs w:val="18"/>
              </w:rPr>
              <w:t>64</w:t>
            </w:r>
          </w:p>
        </w:tc>
        <w:tc>
          <w:tcPr>
            <w:tcW w:w="216" w:type="pct"/>
            <w:vAlign w:val="center"/>
          </w:tcPr>
          <w:p w14:paraId="5F004133">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216" w:type="pct"/>
            <w:vAlign w:val="center"/>
          </w:tcPr>
          <w:p w14:paraId="749E3C8A">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228" w:type="pct"/>
            <w:vAlign w:val="center"/>
          </w:tcPr>
          <w:p w14:paraId="194A4447">
            <w:pPr>
              <w:jc w:val="center"/>
              <w:rPr>
                <w:rFonts w:ascii="Times New Roman" w:hAnsi="Times New Roman"/>
                <w:color w:val="000000"/>
                <w:spacing w:val="-20"/>
                <w:sz w:val="18"/>
                <w:szCs w:val="18"/>
              </w:rPr>
            </w:pPr>
            <w:r>
              <w:rPr>
                <w:rFonts w:hint="eastAsia" w:ascii="Times New Roman" w:hAnsi="Times New Roman"/>
                <w:bCs/>
                <w:spacing w:val="-20"/>
                <w:sz w:val="18"/>
                <w:szCs w:val="18"/>
              </w:rPr>
              <w:t>4</w:t>
            </w:r>
          </w:p>
        </w:tc>
        <w:tc>
          <w:tcPr>
            <w:tcW w:w="295" w:type="pct"/>
            <w:shd w:val="clear" w:color="auto" w:fill="auto"/>
            <w:vAlign w:val="center"/>
          </w:tcPr>
          <w:p w14:paraId="642A03A8">
            <w:pPr>
              <w:jc w:val="center"/>
              <w:rPr>
                <w:rFonts w:ascii="Times New Roman" w:hAnsi="Times New Roman"/>
                <w:color w:val="000000"/>
                <w:spacing w:val="-20"/>
                <w:sz w:val="18"/>
                <w:szCs w:val="18"/>
              </w:rPr>
            </w:pPr>
          </w:p>
        </w:tc>
        <w:tc>
          <w:tcPr>
            <w:tcW w:w="279" w:type="pct"/>
            <w:gridSpan w:val="4"/>
            <w:shd w:val="clear" w:color="auto" w:fill="auto"/>
            <w:vAlign w:val="center"/>
          </w:tcPr>
          <w:p w14:paraId="0E1C1D67">
            <w:pPr>
              <w:jc w:val="center"/>
              <w:rPr>
                <w:rFonts w:ascii="Times New Roman" w:hAnsi="Times New Roman"/>
                <w:color w:val="000000"/>
                <w:spacing w:val="-20"/>
                <w:sz w:val="18"/>
                <w:szCs w:val="18"/>
              </w:rPr>
            </w:pPr>
          </w:p>
        </w:tc>
        <w:tc>
          <w:tcPr>
            <w:tcW w:w="252" w:type="pct"/>
            <w:gridSpan w:val="2"/>
            <w:shd w:val="clear" w:color="auto" w:fill="auto"/>
            <w:vAlign w:val="center"/>
          </w:tcPr>
          <w:p w14:paraId="04C6B078">
            <w:pPr>
              <w:ind w:right="28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5" w:type="pct"/>
            <w:gridSpan w:val="2"/>
            <w:shd w:val="clear" w:color="auto" w:fill="auto"/>
            <w:vAlign w:val="center"/>
          </w:tcPr>
          <w:p w14:paraId="0C1CC5C7">
            <w:pPr>
              <w:ind w:right="280"/>
              <w:jc w:val="center"/>
              <w:rPr>
                <w:rFonts w:ascii="Times New Roman" w:hAnsi="Times New Roman"/>
                <w:color w:val="000000"/>
                <w:spacing w:val="-20"/>
                <w:sz w:val="18"/>
                <w:szCs w:val="18"/>
              </w:rPr>
            </w:pPr>
          </w:p>
        </w:tc>
        <w:tc>
          <w:tcPr>
            <w:tcW w:w="269" w:type="pct"/>
            <w:gridSpan w:val="2"/>
            <w:vAlign w:val="center"/>
          </w:tcPr>
          <w:p w14:paraId="004FC721">
            <w:pPr>
              <w:autoSpaceDE w:val="0"/>
              <w:autoSpaceDN w:val="0"/>
              <w:jc w:val="center"/>
              <w:rPr>
                <w:rFonts w:ascii="Times New Roman" w:hAnsi="Times New Roman"/>
                <w:color w:val="000000"/>
                <w:spacing w:val="-20"/>
                <w:sz w:val="18"/>
                <w:szCs w:val="18"/>
              </w:rPr>
            </w:pPr>
          </w:p>
        </w:tc>
        <w:tc>
          <w:tcPr>
            <w:tcW w:w="271" w:type="pct"/>
            <w:gridSpan w:val="2"/>
            <w:vAlign w:val="center"/>
          </w:tcPr>
          <w:p w14:paraId="7E0A4B5B">
            <w:pPr>
              <w:autoSpaceDE w:val="0"/>
              <w:autoSpaceDN w:val="0"/>
              <w:jc w:val="center"/>
              <w:rPr>
                <w:rFonts w:ascii="Times New Roman" w:hAnsi="Times New Roman"/>
                <w:color w:val="000000"/>
                <w:spacing w:val="-20"/>
                <w:sz w:val="18"/>
                <w:szCs w:val="18"/>
              </w:rPr>
            </w:pPr>
          </w:p>
        </w:tc>
        <w:tc>
          <w:tcPr>
            <w:tcW w:w="335" w:type="pct"/>
            <w:vAlign w:val="center"/>
          </w:tcPr>
          <w:p w14:paraId="7E257428">
            <w:pPr>
              <w:autoSpaceDE w:val="0"/>
              <w:autoSpaceDN w:val="0"/>
              <w:jc w:val="center"/>
              <w:rPr>
                <w:rFonts w:ascii="Times New Roman" w:hAnsi="Times New Roman"/>
                <w:color w:val="000000"/>
                <w:spacing w:val="-20"/>
                <w:sz w:val="18"/>
                <w:szCs w:val="18"/>
              </w:rPr>
            </w:pPr>
          </w:p>
        </w:tc>
      </w:tr>
      <w:tr w14:paraId="4B3CD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5C7F14BD">
            <w:pPr>
              <w:jc w:val="center"/>
              <w:rPr>
                <w:rFonts w:ascii="Times New Roman" w:hAnsi="Times New Roman"/>
                <w:color w:val="000000"/>
                <w:sz w:val="18"/>
                <w:szCs w:val="18"/>
              </w:rPr>
            </w:pPr>
          </w:p>
        </w:tc>
        <w:tc>
          <w:tcPr>
            <w:tcW w:w="216" w:type="pct"/>
            <w:vMerge w:val="continue"/>
            <w:vAlign w:val="center"/>
          </w:tcPr>
          <w:p w14:paraId="31D52038">
            <w:pPr>
              <w:jc w:val="center"/>
              <w:rPr>
                <w:rFonts w:ascii="Times New Roman" w:hAnsi="Times New Roman"/>
                <w:color w:val="000000"/>
                <w:sz w:val="18"/>
                <w:szCs w:val="18"/>
              </w:rPr>
            </w:pPr>
          </w:p>
        </w:tc>
        <w:tc>
          <w:tcPr>
            <w:tcW w:w="815" w:type="pct"/>
            <w:gridSpan w:val="2"/>
            <w:vAlign w:val="center"/>
          </w:tcPr>
          <w:p w14:paraId="60C6C3EC">
            <w:pPr>
              <w:jc w:val="center"/>
              <w:rPr>
                <w:rFonts w:ascii="Times New Roman" w:hAnsi="Times New Roman"/>
                <w:color w:val="000000"/>
                <w:spacing w:val="-20"/>
                <w:sz w:val="18"/>
                <w:szCs w:val="18"/>
              </w:rPr>
            </w:pPr>
            <w:r>
              <w:rPr>
                <w:rFonts w:hint="eastAsia" w:ascii="宋体" w:hAnsi="宋体" w:cs="宋体"/>
                <w:color w:val="000000"/>
                <w:kern w:val="0"/>
                <w:sz w:val="22"/>
              </w:rPr>
              <w:t>SZ121304</w:t>
            </w:r>
          </w:p>
        </w:tc>
        <w:tc>
          <w:tcPr>
            <w:tcW w:w="865" w:type="pct"/>
            <w:vAlign w:val="center"/>
          </w:tcPr>
          <w:p w14:paraId="79459893">
            <w:pPr>
              <w:jc w:val="center"/>
              <w:rPr>
                <w:rFonts w:ascii="Times New Roman" w:hAnsi="Times New Roman"/>
                <w:color w:val="000000"/>
                <w:spacing w:val="-20"/>
                <w:sz w:val="18"/>
                <w:szCs w:val="18"/>
              </w:rPr>
            </w:pPr>
            <w:r>
              <w:rPr>
                <w:rFonts w:hint="eastAsia" w:ascii="Times New Roman" w:hAnsi="Times New Roman"/>
                <w:spacing w:val="-20"/>
                <w:sz w:val="18"/>
                <w:szCs w:val="18"/>
              </w:rPr>
              <w:t>物流信息技术与应用</w:t>
            </w:r>
          </w:p>
        </w:tc>
        <w:tc>
          <w:tcPr>
            <w:tcW w:w="271" w:type="pct"/>
            <w:vAlign w:val="center"/>
          </w:tcPr>
          <w:p w14:paraId="420226F4">
            <w:pPr>
              <w:jc w:val="center"/>
              <w:rPr>
                <w:rFonts w:ascii="Times New Roman" w:hAnsi="Times New Roman"/>
                <w:color w:val="000000"/>
                <w:spacing w:val="-20"/>
                <w:sz w:val="18"/>
                <w:szCs w:val="18"/>
              </w:rPr>
            </w:pPr>
            <w:r>
              <w:rPr>
                <w:rFonts w:hint="eastAsia" w:ascii="Times New Roman" w:hAnsi="Times New Roman"/>
                <w:bCs/>
                <w:spacing w:val="-20"/>
                <w:sz w:val="18"/>
                <w:szCs w:val="18"/>
              </w:rPr>
              <w:t>64</w:t>
            </w:r>
          </w:p>
        </w:tc>
        <w:tc>
          <w:tcPr>
            <w:tcW w:w="216" w:type="pct"/>
            <w:vAlign w:val="center"/>
          </w:tcPr>
          <w:p w14:paraId="4121A786">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bCs/>
                <w:color w:val="000000" w:themeColor="text1"/>
                <w:spacing w:val="-20"/>
                <w:sz w:val="18"/>
                <w:szCs w:val="18"/>
                <w14:textFill>
                  <w14:solidFill>
                    <w14:schemeClr w14:val="tx1"/>
                  </w14:solidFill>
                </w14:textFill>
              </w:rPr>
              <w:t>32</w:t>
            </w:r>
          </w:p>
        </w:tc>
        <w:tc>
          <w:tcPr>
            <w:tcW w:w="216" w:type="pct"/>
            <w:vAlign w:val="center"/>
          </w:tcPr>
          <w:p w14:paraId="29E596DF">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228" w:type="pct"/>
            <w:vAlign w:val="center"/>
          </w:tcPr>
          <w:p w14:paraId="00A58736">
            <w:pPr>
              <w:jc w:val="center"/>
              <w:rPr>
                <w:rFonts w:ascii="Times New Roman" w:hAnsi="Times New Roman"/>
                <w:color w:val="000000"/>
                <w:spacing w:val="-20"/>
                <w:sz w:val="18"/>
                <w:szCs w:val="18"/>
              </w:rPr>
            </w:pPr>
            <w:r>
              <w:rPr>
                <w:rFonts w:hint="eastAsia" w:ascii="Times New Roman" w:hAnsi="Times New Roman"/>
                <w:bCs/>
                <w:spacing w:val="-20"/>
                <w:sz w:val="18"/>
                <w:szCs w:val="18"/>
              </w:rPr>
              <w:t>4</w:t>
            </w:r>
          </w:p>
        </w:tc>
        <w:tc>
          <w:tcPr>
            <w:tcW w:w="295" w:type="pct"/>
            <w:shd w:val="clear" w:color="auto" w:fill="auto"/>
            <w:vAlign w:val="center"/>
          </w:tcPr>
          <w:p w14:paraId="02278A13">
            <w:pPr>
              <w:jc w:val="center"/>
              <w:rPr>
                <w:rFonts w:ascii="Times New Roman" w:hAnsi="Times New Roman"/>
                <w:color w:val="000000"/>
                <w:spacing w:val="-20"/>
                <w:sz w:val="18"/>
                <w:szCs w:val="18"/>
              </w:rPr>
            </w:pPr>
          </w:p>
        </w:tc>
        <w:tc>
          <w:tcPr>
            <w:tcW w:w="279" w:type="pct"/>
            <w:gridSpan w:val="4"/>
            <w:shd w:val="clear" w:color="auto" w:fill="auto"/>
            <w:vAlign w:val="center"/>
          </w:tcPr>
          <w:p w14:paraId="709470FB">
            <w:pPr>
              <w:jc w:val="center"/>
              <w:rPr>
                <w:rFonts w:ascii="Times New Roman" w:hAnsi="Times New Roman"/>
                <w:color w:val="000000"/>
                <w:spacing w:val="-20"/>
                <w:sz w:val="18"/>
                <w:szCs w:val="18"/>
              </w:rPr>
            </w:pPr>
          </w:p>
        </w:tc>
        <w:tc>
          <w:tcPr>
            <w:tcW w:w="252" w:type="pct"/>
            <w:gridSpan w:val="2"/>
            <w:shd w:val="clear" w:color="auto" w:fill="auto"/>
            <w:vAlign w:val="center"/>
          </w:tcPr>
          <w:p w14:paraId="5FDC4C03">
            <w:pPr>
              <w:ind w:right="280"/>
              <w:jc w:val="center"/>
              <w:rPr>
                <w:rFonts w:ascii="Times New Roman" w:hAnsi="Times New Roman"/>
                <w:color w:val="000000"/>
                <w:spacing w:val="-20"/>
                <w:sz w:val="18"/>
                <w:szCs w:val="18"/>
              </w:rPr>
            </w:pPr>
          </w:p>
        </w:tc>
        <w:tc>
          <w:tcPr>
            <w:tcW w:w="275" w:type="pct"/>
            <w:gridSpan w:val="2"/>
            <w:shd w:val="clear" w:color="auto" w:fill="auto"/>
            <w:vAlign w:val="center"/>
          </w:tcPr>
          <w:p w14:paraId="3029CC57">
            <w:pPr>
              <w:ind w:right="28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69" w:type="pct"/>
            <w:gridSpan w:val="2"/>
            <w:vAlign w:val="center"/>
          </w:tcPr>
          <w:p w14:paraId="1ED95FC5">
            <w:pPr>
              <w:autoSpaceDE w:val="0"/>
              <w:autoSpaceDN w:val="0"/>
              <w:jc w:val="center"/>
              <w:rPr>
                <w:rFonts w:ascii="Times New Roman" w:hAnsi="Times New Roman"/>
                <w:color w:val="000000"/>
                <w:spacing w:val="-20"/>
                <w:sz w:val="18"/>
                <w:szCs w:val="18"/>
              </w:rPr>
            </w:pPr>
          </w:p>
        </w:tc>
        <w:tc>
          <w:tcPr>
            <w:tcW w:w="271" w:type="pct"/>
            <w:gridSpan w:val="2"/>
            <w:vAlign w:val="center"/>
          </w:tcPr>
          <w:p w14:paraId="0E20E8E1">
            <w:pPr>
              <w:autoSpaceDE w:val="0"/>
              <w:autoSpaceDN w:val="0"/>
              <w:jc w:val="center"/>
              <w:rPr>
                <w:rFonts w:ascii="Times New Roman" w:hAnsi="Times New Roman"/>
                <w:color w:val="000000"/>
                <w:spacing w:val="-20"/>
                <w:sz w:val="18"/>
                <w:szCs w:val="18"/>
              </w:rPr>
            </w:pPr>
          </w:p>
        </w:tc>
        <w:tc>
          <w:tcPr>
            <w:tcW w:w="335" w:type="pct"/>
            <w:vAlign w:val="center"/>
          </w:tcPr>
          <w:p w14:paraId="65A30DDC">
            <w:pPr>
              <w:autoSpaceDE w:val="0"/>
              <w:autoSpaceDN w:val="0"/>
              <w:jc w:val="center"/>
              <w:rPr>
                <w:rFonts w:ascii="Times New Roman" w:hAnsi="Times New Roman"/>
                <w:color w:val="000000"/>
                <w:spacing w:val="-20"/>
                <w:sz w:val="18"/>
                <w:szCs w:val="18"/>
              </w:rPr>
            </w:pPr>
          </w:p>
        </w:tc>
      </w:tr>
      <w:tr w14:paraId="0028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6C203A80">
            <w:pPr>
              <w:jc w:val="center"/>
              <w:rPr>
                <w:rFonts w:ascii="Times New Roman" w:hAnsi="Times New Roman"/>
                <w:color w:val="000000"/>
                <w:sz w:val="18"/>
                <w:szCs w:val="18"/>
              </w:rPr>
            </w:pPr>
          </w:p>
        </w:tc>
        <w:tc>
          <w:tcPr>
            <w:tcW w:w="216" w:type="pct"/>
            <w:vMerge w:val="continue"/>
            <w:vAlign w:val="center"/>
          </w:tcPr>
          <w:p w14:paraId="321C54E3">
            <w:pPr>
              <w:jc w:val="center"/>
              <w:rPr>
                <w:rFonts w:ascii="Times New Roman" w:hAnsi="Times New Roman"/>
                <w:color w:val="000000"/>
                <w:sz w:val="18"/>
                <w:szCs w:val="18"/>
              </w:rPr>
            </w:pPr>
          </w:p>
        </w:tc>
        <w:tc>
          <w:tcPr>
            <w:tcW w:w="815" w:type="pct"/>
            <w:gridSpan w:val="2"/>
            <w:vAlign w:val="center"/>
          </w:tcPr>
          <w:p w14:paraId="33E106AA">
            <w:pPr>
              <w:jc w:val="center"/>
              <w:rPr>
                <w:rFonts w:ascii="Times New Roman" w:hAnsi="Times New Roman"/>
                <w:color w:val="000000"/>
                <w:spacing w:val="-20"/>
                <w:sz w:val="18"/>
                <w:szCs w:val="18"/>
              </w:rPr>
            </w:pPr>
            <w:r>
              <w:rPr>
                <w:rFonts w:hint="eastAsia" w:ascii="宋体" w:hAnsi="宋体" w:cs="宋体"/>
                <w:color w:val="000000"/>
                <w:kern w:val="0"/>
                <w:sz w:val="22"/>
              </w:rPr>
              <w:t>SZ</w:t>
            </w:r>
            <w:r>
              <w:rPr>
                <w:rFonts w:ascii="宋体" w:hAnsi="宋体" w:cs="宋体"/>
                <w:color w:val="000000"/>
                <w:kern w:val="0"/>
                <w:sz w:val="22"/>
              </w:rPr>
              <w:t>121309</w:t>
            </w:r>
          </w:p>
        </w:tc>
        <w:tc>
          <w:tcPr>
            <w:tcW w:w="865" w:type="pct"/>
            <w:vAlign w:val="center"/>
          </w:tcPr>
          <w:p w14:paraId="033B4DC0">
            <w:pPr>
              <w:jc w:val="center"/>
              <w:rPr>
                <w:rFonts w:ascii="Times New Roman" w:hAnsi="Times New Roman"/>
                <w:color w:val="000000"/>
                <w:spacing w:val="-20"/>
                <w:sz w:val="18"/>
                <w:szCs w:val="18"/>
              </w:rPr>
            </w:pPr>
            <w:r>
              <w:rPr>
                <w:rFonts w:hint="eastAsia" w:ascii="Times New Roman" w:hAnsi="Times New Roman"/>
                <w:spacing w:val="-20"/>
                <w:sz w:val="18"/>
                <w:szCs w:val="18"/>
              </w:rPr>
              <w:t>第三方物流</w:t>
            </w:r>
          </w:p>
        </w:tc>
        <w:tc>
          <w:tcPr>
            <w:tcW w:w="271" w:type="pct"/>
            <w:vAlign w:val="center"/>
          </w:tcPr>
          <w:p w14:paraId="6D806A08">
            <w:pPr>
              <w:jc w:val="center"/>
              <w:rPr>
                <w:rFonts w:ascii="Times New Roman" w:hAnsi="Times New Roman"/>
                <w:color w:val="000000"/>
                <w:spacing w:val="-20"/>
                <w:sz w:val="18"/>
                <w:szCs w:val="18"/>
              </w:rPr>
            </w:pPr>
            <w:r>
              <w:rPr>
                <w:rFonts w:hint="eastAsia" w:ascii="Times New Roman" w:hAnsi="Times New Roman"/>
                <w:bCs/>
                <w:spacing w:val="-20"/>
                <w:sz w:val="18"/>
                <w:szCs w:val="18"/>
              </w:rPr>
              <w:t>64</w:t>
            </w:r>
          </w:p>
        </w:tc>
        <w:tc>
          <w:tcPr>
            <w:tcW w:w="216" w:type="pct"/>
            <w:vAlign w:val="center"/>
          </w:tcPr>
          <w:p w14:paraId="19CEB7A8">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bCs/>
                <w:color w:val="000000" w:themeColor="text1"/>
                <w:spacing w:val="-20"/>
                <w:sz w:val="18"/>
                <w:szCs w:val="18"/>
                <w14:textFill>
                  <w14:solidFill>
                    <w14:schemeClr w14:val="tx1"/>
                  </w14:solidFill>
                </w14:textFill>
              </w:rPr>
              <w:t>32</w:t>
            </w:r>
          </w:p>
        </w:tc>
        <w:tc>
          <w:tcPr>
            <w:tcW w:w="216" w:type="pct"/>
            <w:vAlign w:val="center"/>
          </w:tcPr>
          <w:p w14:paraId="27C8A7AA">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228" w:type="pct"/>
            <w:vAlign w:val="center"/>
          </w:tcPr>
          <w:p w14:paraId="164041DF">
            <w:pPr>
              <w:jc w:val="center"/>
              <w:rPr>
                <w:rFonts w:ascii="Times New Roman" w:hAnsi="Times New Roman"/>
                <w:color w:val="000000"/>
                <w:spacing w:val="-20"/>
                <w:sz w:val="18"/>
                <w:szCs w:val="18"/>
              </w:rPr>
            </w:pPr>
            <w:r>
              <w:rPr>
                <w:rFonts w:hint="eastAsia" w:ascii="Times New Roman" w:hAnsi="Times New Roman"/>
                <w:bCs/>
                <w:spacing w:val="-20"/>
                <w:sz w:val="18"/>
                <w:szCs w:val="18"/>
              </w:rPr>
              <w:t>4</w:t>
            </w:r>
          </w:p>
        </w:tc>
        <w:tc>
          <w:tcPr>
            <w:tcW w:w="295" w:type="pct"/>
            <w:shd w:val="clear" w:color="auto" w:fill="auto"/>
            <w:vAlign w:val="center"/>
          </w:tcPr>
          <w:p w14:paraId="5A7C4CDE">
            <w:pPr>
              <w:jc w:val="center"/>
              <w:rPr>
                <w:rFonts w:ascii="Times New Roman" w:hAnsi="Times New Roman"/>
                <w:color w:val="000000"/>
                <w:spacing w:val="-20"/>
                <w:sz w:val="18"/>
                <w:szCs w:val="18"/>
              </w:rPr>
            </w:pPr>
          </w:p>
        </w:tc>
        <w:tc>
          <w:tcPr>
            <w:tcW w:w="279" w:type="pct"/>
            <w:gridSpan w:val="4"/>
            <w:shd w:val="clear" w:color="auto" w:fill="auto"/>
            <w:vAlign w:val="center"/>
          </w:tcPr>
          <w:p w14:paraId="40CF76F9">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52" w:type="pct"/>
            <w:gridSpan w:val="2"/>
            <w:shd w:val="clear" w:color="auto" w:fill="auto"/>
            <w:vAlign w:val="center"/>
          </w:tcPr>
          <w:p w14:paraId="6A4696C5">
            <w:pPr>
              <w:ind w:right="280"/>
              <w:jc w:val="center"/>
              <w:rPr>
                <w:rFonts w:ascii="Times New Roman" w:hAnsi="Times New Roman"/>
                <w:color w:val="000000"/>
                <w:spacing w:val="-20"/>
                <w:sz w:val="18"/>
                <w:szCs w:val="18"/>
              </w:rPr>
            </w:pPr>
          </w:p>
        </w:tc>
        <w:tc>
          <w:tcPr>
            <w:tcW w:w="275" w:type="pct"/>
            <w:gridSpan w:val="2"/>
            <w:shd w:val="clear" w:color="auto" w:fill="auto"/>
            <w:vAlign w:val="center"/>
          </w:tcPr>
          <w:p w14:paraId="6739A552">
            <w:pPr>
              <w:ind w:right="280"/>
              <w:jc w:val="center"/>
              <w:rPr>
                <w:rFonts w:ascii="Times New Roman" w:hAnsi="Times New Roman"/>
                <w:color w:val="000000"/>
                <w:spacing w:val="-20"/>
                <w:sz w:val="18"/>
                <w:szCs w:val="18"/>
              </w:rPr>
            </w:pPr>
          </w:p>
        </w:tc>
        <w:tc>
          <w:tcPr>
            <w:tcW w:w="269" w:type="pct"/>
            <w:gridSpan w:val="2"/>
            <w:vAlign w:val="center"/>
          </w:tcPr>
          <w:p w14:paraId="63FD0E61">
            <w:pPr>
              <w:autoSpaceDE w:val="0"/>
              <w:autoSpaceDN w:val="0"/>
              <w:jc w:val="center"/>
              <w:rPr>
                <w:rFonts w:ascii="Times New Roman" w:hAnsi="Times New Roman"/>
                <w:color w:val="000000"/>
                <w:spacing w:val="-20"/>
                <w:sz w:val="18"/>
                <w:szCs w:val="18"/>
              </w:rPr>
            </w:pPr>
          </w:p>
        </w:tc>
        <w:tc>
          <w:tcPr>
            <w:tcW w:w="271" w:type="pct"/>
            <w:gridSpan w:val="2"/>
            <w:vAlign w:val="center"/>
          </w:tcPr>
          <w:p w14:paraId="668B51C0">
            <w:pPr>
              <w:autoSpaceDE w:val="0"/>
              <w:autoSpaceDN w:val="0"/>
              <w:jc w:val="center"/>
              <w:rPr>
                <w:rFonts w:ascii="Times New Roman" w:hAnsi="Times New Roman"/>
                <w:color w:val="000000"/>
                <w:spacing w:val="-20"/>
                <w:sz w:val="18"/>
                <w:szCs w:val="18"/>
              </w:rPr>
            </w:pPr>
          </w:p>
        </w:tc>
        <w:tc>
          <w:tcPr>
            <w:tcW w:w="335" w:type="pct"/>
            <w:vAlign w:val="center"/>
          </w:tcPr>
          <w:p w14:paraId="47B41D4C">
            <w:pPr>
              <w:autoSpaceDE w:val="0"/>
              <w:autoSpaceDN w:val="0"/>
              <w:jc w:val="center"/>
              <w:rPr>
                <w:rFonts w:ascii="Times New Roman" w:hAnsi="Times New Roman"/>
                <w:color w:val="000000"/>
                <w:spacing w:val="-20"/>
                <w:sz w:val="18"/>
                <w:szCs w:val="18"/>
              </w:rPr>
            </w:pPr>
          </w:p>
        </w:tc>
      </w:tr>
      <w:tr w14:paraId="049BC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418620C2">
            <w:pPr>
              <w:jc w:val="center"/>
              <w:rPr>
                <w:rFonts w:ascii="Times New Roman" w:hAnsi="Times New Roman"/>
                <w:color w:val="000000"/>
                <w:sz w:val="18"/>
                <w:szCs w:val="18"/>
              </w:rPr>
            </w:pPr>
          </w:p>
        </w:tc>
        <w:tc>
          <w:tcPr>
            <w:tcW w:w="216" w:type="pct"/>
            <w:vMerge w:val="continue"/>
            <w:vAlign w:val="center"/>
          </w:tcPr>
          <w:p w14:paraId="235A3970">
            <w:pPr>
              <w:jc w:val="center"/>
              <w:rPr>
                <w:rFonts w:ascii="Times New Roman" w:hAnsi="Times New Roman"/>
                <w:color w:val="000000"/>
                <w:sz w:val="18"/>
                <w:szCs w:val="18"/>
              </w:rPr>
            </w:pPr>
          </w:p>
        </w:tc>
        <w:tc>
          <w:tcPr>
            <w:tcW w:w="1680" w:type="pct"/>
            <w:gridSpan w:val="3"/>
            <w:vAlign w:val="center"/>
          </w:tcPr>
          <w:p w14:paraId="35A3D2EA">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14:paraId="2989CE77">
            <w:pPr>
              <w:jc w:val="center"/>
              <w:rPr>
                <w:rFonts w:ascii="Times New Roman" w:hAnsi="Times New Roman"/>
                <w:color w:val="000000"/>
                <w:spacing w:val="-20"/>
                <w:sz w:val="18"/>
                <w:szCs w:val="18"/>
              </w:rPr>
            </w:pPr>
            <w:r>
              <w:rPr>
                <w:rFonts w:ascii="Times New Roman" w:hAnsi="Times New Roman"/>
                <w:color w:val="000000"/>
                <w:spacing w:val="-20"/>
                <w:sz w:val="18"/>
                <w:szCs w:val="18"/>
              </w:rPr>
              <w:fldChar w:fldCharType="begin"/>
            </w:r>
            <w:r>
              <w:rPr>
                <w:rFonts w:ascii="Times New Roman" w:hAnsi="Times New Roman"/>
                <w:color w:val="000000"/>
                <w:spacing w:val="-20"/>
                <w:sz w:val="18"/>
                <w:szCs w:val="18"/>
              </w:rPr>
              <w:instrText xml:space="preserve"> =SUM(ABOVE) </w:instrText>
            </w:r>
            <w:r>
              <w:rPr>
                <w:rFonts w:ascii="Times New Roman" w:hAnsi="Times New Roman"/>
                <w:color w:val="000000"/>
                <w:spacing w:val="-20"/>
                <w:sz w:val="18"/>
                <w:szCs w:val="18"/>
              </w:rPr>
              <w:fldChar w:fldCharType="separate"/>
            </w:r>
            <w:r>
              <w:rPr>
                <w:rFonts w:ascii="Times New Roman" w:hAnsi="Times New Roman"/>
                <w:color w:val="000000"/>
                <w:spacing w:val="-20"/>
                <w:sz w:val="18"/>
                <w:szCs w:val="18"/>
              </w:rPr>
              <w:t>384</w:t>
            </w:r>
            <w:r>
              <w:rPr>
                <w:rFonts w:ascii="Times New Roman" w:hAnsi="Times New Roman"/>
                <w:color w:val="000000"/>
                <w:spacing w:val="-20"/>
                <w:sz w:val="18"/>
                <w:szCs w:val="18"/>
              </w:rPr>
              <w:fldChar w:fldCharType="end"/>
            </w:r>
          </w:p>
        </w:tc>
        <w:tc>
          <w:tcPr>
            <w:tcW w:w="216" w:type="pct"/>
            <w:vAlign w:val="center"/>
          </w:tcPr>
          <w:p w14:paraId="411D6696">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192</w:t>
            </w:r>
          </w:p>
        </w:tc>
        <w:tc>
          <w:tcPr>
            <w:tcW w:w="216" w:type="pct"/>
            <w:vAlign w:val="center"/>
          </w:tcPr>
          <w:p w14:paraId="601AF153">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192</w:t>
            </w:r>
          </w:p>
        </w:tc>
        <w:tc>
          <w:tcPr>
            <w:tcW w:w="228" w:type="pct"/>
            <w:vAlign w:val="center"/>
          </w:tcPr>
          <w:p w14:paraId="33587D7B">
            <w:pPr>
              <w:jc w:val="center"/>
              <w:rPr>
                <w:rFonts w:ascii="Times New Roman" w:hAnsi="Times New Roman"/>
                <w:color w:val="000000"/>
                <w:spacing w:val="-20"/>
                <w:sz w:val="18"/>
                <w:szCs w:val="18"/>
              </w:rPr>
            </w:pPr>
            <w:r>
              <w:rPr>
                <w:rFonts w:hint="eastAsia" w:ascii="Times New Roman" w:hAnsi="Times New Roman"/>
                <w:spacing w:val="-20"/>
                <w:sz w:val="18"/>
                <w:szCs w:val="18"/>
              </w:rPr>
              <w:t>24</w:t>
            </w:r>
          </w:p>
        </w:tc>
        <w:tc>
          <w:tcPr>
            <w:tcW w:w="295" w:type="pct"/>
            <w:shd w:val="clear" w:color="auto" w:fill="auto"/>
            <w:vAlign w:val="center"/>
          </w:tcPr>
          <w:p w14:paraId="424581C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9" w:type="pct"/>
            <w:gridSpan w:val="4"/>
            <w:shd w:val="clear" w:color="auto" w:fill="auto"/>
            <w:vAlign w:val="center"/>
          </w:tcPr>
          <w:p w14:paraId="5A99ED4A">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8</w:t>
            </w:r>
          </w:p>
        </w:tc>
        <w:tc>
          <w:tcPr>
            <w:tcW w:w="252" w:type="pct"/>
            <w:gridSpan w:val="2"/>
            <w:shd w:val="clear" w:color="auto" w:fill="auto"/>
            <w:vAlign w:val="center"/>
          </w:tcPr>
          <w:p w14:paraId="7C4756D5">
            <w:pPr>
              <w:ind w:right="28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8</w:t>
            </w:r>
          </w:p>
        </w:tc>
        <w:tc>
          <w:tcPr>
            <w:tcW w:w="275" w:type="pct"/>
            <w:gridSpan w:val="2"/>
            <w:shd w:val="clear" w:color="auto" w:fill="auto"/>
            <w:vAlign w:val="center"/>
          </w:tcPr>
          <w:p w14:paraId="3EF0AA3B">
            <w:pPr>
              <w:ind w:right="28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8</w:t>
            </w:r>
          </w:p>
        </w:tc>
        <w:tc>
          <w:tcPr>
            <w:tcW w:w="269" w:type="pct"/>
            <w:gridSpan w:val="2"/>
            <w:vAlign w:val="center"/>
          </w:tcPr>
          <w:p w14:paraId="0B95D8D4">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0</w:t>
            </w:r>
          </w:p>
        </w:tc>
        <w:tc>
          <w:tcPr>
            <w:tcW w:w="271" w:type="pct"/>
            <w:gridSpan w:val="2"/>
            <w:vAlign w:val="center"/>
          </w:tcPr>
          <w:p w14:paraId="12F3103E">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0</w:t>
            </w:r>
          </w:p>
        </w:tc>
        <w:tc>
          <w:tcPr>
            <w:tcW w:w="335" w:type="pct"/>
            <w:vMerge w:val="restart"/>
            <w:vAlign w:val="center"/>
          </w:tcPr>
          <w:p w14:paraId="3675FEBD">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每位学生公共选修课程总学分数最少4学分</w:t>
            </w:r>
          </w:p>
        </w:tc>
      </w:tr>
      <w:tr w14:paraId="6A120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restart"/>
            <w:vAlign w:val="center"/>
          </w:tcPr>
          <w:p w14:paraId="6301E374">
            <w:pPr>
              <w:rPr>
                <w:rFonts w:ascii="Times New Roman" w:hAnsi="Times New Roman"/>
                <w:color w:val="000000"/>
                <w:sz w:val="18"/>
                <w:szCs w:val="18"/>
              </w:rPr>
            </w:pPr>
            <w:r>
              <w:rPr>
                <w:rFonts w:hint="eastAsia" w:ascii="Times New Roman" w:hAnsi="Times New Roman"/>
                <w:color w:val="000000"/>
                <w:sz w:val="18"/>
                <w:szCs w:val="18"/>
              </w:rPr>
              <w:t>模块选修课程</w:t>
            </w:r>
          </w:p>
        </w:tc>
        <w:tc>
          <w:tcPr>
            <w:tcW w:w="216" w:type="pct"/>
            <w:vMerge w:val="restart"/>
            <w:vAlign w:val="center"/>
          </w:tcPr>
          <w:p w14:paraId="5415CB1F">
            <w:pPr>
              <w:jc w:val="cente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1680" w:type="pct"/>
            <w:gridSpan w:val="3"/>
            <w:vAlign w:val="center"/>
          </w:tcPr>
          <w:p w14:paraId="059126CA">
            <w:pPr>
              <w:autoSpaceDE w:val="0"/>
              <w:autoSpaceDN w:val="0"/>
              <w:jc w:val="center"/>
              <w:rPr>
                <w:rFonts w:ascii="宋体" w:cs="宋体"/>
                <w:sz w:val="18"/>
                <w:szCs w:val="18"/>
              </w:rPr>
            </w:pPr>
            <w:r>
              <w:rPr>
                <w:rFonts w:hint="eastAsia" w:ascii="宋体" w:cs="宋体"/>
                <w:sz w:val="18"/>
                <w:szCs w:val="18"/>
              </w:rPr>
              <w:t>国家安全教育</w:t>
            </w:r>
          </w:p>
        </w:tc>
        <w:tc>
          <w:tcPr>
            <w:tcW w:w="271" w:type="pct"/>
            <w:vAlign w:val="center"/>
          </w:tcPr>
          <w:p w14:paraId="2568B70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7A1814C6">
            <w:pPr>
              <w:autoSpaceDE w:val="0"/>
              <w:autoSpaceDN w:val="0"/>
              <w:jc w:val="left"/>
              <w:rPr>
                <w:rFonts w:ascii="Times New Roman" w:hAnsi="Times New Roman"/>
                <w:b/>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32</w:t>
            </w:r>
          </w:p>
        </w:tc>
        <w:tc>
          <w:tcPr>
            <w:tcW w:w="216" w:type="pct"/>
            <w:vAlign w:val="center"/>
          </w:tcPr>
          <w:p w14:paraId="02C096B2">
            <w:pPr>
              <w:autoSpaceDE w:val="0"/>
              <w:autoSpaceDN w:val="0"/>
              <w:jc w:val="left"/>
              <w:rPr>
                <w:rFonts w:ascii="Times New Roman" w:hAnsi="Times New Roman"/>
                <w:b/>
                <w:bCs/>
                <w:color w:val="000000" w:themeColor="text1"/>
                <w:sz w:val="18"/>
                <w:szCs w:val="18"/>
                <w14:textFill>
                  <w14:solidFill>
                    <w14:schemeClr w14:val="tx1"/>
                  </w14:solidFill>
                </w14:textFill>
              </w:rPr>
            </w:pPr>
          </w:p>
        </w:tc>
        <w:tc>
          <w:tcPr>
            <w:tcW w:w="228" w:type="pct"/>
            <w:vAlign w:val="center"/>
          </w:tcPr>
          <w:p w14:paraId="7BD00AD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95" w:type="pct"/>
            <w:vAlign w:val="center"/>
          </w:tcPr>
          <w:p w14:paraId="791CADDD">
            <w:pPr>
              <w:autoSpaceDE w:val="0"/>
              <w:autoSpaceDN w:val="0"/>
              <w:jc w:val="left"/>
              <w:rPr>
                <w:rFonts w:ascii="Times New Roman" w:hAnsi="Times New Roman"/>
                <w:b/>
                <w:bCs/>
                <w:color w:val="000000"/>
                <w:sz w:val="18"/>
                <w:szCs w:val="18"/>
              </w:rPr>
            </w:pPr>
          </w:p>
        </w:tc>
        <w:tc>
          <w:tcPr>
            <w:tcW w:w="279" w:type="pct"/>
            <w:gridSpan w:val="4"/>
            <w:vAlign w:val="center"/>
          </w:tcPr>
          <w:p w14:paraId="4BBC30E1">
            <w:pPr>
              <w:autoSpaceDE w:val="0"/>
              <w:autoSpaceDN w:val="0"/>
              <w:jc w:val="left"/>
              <w:rPr>
                <w:rFonts w:ascii="Times New Roman" w:hAnsi="Times New Roman"/>
                <w:b/>
                <w:bCs/>
                <w:color w:val="000000"/>
                <w:sz w:val="18"/>
                <w:szCs w:val="18"/>
              </w:rPr>
            </w:pPr>
          </w:p>
        </w:tc>
        <w:tc>
          <w:tcPr>
            <w:tcW w:w="252" w:type="pct"/>
            <w:gridSpan w:val="2"/>
            <w:vAlign w:val="center"/>
          </w:tcPr>
          <w:p w14:paraId="7F3EEF5A">
            <w:pPr>
              <w:autoSpaceDE w:val="0"/>
              <w:autoSpaceDN w:val="0"/>
              <w:jc w:val="left"/>
              <w:rPr>
                <w:rFonts w:ascii="Times New Roman" w:hAnsi="Times New Roman"/>
                <w:b/>
                <w:bCs/>
                <w:color w:val="000000"/>
                <w:sz w:val="18"/>
                <w:szCs w:val="18"/>
              </w:rPr>
            </w:pPr>
          </w:p>
        </w:tc>
        <w:tc>
          <w:tcPr>
            <w:tcW w:w="275" w:type="pct"/>
            <w:gridSpan w:val="2"/>
            <w:vAlign w:val="center"/>
          </w:tcPr>
          <w:p w14:paraId="5CF2A663">
            <w:pPr>
              <w:autoSpaceDE w:val="0"/>
              <w:autoSpaceDN w:val="0"/>
              <w:jc w:val="left"/>
              <w:rPr>
                <w:rFonts w:ascii="Times New Roman" w:hAnsi="Times New Roman"/>
                <w:b/>
                <w:bCs/>
                <w:color w:val="000000"/>
                <w:sz w:val="18"/>
                <w:szCs w:val="18"/>
              </w:rPr>
            </w:pPr>
          </w:p>
        </w:tc>
        <w:tc>
          <w:tcPr>
            <w:tcW w:w="269" w:type="pct"/>
            <w:gridSpan w:val="2"/>
            <w:vAlign w:val="center"/>
          </w:tcPr>
          <w:p w14:paraId="3B4107B5">
            <w:pPr>
              <w:autoSpaceDE w:val="0"/>
              <w:autoSpaceDN w:val="0"/>
              <w:jc w:val="left"/>
              <w:rPr>
                <w:rFonts w:ascii="Times New Roman" w:hAnsi="Times New Roman"/>
                <w:b/>
                <w:bCs/>
                <w:color w:val="000000"/>
                <w:sz w:val="18"/>
                <w:szCs w:val="18"/>
              </w:rPr>
            </w:pPr>
          </w:p>
        </w:tc>
        <w:tc>
          <w:tcPr>
            <w:tcW w:w="271" w:type="pct"/>
            <w:gridSpan w:val="2"/>
            <w:vAlign w:val="center"/>
          </w:tcPr>
          <w:p w14:paraId="55BDB729">
            <w:pPr>
              <w:autoSpaceDE w:val="0"/>
              <w:autoSpaceDN w:val="0"/>
              <w:jc w:val="left"/>
              <w:rPr>
                <w:rFonts w:ascii="Times New Roman" w:hAnsi="Times New Roman"/>
                <w:b/>
                <w:bCs/>
                <w:color w:val="000000"/>
                <w:sz w:val="18"/>
                <w:szCs w:val="18"/>
              </w:rPr>
            </w:pPr>
          </w:p>
        </w:tc>
        <w:tc>
          <w:tcPr>
            <w:tcW w:w="335" w:type="pct"/>
            <w:vMerge w:val="continue"/>
            <w:vAlign w:val="center"/>
          </w:tcPr>
          <w:p w14:paraId="7ADFC557">
            <w:pPr>
              <w:autoSpaceDE w:val="0"/>
              <w:autoSpaceDN w:val="0"/>
              <w:jc w:val="center"/>
              <w:rPr>
                <w:rFonts w:ascii="Times New Roman" w:hAnsi="Times New Roman"/>
                <w:color w:val="000000"/>
                <w:spacing w:val="-20"/>
                <w:sz w:val="18"/>
                <w:szCs w:val="18"/>
              </w:rPr>
            </w:pPr>
          </w:p>
        </w:tc>
      </w:tr>
      <w:tr w14:paraId="1CA7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180C0F49">
            <w:pPr>
              <w:rPr>
                <w:rFonts w:ascii="Times New Roman" w:hAnsi="Times New Roman"/>
                <w:color w:val="000000"/>
                <w:sz w:val="18"/>
                <w:szCs w:val="18"/>
              </w:rPr>
            </w:pPr>
          </w:p>
        </w:tc>
        <w:tc>
          <w:tcPr>
            <w:tcW w:w="216" w:type="pct"/>
            <w:vMerge w:val="continue"/>
            <w:vAlign w:val="center"/>
          </w:tcPr>
          <w:p w14:paraId="2B1D5E98">
            <w:pPr>
              <w:rPr>
                <w:rFonts w:ascii="Times New Roman" w:hAnsi="Times New Roman"/>
                <w:color w:val="000000"/>
                <w:sz w:val="18"/>
                <w:szCs w:val="18"/>
              </w:rPr>
            </w:pPr>
          </w:p>
        </w:tc>
        <w:tc>
          <w:tcPr>
            <w:tcW w:w="1680" w:type="pct"/>
            <w:gridSpan w:val="3"/>
            <w:vAlign w:val="center"/>
          </w:tcPr>
          <w:p w14:paraId="1927DEDB">
            <w:pPr>
              <w:autoSpaceDE w:val="0"/>
              <w:autoSpaceDN w:val="0"/>
              <w:jc w:val="center"/>
              <w:rPr>
                <w:rFonts w:ascii="宋体" w:cs="宋体"/>
                <w:sz w:val="18"/>
                <w:szCs w:val="18"/>
              </w:rPr>
            </w:pPr>
            <w:r>
              <w:rPr>
                <w:rFonts w:hint="eastAsia" w:ascii="宋体" w:cs="宋体"/>
                <w:sz w:val="18"/>
                <w:szCs w:val="18"/>
              </w:rPr>
              <w:t>文学鉴赏</w:t>
            </w:r>
          </w:p>
        </w:tc>
        <w:tc>
          <w:tcPr>
            <w:tcW w:w="271" w:type="pct"/>
            <w:vAlign w:val="center"/>
          </w:tcPr>
          <w:p w14:paraId="4905F92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4E0C69C8">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705BAD9A">
            <w:pPr>
              <w:autoSpaceDE w:val="0"/>
              <w:autoSpaceDN w:val="0"/>
              <w:jc w:val="left"/>
              <w:rPr>
                <w:rFonts w:ascii="Times New Roman" w:hAnsi="Times New Roman"/>
                <w:b/>
                <w:bCs/>
                <w:color w:val="000000"/>
                <w:sz w:val="18"/>
                <w:szCs w:val="18"/>
              </w:rPr>
            </w:pPr>
          </w:p>
        </w:tc>
        <w:tc>
          <w:tcPr>
            <w:tcW w:w="228" w:type="pct"/>
            <w:vAlign w:val="center"/>
          </w:tcPr>
          <w:p w14:paraId="62CDC6D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95" w:type="pct"/>
            <w:vAlign w:val="center"/>
          </w:tcPr>
          <w:p w14:paraId="6796D783">
            <w:pPr>
              <w:autoSpaceDE w:val="0"/>
              <w:autoSpaceDN w:val="0"/>
              <w:jc w:val="left"/>
              <w:rPr>
                <w:rFonts w:ascii="Times New Roman" w:hAnsi="Times New Roman"/>
                <w:b/>
                <w:bCs/>
                <w:color w:val="000000"/>
                <w:sz w:val="18"/>
                <w:szCs w:val="18"/>
              </w:rPr>
            </w:pPr>
          </w:p>
        </w:tc>
        <w:tc>
          <w:tcPr>
            <w:tcW w:w="279" w:type="pct"/>
            <w:gridSpan w:val="4"/>
            <w:vAlign w:val="center"/>
          </w:tcPr>
          <w:p w14:paraId="7285D6F4">
            <w:pPr>
              <w:autoSpaceDE w:val="0"/>
              <w:autoSpaceDN w:val="0"/>
              <w:jc w:val="left"/>
              <w:rPr>
                <w:rFonts w:ascii="Times New Roman" w:hAnsi="Times New Roman"/>
                <w:b/>
                <w:bCs/>
                <w:color w:val="000000"/>
                <w:sz w:val="18"/>
                <w:szCs w:val="18"/>
              </w:rPr>
            </w:pPr>
          </w:p>
        </w:tc>
        <w:tc>
          <w:tcPr>
            <w:tcW w:w="252" w:type="pct"/>
            <w:gridSpan w:val="2"/>
            <w:vAlign w:val="center"/>
          </w:tcPr>
          <w:p w14:paraId="21DC41A8">
            <w:pPr>
              <w:autoSpaceDE w:val="0"/>
              <w:autoSpaceDN w:val="0"/>
              <w:jc w:val="left"/>
              <w:rPr>
                <w:rFonts w:ascii="Times New Roman" w:hAnsi="Times New Roman"/>
                <w:b/>
                <w:bCs/>
                <w:color w:val="000000"/>
                <w:sz w:val="18"/>
                <w:szCs w:val="18"/>
              </w:rPr>
            </w:pPr>
          </w:p>
        </w:tc>
        <w:tc>
          <w:tcPr>
            <w:tcW w:w="275" w:type="pct"/>
            <w:gridSpan w:val="2"/>
            <w:vAlign w:val="center"/>
          </w:tcPr>
          <w:p w14:paraId="2A1D331E">
            <w:pPr>
              <w:autoSpaceDE w:val="0"/>
              <w:autoSpaceDN w:val="0"/>
              <w:jc w:val="left"/>
              <w:rPr>
                <w:rFonts w:ascii="Times New Roman" w:hAnsi="Times New Roman"/>
                <w:b/>
                <w:bCs/>
                <w:color w:val="000000"/>
                <w:sz w:val="18"/>
                <w:szCs w:val="18"/>
              </w:rPr>
            </w:pPr>
          </w:p>
        </w:tc>
        <w:tc>
          <w:tcPr>
            <w:tcW w:w="269" w:type="pct"/>
            <w:gridSpan w:val="2"/>
            <w:vAlign w:val="center"/>
          </w:tcPr>
          <w:p w14:paraId="430EA58F">
            <w:pPr>
              <w:autoSpaceDE w:val="0"/>
              <w:autoSpaceDN w:val="0"/>
              <w:jc w:val="left"/>
              <w:rPr>
                <w:rFonts w:ascii="Times New Roman" w:hAnsi="Times New Roman"/>
                <w:b/>
                <w:bCs/>
                <w:color w:val="000000"/>
                <w:sz w:val="18"/>
                <w:szCs w:val="18"/>
              </w:rPr>
            </w:pPr>
          </w:p>
        </w:tc>
        <w:tc>
          <w:tcPr>
            <w:tcW w:w="271" w:type="pct"/>
            <w:gridSpan w:val="2"/>
            <w:vAlign w:val="center"/>
          </w:tcPr>
          <w:p w14:paraId="7C866DFD">
            <w:pPr>
              <w:autoSpaceDE w:val="0"/>
              <w:autoSpaceDN w:val="0"/>
              <w:jc w:val="left"/>
              <w:rPr>
                <w:rFonts w:ascii="Times New Roman" w:hAnsi="Times New Roman"/>
                <w:b/>
                <w:bCs/>
                <w:color w:val="000000"/>
                <w:sz w:val="18"/>
                <w:szCs w:val="18"/>
              </w:rPr>
            </w:pPr>
          </w:p>
        </w:tc>
        <w:tc>
          <w:tcPr>
            <w:tcW w:w="335" w:type="pct"/>
            <w:vMerge w:val="continue"/>
            <w:vAlign w:val="center"/>
          </w:tcPr>
          <w:p w14:paraId="71EEC87D">
            <w:pPr>
              <w:autoSpaceDE w:val="0"/>
              <w:autoSpaceDN w:val="0"/>
              <w:jc w:val="center"/>
              <w:rPr>
                <w:rFonts w:ascii="Times New Roman" w:hAnsi="Times New Roman"/>
                <w:color w:val="000000"/>
                <w:spacing w:val="-20"/>
                <w:sz w:val="18"/>
                <w:szCs w:val="18"/>
              </w:rPr>
            </w:pPr>
          </w:p>
        </w:tc>
      </w:tr>
      <w:tr w14:paraId="333E7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98FC073">
            <w:pPr>
              <w:rPr>
                <w:rFonts w:ascii="Times New Roman" w:hAnsi="Times New Roman"/>
                <w:color w:val="000000"/>
                <w:sz w:val="18"/>
                <w:szCs w:val="18"/>
              </w:rPr>
            </w:pPr>
          </w:p>
        </w:tc>
        <w:tc>
          <w:tcPr>
            <w:tcW w:w="216" w:type="pct"/>
            <w:vMerge w:val="continue"/>
            <w:vAlign w:val="center"/>
          </w:tcPr>
          <w:p w14:paraId="77FDEC06">
            <w:pPr>
              <w:rPr>
                <w:rFonts w:ascii="Times New Roman" w:hAnsi="Times New Roman"/>
                <w:color w:val="000000"/>
                <w:sz w:val="18"/>
                <w:szCs w:val="18"/>
              </w:rPr>
            </w:pPr>
          </w:p>
        </w:tc>
        <w:tc>
          <w:tcPr>
            <w:tcW w:w="1680" w:type="pct"/>
            <w:gridSpan w:val="3"/>
            <w:vAlign w:val="center"/>
          </w:tcPr>
          <w:p w14:paraId="5525A976">
            <w:pPr>
              <w:autoSpaceDE w:val="0"/>
              <w:autoSpaceDN w:val="0"/>
              <w:jc w:val="center"/>
              <w:rPr>
                <w:rFonts w:ascii="宋体" w:cs="宋体"/>
                <w:sz w:val="18"/>
                <w:szCs w:val="18"/>
              </w:rPr>
            </w:pPr>
            <w:r>
              <w:rPr>
                <w:rFonts w:hint="eastAsia" w:ascii="宋体" w:cs="宋体"/>
                <w:sz w:val="18"/>
                <w:szCs w:val="18"/>
              </w:rPr>
              <w:t>影视鉴赏</w:t>
            </w:r>
          </w:p>
        </w:tc>
        <w:tc>
          <w:tcPr>
            <w:tcW w:w="271" w:type="pct"/>
            <w:vAlign w:val="center"/>
          </w:tcPr>
          <w:p w14:paraId="5285487E">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0670AFCE">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217C6F8E">
            <w:pPr>
              <w:autoSpaceDE w:val="0"/>
              <w:autoSpaceDN w:val="0"/>
              <w:jc w:val="left"/>
              <w:rPr>
                <w:rFonts w:ascii="Times New Roman" w:hAnsi="Times New Roman"/>
                <w:b/>
                <w:bCs/>
                <w:color w:val="000000"/>
                <w:sz w:val="18"/>
                <w:szCs w:val="18"/>
              </w:rPr>
            </w:pPr>
          </w:p>
        </w:tc>
        <w:tc>
          <w:tcPr>
            <w:tcW w:w="228" w:type="pct"/>
            <w:vAlign w:val="center"/>
          </w:tcPr>
          <w:p w14:paraId="7AC058A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95" w:type="pct"/>
            <w:vAlign w:val="center"/>
          </w:tcPr>
          <w:p w14:paraId="762253A7">
            <w:pPr>
              <w:autoSpaceDE w:val="0"/>
              <w:autoSpaceDN w:val="0"/>
              <w:jc w:val="left"/>
              <w:rPr>
                <w:rFonts w:ascii="Times New Roman" w:hAnsi="Times New Roman"/>
                <w:b/>
                <w:bCs/>
                <w:color w:val="000000"/>
                <w:sz w:val="18"/>
                <w:szCs w:val="18"/>
              </w:rPr>
            </w:pPr>
          </w:p>
        </w:tc>
        <w:tc>
          <w:tcPr>
            <w:tcW w:w="279" w:type="pct"/>
            <w:gridSpan w:val="4"/>
            <w:vAlign w:val="center"/>
          </w:tcPr>
          <w:p w14:paraId="49D397F8">
            <w:pPr>
              <w:autoSpaceDE w:val="0"/>
              <w:autoSpaceDN w:val="0"/>
              <w:jc w:val="left"/>
              <w:rPr>
                <w:rFonts w:ascii="Times New Roman" w:hAnsi="Times New Roman"/>
                <w:b/>
                <w:bCs/>
                <w:color w:val="000000"/>
                <w:sz w:val="18"/>
                <w:szCs w:val="18"/>
              </w:rPr>
            </w:pPr>
          </w:p>
        </w:tc>
        <w:tc>
          <w:tcPr>
            <w:tcW w:w="252" w:type="pct"/>
            <w:gridSpan w:val="2"/>
            <w:vAlign w:val="center"/>
          </w:tcPr>
          <w:p w14:paraId="71D4A2F4">
            <w:pPr>
              <w:autoSpaceDE w:val="0"/>
              <w:autoSpaceDN w:val="0"/>
              <w:jc w:val="left"/>
              <w:rPr>
                <w:rFonts w:ascii="Times New Roman" w:hAnsi="Times New Roman"/>
                <w:b/>
                <w:bCs/>
                <w:color w:val="000000"/>
                <w:sz w:val="18"/>
                <w:szCs w:val="18"/>
              </w:rPr>
            </w:pPr>
          </w:p>
        </w:tc>
        <w:tc>
          <w:tcPr>
            <w:tcW w:w="275" w:type="pct"/>
            <w:gridSpan w:val="2"/>
            <w:vAlign w:val="center"/>
          </w:tcPr>
          <w:p w14:paraId="61C447E9">
            <w:pPr>
              <w:autoSpaceDE w:val="0"/>
              <w:autoSpaceDN w:val="0"/>
              <w:jc w:val="left"/>
              <w:rPr>
                <w:rFonts w:ascii="Times New Roman" w:hAnsi="Times New Roman"/>
                <w:b/>
                <w:bCs/>
                <w:color w:val="000000"/>
                <w:sz w:val="18"/>
                <w:szCs w:val="18"/>
              </w:rPr>
            </w:pPr>
          </w:p>
        </w:tc>
        <w:tc>
          <w:tcPr>
            <w:tcW w:w="269" w:type="pct"/>
            <w:gridSpan w:val="2"/>
            <w:vAlign w:val="center"/>
          </w:tcPr>
          <w:p w14:paraId="4270EF10">
            <w:pPr>
              <w:autoSpaceDE w:val="0"/>
              <w:autoSpaceDN w:val="0"/>
              <w:jc w:val="left"/>
              <w:rPr>
                <w:rFonts w:ascii="Times New Roman" w:hAnsi="Times New Roman"/>
                <w:b/>
                <w:bCs/>
                <w:color w:val="000000"/>
                <w:sz w:val="18"/>
                <w:szCs w:val="18"/>
              </w:rPr>
            </w:pPr>
          </w:p>
        </w:tc>
        <w:tc>
          <w:tcPr>
            <w:tcW w:w="271" w:type="pct"/>
            <w:gridSpan w:val="2"/>
            <w:vAlign w:val="center"/>
          </w:tcPr>
          <w:p w14:paraId="3578E6D1">
            <w:pPr>
              <w:autoSpaceDE w:val="0"/>
              <w:autoSpaceDN w:val="0"/>
              <w:jc w:val="left"/>
              <w:rPr>
                <w:rFonts w:ascii="Times New Roman" w:hAnsi="Times New Roman"/>
                <w:b/>
                <w:bCs/>
                <w:color w:val="000000"/>
                <w:sz w:val="18"/>
                <w:szCs w:val="18"/>
              </w:rPr>
            </w:pPr>
          </w:p>
        </w:tc>
        <w:tc>
          <w:tcPr>
            <w:tcW w:w="335" w:type="pct"/>
            <w:vMerge w:val="continue"/>
            <w:vAlign w:val="center"/>
          </w:tcPr>
          <w:p w14:paraId="06BDB166">
            <w:pPr>
              <w:autoSpaceDE w:val="0"/>
              <w:autoSpaceDN w:val="0"/>
              <w:jc w:val="center"/>
              <w:rPr>
                <w:rFonts w:ascii="Times New Roman" w:hAnsi="Times New Roman"/>
                <w:color w:val="000000"/>
                <w:spacing w:val="-20"/>
                <w:sz w:val="18"/>
                <w:szCs w:val="18"/>
              </w:rPr>
            </w:pPr>
          </w:p>
        </w:tc>
      </w:tr>
      <w:tr w14:paraId="34069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EB45099">
            <w:pPr>
              <w:rPr>
                <w:rFonts w:ascii="Times New Roman" w:hAnsi="Times New Roman"/>
                <w:color w:val="000000"/>
                <w:sz w:val="18"/>
                <w:szCs w:val="18"/>
              </w:rPr>
            </w:pPr>
          </w:p>
        </w:tc>
        <w:tc>
          <w:tcPr>
            <w:tcW w:w="216" w:type="pct"/>
            <w:vMerge w:val="continue"/>
            <w:vAlign w:val="center"/>
          </w:tcPr>
          <w:p w14:paraId="28A36B3C">
            <w:pPr>
              <w:rPr>
                <w:rFonts w:ascii="Times New Roman" w:hAnsi="Times New Roman"/>
                <w:color w:val="000000"/>
                <w:sz w:val="18"/>
                <w:szCs w:val="18"/>
              </w:rPr>
            </w:pPr>
          </w:p>
        </w:tc>
        <w:tc>
          <w:tcPr>
            <w:tcW w:w="1680" w:type="pct"/>
            <w:gridSpan w:val="3"/>
            <w:vAlign w:val="center"/>
          </w:tcPr>
          <w:p w14:paraId="51012DBE">
            <w:pPr>
              <w:autoSpaceDE w:val="0"/>
              <w:autoSpaceDN w:val="0"/>
              <w:jc w:val="center"/>
              <w:rPr>
                <w:rFonts w:ascii="宋体" w:cs="宋体"/>
                <w:sz w:val="18"/>
                <w:szCs w:val="18"/>
              </w:rPr>
            </w:pPr>
            <w:r>
              <w:rPr>
                <w:rFonts w:hint="eastAsia" w:ascii="宋体" w:cs="宋体"/>
                <w:sz w:val="18"/>
                <w:szCs w:val="18"/>
              </w:rPr>
              <w:t>创新中国</w:t>
            </w:r>
          </w:p>
        </w:tc>
        <w:tc>
          <w:tcPr>
            <w:tcW w:w="271" w:type="pct"/>
            <w:vAlign w:val="center"/>
          </w:tcPr>
          <w:p w14:paraId="79913FD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4F54F05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05269F78">
            <w:pPr>
              <w:autoSpaceDE w:val="0"/>
              <w:autoSpaceDN w:val="0"/>
              <w:jc w:val="left"/>
              <w:rPr>
                <w:rFonts w:ascii="Times New Roman" w:hAnsi="Times New Roman"/>
                <w:b/>
                <w:bCs/>
                <w:color w:val="000000"/>
                <w:sz w:val="18"/>
                <w:szCs w:val="18"/>
              </w:rPr>
            </w:pPr>
          </w:p>
        </w:tc>
        <w:tc>
          <w:tcPr>
            <w:tcW w:w="228" w:type="pct"/>
            <w:vAlign w:val="center"/>
          </w:tcPr>
          <w:p w14:paraId="572CBE5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95" w:type="pct"/>
            <w:vAlign w:val="center"/>
          </w:tcPr>
          <w:p w14:paraId="4950B296">
            <w:pPr>
              <w:autoSpaceDE w:val="0"/>
              <w:autoSpaceDN w:val="0"/>
              <w:jc w:val="left"/>
              <w:rPr>
                <w:rFonts w:ascii="Times New Roman" w:hAnsi="Times New Roman"/>
                <w:b/>
                <w:bCs/>
                <w:color w:val="000000"/>
                <w:sz w:val="18"/>
                <w:szCs w:val="18"/>
              </w:rPr>
            </w:pPr>
          </w:p>
        </w:tc>
        <w:tc>
          <w:tcPr>
            <w:tcW w:w="279" w:type="pct"/>
            <w:gridSpan w:val="4"/>
            <w:vAlign w:val="center"/>
          </w:tcPr>
          <w:p w14:paraId="6073E6FD">
            <w:pPr>
              <w:autoSpaceDE w:val="0"/>
              <w:autoSpaceDN w:val="0"/>
              <w:jc w:val="left"/>
              <w:rPr>
                <w:rFonts w:ascii="Times New Roman" w:hAnsi="Times New Roman"/>
                <w:b/>
                <w:bCs/>
                <w:color w:val="000000"/>
                <w:sz w:val="18"/>
                <w:szCs w:val="18"/>
              </w:rPr>
            </w:pPr>
          </w:p>
        </w:tc>
        <w:tc>
          <w:tcPr>
            <w:tcW w:w="252" w:type="pct"/>
            <w:gridSpan w:val="2"/>
            <w:vAlign w:val="center"/>
          </w:tcPr>
          <w:p w14:paraId="1F503E28">
            <w:pPr>
              <w:autoSpaceDE w:val="0"/>
              <w:autoSpaceDN w:val="0"/>
              <w:jc w:val="left"/>
              <w:rPr>
                <w:rFonts w:ascii="Times New Roman" w:hAnsi="Times New Roman"/>
                <w:b/>
                <w:bCs/>
                <w:color w:val="000000"/>
                <w:sz w:val="18"/>
                <w:szCs w:val="18"/>
              </w:rPr>
            </w:pPr>
          </w:p>
        </w:tc>
        <w:tc>
          <w:tcPr>
            <w:tcW w:w="275" w:type="pct"/>
            <w:gridSpan w:val="2"/>
            <w:vAlign w:val="center"/>
          </w:tcPr>
          <w:p w14:paraId="509F1D80">
            <w:pPr>
              <w:autoSpaceDE w:val="0"/>
              <w:autoSpaceDN w:val="0"/>
              <w:jc w:val="left"/>
              <w:rPr>
                <w:rFonts w:ascii="Times New Roman" w:hAnsi="Times New Roman"/>
                <w:b/>
                <w:bCs/>
                <w:color w:val="000000"/>
                <w:sz w:val="18"/>
                <w:szCs w:val="18"/>
              </w:rPr>
            </w:pPr>
          </w:p>
        </w:tc>
        <w:tc>
          <w:tcPr>
            <w:tcW w:w="269" w:type="pct"/>
            <w:gridSpan w:val="2"/>
            <w:vAlign w:val="center"/>
          </w:tcPr>
          <w:p w14:paraId="7DF588D7">
            <w:pPr>
              <w:autoSpaceDE w:val="0"/>
              <w:autoSpaceDN w:val="0"/>
              <w:jc w:val="left"/>
              <w:rPr>
                <w:rFonts w:ascii="Times New Roman" w:hAnsi="Times New Roman"/>
                <w:b/>
                <w:bCs/>
                <w:color w:val="000000"/>
                <w:sz w:val="18"/>
                <w:szCs w:val="18"/>
              </w:rPr>
            </w:pPr>
          </w:p>
        </w:tc>
        <w:tc>
          <w:tcPr>
            <w:tcW w:w="271" w:type="pct"/>
            <w:gridSpan w:val="2"/>
            <w:vAlign w:val="center"/>
          </w:tcPr>
          <w:p w14:paraId="3C1D91BC">
            <w:pPr>
              <w:autoSpaceDE w:val="0"/>
              <w:autoSpaceDN w:val="0"/>
              <w:jc w:val="left"/>
              <w:rPr>
                <w:rFonts w:ascii="Times New Roman" w:hAnsi="Times New Roman"/>
                <w:b/>
                <w:bCs/>
                <w:color w:val="000000"/>
                <w:sz w:val="18"/>
                <w:szCs w:val="18"/>
              </w:rPr>
            </w:pPr>
          </w:p>
        </w:tc>
        <w:tc>
          <w:tcPr>
            <w:tcW w:w="335" w:type="pct"/>
            <w:vMerge w:val="continue"/>
            <w:vAlign w:val="center"/>
          </w:tcPr>
          <w:p w14:paraId="5974E724">
            <w:pPr>
              <w:autoSpaceDE w:val="0"/>
              <w:autoSpaceDN w:val="0"/>
              <w:jc w:val="center"/>
              <w:rPr>
                <w:rFonts w:ascii="Times New Roman" w:hAnsi="Times New Roman"/>
                <w:color w:val="000000"/>
                <w:spacing w:val="-20"/>
                <w:sz w:val="18"/>
                <w:szCs w:val="18"/>
              </w:rPr>
            </w:pPr>
          </w:p>
        </w:tc>
      </w:tr>
      <w:tr w14:paraId="5BEEF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DCC39FA">
            <w:pPr>
              <w:rPr>
                <w:rFonts w:ascii="Times New Roman" w:hAnsi="Times New Roman"/>
                <w:color w:val="000000"/>
                <w:sz w:val="18"/>
                <w:szCs w:val="18"/>
              </w:rPr>
            </w:pPr>
          </w:p>
        </w:tc>
        <w:tc>
          <w:tcPr>
            <w:tcW w:w="216" w:type="pct"/>
            <w:vMerge w:val="continue"/>
            <w:vAlign w:val="center"/>
          </w:tcPr>
          <w:p w14:paraId="149E664B">
            <w:pPr>
              <w:rPr>
                <w:rFonts w:ascii="Times New Roman" w:hAnsi="Times New Roman"/>
                <w:color w:val="000000"/>
                <w:sz w:val="18"/>
                <w:szCs w:val="18"/>
              </w:rPr>
            </w:pPr>
          </w:p>
        </w:tc>
        <w:tc>
          <w:tcPr>
            <w:tcW w:w="1680" w:type="pct"/>
            <w:gridSpan w:val="3"/>
            <w:vAlign w:val="center"/>
          </w:tcPr>
          <w:p w14:paraId="25C7B8FD">
            <w:pPr>
              <w:autoSpaceDE w:val="0"/>
              <w:autoSpaceDN w:val="0"/>
              <w:jc w:val="center"/>
              <w:rPr>
                <w:rFonts w:ascii="宋体" w:cs="宋体"/>
                <w:sz w:val="18"/>
                <w:szCs w:val="18"/>
              </w:rPr>
            </w:pPr>
            <w:r>
              <w:rPr>
                <w:rFonts w:hint="eastAsia" w:ascii="宋体" w:cs="宋体"/>
                <w:sz w:val="18"/>
                <w:szCs w:val="18"/>
              </w:rPr>
              <w:t>企业绿色管理</w:t>
            </w:r>
          </w:p>
        </w:tc>
        <w:tc>
          <w:tcPr>
            <w:tcW w:w="271" w:type="pct"/>
            <w:vAlign w:val="center"/>
          </w:tcPr>
          <w:p w14:paraId="366553C8">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7A6708B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34870C77">
            <w:pPr>
              <w:autoSpaceDE w:val="0"/>
              <w:autoSpaceDN w:val="0"/>
              <w:jc w:val="left"/>
              <w:rPr>
                <w:rFonts w:ascii="Times New Roman" w:hAnsi="Times New Roman"/>
                <w:b/>
                <w:bCs/>
                <w:color w:val="000000"/>
                <w:sz w:val="18"/>
                <w:szCs w:val="18"/>
              </w:rPr>
            </w:pPr>
          </w:p>
        </w:tc>
        <w:tc>
          <w:tcPr>
            <w:tcW w:w="228" w:type="pct"/>
            <w:vAlign w:val="center"/>
          </w:tcPr>
          <w:p w14:paraId="6DC4A67E">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95" w:type="pct"/>
            <w:vAlign w:val="center"/>
          </w:tcPr>
          <w:p w14:paraId="49084896">
            <w:pPr>
              <w:autoSpaceDE w:val="0"/>
              <w:autoSpaceDN w:val="0"/>
              <w:jc w:val="left"/>
              <w:rPr>
                <w:rFonts w:ascii="Times New Roman" w:hAnsi="Times New Roman"/>
                <w:b/>
                <w:bCs/>
                <w:color w:val="000000"/>
                <w:sz w:val="18"/>
                <w:szCs w:val="18"/>
              </w:rPr>
            </w:pPr>
          </w:p>
        </w:tc>
        <w:tc>
          <w:tcPr>
            <w:tcW w:w="279" w:type="pct"/>
            <w:gridSpan w:val="4"/>
            <w:vAlign w:val="center"/>
          </w:tcPr>
          <w:p w14:paraId="15E3DF35">
            <w:pPr>
              <w:autoSpaceDE w:val="0"/>
              <w:autoSpaceDN w:val="0"/>
              <w:jc w:val="left"/>
              <w:rPr>
                <w:rFonts w:ascii="Times New Roman" w:hAnsi="Times New Roman"/>
                <w:b/>
                <w:bCs/>
                <w:color w:val="000000"/>
                <w:sz w:val="18"/>
                <w:szCs w:val="18"/>
              </w:rPr>
            </w:pPr>
          </w:p>
        </w:tc>
        <w:tc>
          <w:tcPr>
            <w:tcW w:w="252" w:type="pct"/>
            <w:gridSpan w:val="2"/>
            <w:vAlign w:val="center"/>
          </w:tcPr>
          <w:p w14:paraId="5500B764">
            <w:pPr>
              <w:autoSpaceDE w:val="0"/>
              <w:autoSpaceDN w:val="0"/>
              <w:jc w:val="left"/>
              <w:rPr>
                <w:rFonts w:ascii="Times New Roman" w:hAnsi="Times New Roman"/>
                <w:b/>
                <w:bCs/>
                <w:color w:val="000000"/>
                <w:sz w:val="18"/>
                <w:szCs w:val="18"/>
              </w:rPr>
            </w:pPr>
          </w:p>
        </w:tc>
        <w:tc>
          <w:tcPr>
            <w:tcW w:w="275" w:type="pct"/>
            <w:gridSpan w:val="2"/>
            <w:vAlign w:val="center"/>
          </w:tcPr>
          <w:p w14:paraId="6837F88E">
            <w:pPr>
              <w:autoSpaceDE w:val="0"/>
              <w:autoSpaceDN w:val="0"/>
              <w:jc w:val="left"/>
              <w:rPr>
                <w:rFonts w:ascii="Times New Roman" w:hAnsi="Times New Roman"/>
                <w:b/>
                <w:bCs/>
                <w:color w:val="000000"/>
                <w:sz w:val="18"/>
                <w:szCs w:val="18"/>
              </w:rPr>
            </w:pPr>
          </w:p>
        </w:tc>
        <w:tc>
          <w:tcPr>
            <w:tcW w:w="269" w:type="pct"/>
            <w:gridSpan w:val="2"/>
            <w:vAlign w:val="center"/>
          </w:tcPr>
          <w:p w14:paraId="59E1264A">
            <w:pPr>
              <w:autoSpaceDE w:val="0"/>
              <w:autoSpaceDN w:val="0"/>
              <w:jc w:val="left"/>
              <w:rPr>
                <w:rFonts w:ascii="Times New Roman" w:hAnsi="Times New Roman"/>
                <w:b/>
                <w:bCs/>
                <w:color w:val="000000"/>
                <w:sz w:val="18"/>
                <w:szCs w:val="18"/>
              </w:rPr>
            </w:pPr>
          </w:p>
        </w:tc>
        <w:tc>
          <w:tcPr>
            <w:tcW w:w="271" w:type="pct"/>
            <w:gridSpan w:val="2"/>
            <w:vAlign w:val="center"/>
          </w:tcPr>
          <w:p w14:paraId="4D43756E">
            <w:pPr>
              <w:autoSpaceDE w:val="0"/>
              <w:autoSpaceDN w:val="0"/>
              <w:jc w:val="left"/>
              <w:rPr>
                <w:rFonts w:ascii="Times New Roman" w:hAnsi="Times New Roman"/>
                <w:b/>
                <w:bCs/>
                <w:color w:val="000000"/>
                <w:sz w:val="18"/>
                <w:szCs w:val="18"/>
              </w:rPr>
            </w:pPr>
          </w:p>
        </w:tc>
        <w:tc>
          <w:tcPr>
            <w:tcW w:w="335" w:type="pct"/>
            <w:vMerge w:val="continue"/>
            <w:vAlign w:val="center"/>
          </w:tcPr>
          <w:p w14:paraId="356E6EAF">
            <w:pPr>
              <w:autoSpaceDE w:val="0"/>
              <w:autoSpaceDN w:val="0"/>
              <w:jc w:val="center"/>
              <w:rPr>
                <w:rFonts w:ascii="Times New Roman" w:hAnsi="Times New Roman"/>
                <w:color w:val="000000"/>
                <w:spacing w:val="-20"/>
                <w:sz w:val="18"/>
                <w:szCs w:val="18"/>
              </w:rPr>
            </w:pPr>
          </w:p>
        </w:tc>
      </w:tr>
      <w:tr w14:paraId="0C86D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860574E">
            <w:pPr>
              <w:rPr>
                <w:rFonts w:ascii="Times New Roman" w:hAnsi="Times New Roman"/>
                <w:color w:val="000000"/>
                <w:sz w:val="18"/>
                <w:szCs w:val="18"/>
              </w:rPr>
            </w:pPr>
          </w:p>
        </w:tc>
        <w:tc>
          <w:tcPr>
            <w:tcW w:w="216" w:type="pct"/>
            <w:vMerge w:val="continue"/>
            <w:vAlign w:val="center"/>
          </w:tcPr>
          <w:p w14:paraId="2E45F3D4">
            <w:pPr>
              <w:rPr>
                <w:rFonts w:ascii="Times New Roman" w:hAnsi="Times New Roman"/>
                <w:color w:val="000000"/>
                <w:sz w:val="18"/>
                <w:szCs w:val="18"/>
              </w:rPr>
            </w:pPr>
          </w:p>
        </w:tc>
        <w:tc>
          <w:tcPr>
            <w:tcW w:w="1680" w:type="pct"/>
            <w:gridSpan w:val="3"/>
            <w:vAlign w:val="center"/>
          </w:tcPr>
          <w:p w14:paraId="40AE7730">
            <w:pPr>
              <w:autoSpaceDE w:val="0"/>
              <w:autoSpaceDN w:val="0"/>
              <w:jc w:val="center"/>
              <w:rPr>
                <w:rFonts w:ascii="宋体" w:cs="宋体"/>
                <w:sz w:val="18"/>
                <w:szCs w:val="18"/>
              </w:rPr>
            </w:pPr>
            <w:r>
              <w:rPr>
                <w:rFonts w:hint="eastAsia" w:ascii="宋体" w:cs="宋体"/>
                <w:sz w:val="18"/>
                <w:szCs w:val="18"/>
              </w:rPr>
              <w:t>文献信息检索与利用</w:t>
            </w:r>
          </w:p>
        </w:tc>
        <w:tc>
          <w:tcPr>
            <w:tcW w:w="271" w:type="pct"/>
            <w:vAlign w:val="center"/>
          </w:tcPr>
          <w:p w14:paraId="5A3627C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0CF0D32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45DE0233">
            <w:pPr>
              <w:autoSpaceDE w:val="0"/>
              <w:autoSpaceDN w:val="0"/>
              <w:jc w:val="left"/>
              <w:rPr>
                <w:rFonts w:ascii="Times New Roman" w:hAnsi="Times New Roman"/>
                <w:b/>
                <w:bCs/>
                <w:color w:val="000000"/>
                <w:sz w:val="18"/>
                <w:szCs w:val="18"/>
              </w:rPr>
            </w:pPr>
          </w:p>
        </w:tc>
        <w:tc>
          <w:tcPr>
            <w:tcW w:w="228" w:type="pct"/>
            <w:vAlign w:val="center"/>
          </w:tcPr>
          <w:p w14:paraId="1244AA6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95" w:type="pct"/>
            <w:vAlign w:val="center"/>
          </w:tcPr>
          <w:p w14:paraId="65F9F866">
            <w:pPr>
              <w:autoSpaceDE w:val="0"/>
              <w:autoSpaceDN w:val="0"/>
              <w:jc w:val="left"/>
              <w:rPr>
                <w:rFonts w:ascii="Times New Roman" w:hAnsi="Times New Roman"/>
                <w:b/>
                <w:bCs/>
                <w:color w:val="000000"/>
                <w:sz w:val="18"/>
                <w:szCs w:val="18"/>
              </w:rPr>
            </w:pPr>
          </w:p>
        </w:tc>
        <w:tc>
          <w:tcPr>
            <w:tcW w:w="279" w:type="pct"/>
            <w:gridSpan w:val="4"/>
            <w:vAlign w:val="center"/>
          </w:tcPr>
          <w:p w14:paraId="16FDB436">
            <w:pPr>
              <w:autoSpaceDE w:val="0"/>
              <w:autoSpaceDN w:val="0"/>
              <w:jc w:val="left"/>
              <w:rPr>
                <w:rFonts w:ascii="Times New Roman" w:hAnsi="Times New Roman"/>
                <w:b/>
                <w:bCs/>
                <w:color w:val="000000"/>
                <w:sz w:val="18"/>
                <w:szCs w:val="18"/>
              </w:rPr>
            </w:pPr>
          </w:p>
        </w:tc>
        <w:tc>
          <w:tcPr>
            <w:tcW w:w="252" w:type="pct"/>
            <w:gridSpan w:val="2"/>
            <w:vAlign w:val="center"/>
          </w:tcPr>
          <w:p w14:paraId="67FA109D">
            <w:pPr>
              <w:autoSpaceDE w:val="0"/>
              <w:autoSpaceDN w:val="0"/>
              <w:jc w:val="left"/>
              <w:rPr>
                <w:rFonts w:ascii="Times New Roman" w:hAnsi="Times New Roman"/>
                <w:b/>
                <w:bCs/>
                <w:color w:val="000000"/>
                <w:sz w:val="18"/>
                <w:szCs w:val="18"/>
              </w:rPr>
            </w:pPr>
          </w:p>
        </w:tc>
        <w:tc>
          <w:tcPr>
            <w:tcW w:w="275" w:type="pct"/>
            <w:gridSpan w:val="2"/>
            <w:vAlign w:val="center"/>
          </w:tcPr>
          <w:p w14:paraId="5FD988DF">
            <w:pPr>
              <w:autoSpaceDE w:val="0"/>
              <w:autoSpaceDN w:val="0"/>
              <w:jc w:val="left"/>
              <w:rPr>
                <w:rFonts w:ascii="Times New Roman" w:hAnsi="Times New Roman"/>
                <w:b/>
                <w:bCs/>
                <w:color w:val="000000"/>
                <w:sz w:val="18"/>
                <w:szCs w:val="18"/>
              </w:rPr>
            </w:pPr>
          </w:p>
        </w:tc>
        <w:tc>
          <w:tcPr>
            <w:tcW w:w="269" w:type="pct"/>
            <w:gridSpan w:val="2"/>
            <w:vAlign w:val="center"/>
          </w:tcPr>
          <w:p w14:paraId="35BA7DCB">
            <w:pPr>
              <w:autoSpaceDE w:val="0"/>
              <w:autoSpaceDN w:val="0"/>
              <w:jc w:val="left"/>
              <w:rPr>
                <w:rFonts w:ascii="Times New Roman" w:hAnsi="Times New Roman"/>
                <w:b/>
                <w:bCs/>
                <w:color w:val="000000"/>
                <w:sz w:val="18"/>
                <w:szCs w:val="18"/>
              </w:rPr>
            </w:pPr>
          </w:p>
        </w:tc>
        <w:tc>
          <w:tcPr>
            <w:tcW w:w="271" w:type="pct"/>
            <w:gridSpan w:val="2"/>
            <w:vAlign w:val="center"/>
          </w:tcPr>
          <w:p w14:paraId="582904DB">
            <w:pPr>
              <w:autoSpaceDE w:val="0"/>
              <w:autoSpaceDN w:val="0"/>
              <w:jc w:val="left"/>
              <w:rPr>
                <w:rFonts w:ascii="Times New Roman" w:hAnsi="Times New Roman"/>
                <w:b/>
                <w:bCs/>
                <w:color w:val="000000"/>
                <w:sz w:val="18"/>
                <w:szCs w:val="18"/>
              </w:rPr>
            </w:pPr>
          </w:p>
        </w:tc>
        <w:tc>
          <w:tcPr>
            <w:tcW w:w="335" w:type="pct"/>
            <w:vMerge w:val="continue"/>
            <w:vAlign w:val="center"/>
          </w:tcPr>
          <w:p w14:paraId="1F97010F">
            <w:pPr>
              <w:autoSpaceDE w:val="0"/>
              <w:autoSpaceDN w:val="0"/>
              <w:jc w:val="center"/>
              <w:rPr>
                <w:rFonts w:ascii="Times New Roman" w:hAnsi="Times New Roman"/>
                <w:color w:val="000000"/>
                <w:spacing w:val="-20"/>
                <w:sz w:val="18"/>
                <w:szCs w:val="18"/>
              </w:rPr>
            </w:pPr>
          </w:p>
        </w:tc>
      </w:tr>
      <w:tr w14:paraId="5ED82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10A3B378">
            <w:pPr>
              <w:rPr>
                <w:rFonts w:ascii="Times New Roman" w:hAnsi="Times New Roman"/>
                <w:color w:val="000000"/>
                <w:sz w:val="18"/>
                <w:szCs w:val="18"/>
              </w:rPr>
            </w:pPr>
          </w:p>
        </w:tc>
        <w:tc>
          <w:tcPr>
            <w:tcW w:w="216" w:type="pct"/>
            <w:vMerge w:val="continue"/>
            <w:vAlign w:val="center"/>
          </w:tcPr>
          <w:p w14:paraId="3A1F06F7">
            <w:pPr>
              <w:rPr>
                <w:rFonts w:ascii="Times New Roman" w:hAnsi="Times New Roman"/>
                <w:color w:val="000000"/>
                <w:sz w:val="18"/>
                <w:szCs w:val="18"/>
              </w:rPr>
            </w:pPr>
          </w:p>
        </w:tc>
        <w:tc>
          <w:tcPr>
            <w:tcW w:w="1680" w:type="pct"/>
            <w:gridSpan w:val="3"/>
            <w:vAlign w:val="center"/>
          </w:tcPr>
          <w:p w14:paraId="2DFA787C">
            <w:pPr>
              <w:autoSpaceDE w:val="0"/>
              <w:autoSpaceDN w:val="0"/>
              <w:jc w:val="center"/>
              <w:rPr>
                <w:rFonts w:ascii="宋体" w:cs="宋体"/>
                <w:sz w:val="18"/>
                <w:szCs w:val="18"/>
              </w:rPr>
            </w:pPr>
            <w:r>
              <w:rPr>
                <w:rFonts w:hint="eastAsia" w:ascii="宋体" w:cs="宋体"/>
                <w:sz w:val="18"/>
                <w:szCs w:val="18"/>
              </w:rPr>
              <w:t>艺术鉴赏</w:t>
            </w:r>
          </w:p>
        </w:tc>
        <w:tc>
          <w:tcPr>
            <w:tcW w:w="271" w:type="pct"/>
            <w:vAlign w:val="center"/>
          </w:tcPr>
          <w:p w14:paraId="7130B1D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40C1C9E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3DC78F2D">
            <w:pPr>
              <w:autoSpaceDE w:val="0"/>
              <w:autoSpaceDN w:val="0"/>
              <w:jc w:val="left"/>
              <w:rPr>
                <w:rFonts w:ascii="Times New Roman" w:hAnsi="Times New Roman"/>
                <w:b/>
                <w:bCs/>
                <w:color w:val="000000"/>
                <w:sz w:val="18"/>
                <w:szCs w:val="18"/>
              </w:rPr>
            </w:pPr>
          </w:p>
        </w:tc>
        <w:tc>
          <w:tcPr>
            <w:tcW w:w="228" w:type="pct"/>
            <w:vAlign w:val="center"/>
          </w:tcPr>
          <w:p w14:paraId="7432E66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95" w:type="pct"/>
            <w:vAlign w:val="center"/>
          </w:tcPr>
          <w:p w14:paraId="3BB6B02B">
            <w:pPr>
              <w:autoSpaceDE w:val="0"/>
              <w:autoSpaceDN w:val="0"/>
              <w:jc w:val="left"/>
              <w:rPr>
                <w:rFonts w:ascii="Times New Roman" w:hAnsi="Times New Roman"/>
                <w:b/>
                <w:bCs/>
                <w:color w:val="000000"/>
                <w:sz w:val="18"/>
                <w:szCs w:val="18"/>
              </w:rPr>
            </w:pPr>
          </w:p>
        </w:tc>
        <w:tc>
          <w:tcPr>
            <w:tcW w:w="279" w:type="pct"/>
            <w:gridSpan w:val="4"/>
            <w:vAlign w:val="center"/>
          </w:tcPr>
          <w:p w14:paraId="2AF8D982">
            <w:pPr>
              <w:autoSpaceDE w:val="0"/>
              <w:autoSpaceDN w:val="0"/>
              <w:jc w:val="left"/>
              <w:rPr>
                <w:rFonts w:ascii="Times New Roman" w:hAnsi="Times New Roman"/>
                <w:b/>
                <w:bCs/>
                <w:color w:val="000000"/>
                <w:sz w:val="18"/>
                <w:szCs w:val="18"/>
              </w:rPr>
            </w:pPr>
          </w:p>
        </w:tc>
        <w:tc>
          <w:tcPr>
            <w:tcW w:w="252" w:type="pct"/>
            <w:gridSpan w:val="2"/>
            <w:vAlign w:val="center"/>
          </w:tcPr>
          <w:p w14:paraId="07357E6E">
            <w:pPr>
              <w:autoSpaceDE w:val="0"/>
              <w:autoSpaceDN w:val="0"/>
              <w:jc w:val="left"/>
              <w:rPr>
                <w:rFonts w:ascii="Times New Roman" w:hAnsi="Times New Roman"/>
                <w:b/>
                <w:bCs/>
                <w:color w:val="000000"/>
                <w:sz w:val="18"/>
                <w:szCs w:val="18"/>
              </w:rPr>
            </w:pPr>
          </w:p>
        </w:tc>
        <w:tc>
          <w:tcPr>
            <w:tcW w:w="275" w:type="pct"/>
            <w:gridSpan w:val="2"/>
            <w:vAlign w:val="center"/>
          </w:tcPr>
          <w:p w14:paraId="280B4F4C">
            <w:pPr>
              <w:autoSpaceDE w:val="0"/>
              <w:autoSpaceDN w:val="0"/>
              <w:jc w:val="left"/>
              <w:rPr>
                <w:rFonts w:ascii="Times New Roman" w:hAnsi="Times New Roman"/>
                <w:b/>
                <w:bCs/>
                <w:color w:val="000000"/>
                <w:sz w:val="18"/>
                <w:szCs w:val="18"/>
              </w:rPr>
            </w:pPr>
          </w:p>
        </w:tc>
        <w:tc>
          <w:tcPr>
            <w:tcW w:w="269" w:type="pct"/>
            <w:gridSpan w:val="2"/>
            <w:vAlign w:val="center"/>
          </w:tcPr>
          <w:p w14:paraId="4DB8F3D2">
            <w:pPr>
              <w:autoSpaceDE w:val="0"/>
              <w:autoSpaceDN w:val="0"/>
              <w:jc w:val="left"/>
              <w:rPr>
                <w:rFonts w:ascii="Times New Roman" w:hAnsi="Times New Roman"/>
                <w:b/>
                <w:bCs/>
                <w:color w:val="000000"/>
                <w:sz w:val="18"/>
                <w:szCs w:val="18"/>
              </w:rPr>
            </w:pPr>
          </w:p>
        </w:tc>
        <w:tc>
          <w:tcPr>
            <w:tcW w:w="271" w:type="pct"/>
            <w:gridSpan w:val="2"/>
            <w:vAlign w:val="center"/>
          </w:tcPr>
          <w:p w14:paraId="4917E2E7">
            <w:pPr>
              <w:autoSpaceDE w:val="0"/>
              <w:autoSpaceDN w:val="0"/>
              <w:jc w:val="left"/>
              <w:rPr>
                <w:rFonts w:ascii="Times New Roman" w:hAnsi="Times New Roman"/>
                <w:b/>
                <w:bCs/>
                <w:color w:val="000000"/>
                <w:sz w:val="18"/>
                <w:szCs w:val="18"/>
              </w:rPr>
            </w:pPr>
          </w:p>
        </w:tc>
        <w:tc>
          <w:tcPr>
            <w:tcW w:w="335" w:type="pct"/>
            <w:vMerge w:val="continue"/>
            <w:vAlign w:val="center"/>
          </w:tcPr>
          <w:p w14:paraId="0C54B4E6">
            <w:pPr>
              <w:autoSpaceDE w:val="0"/>
              <w:autoSpaceDN w:val="0"/>
              <w:jc w:val="center"/>
              <w:rPr>
                <w:rFonts w:ascii="Times New Roman" w:hAnsi="Times New Roman"/>
                <w:color w:val="000000"/>
                <w:spacing w:val="-20"/>
                <w:sz w:val="18"/>
                <w:szCs w:val="18"/>
              </w:rPr>
            </w:pPr>
          </w:p>
        </w:tc>
      </w:tr>
      <w:tr w14:paraId="7909C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EA56274">
            <w:pPr>
              <w:rPr>
                <w:rFonts w:ascii="Times New Roman" w:hAnsi="Times New Roman"/>
                <w:color w:val="000000"/>
                <w:sz w:val="18"/>
                <w:szCs w:val="18"/>
              </w:rPr>
            </w:pPr>
          </w:p>
        </w:tc>
        <w:tc>
          <w:tcPr>
            <w:tcW w:w="216" w:type="pct"/>
            <w:vMerge w:val="continue"/>
            <w:vAlign w:val="center"/>
          </w:tcPr>
          <w:p w14:paraId="33FF3A9F">
            <w:pPr>
              <w:rPr>
                <w:rFonts w:ascii="Times New Roman" w:hAnsi="Times New Roman"/>
                <w:color w:val="000000"/>
                <w:sz w:val="18"/>
                <w:szCs w:val="18"/>
              </w:rPr>
            </w:pPr>
          </w:p>
        </w:tc>
        <w:tc>
          <w:tcPr>
            <w:tcW w:w="1680" w:type="pct"/>
            <w:gridSpan w:val="3"/>
            <w:vAlign w:val="center"/>
          </w:tcPr>
          <w:p w14:paraId="6D116C5C">
            <w:pPr>
              <w:autoSpaceDE w:val="0"/>
              <w:autoSpaceDN w:val="0"/>
              <w:jc w:val="center"/>
              <w:rPr>
                <w:rFonts w:ascii="宋体" w:cs="宋体"/>
                <w:sz w:val="18"/>
                <w:szCs w:val="18"/>
              </w:rPr>
            </w:pPr>
            <w:r>
              <w:rPr>
                <w:rFonts w:hint="eastAsia" w:ascii="宋体" w:cs="宋体"/>
                <w:sz w:val="18"/>
                <w:szCs w:val="18"/>
              </w:rPr>
              <w:t>常见病的健康管理</w:t>
            </w:r>
          </w:p>
        </w:tc>
        <w:tc>
          <w:tcPr>
            <w:tcW w:w="271" w:type="pct"/>
            <w:vAlign w:val="center"/>
          </w:tcPr>
          <w:p w14:paraId="0223B49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62C5087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51AD4583">
            <w:pPr>
              <w:autoSpaceDE w:val="0"/>
              <w:autoSpaceDN w:val="0"/>
              <w:jc w:val="left"/>
              <w:rPr>
                <w:rFonts w:ascii="Times New Roman" w:hAnsi="Times New Roman"/>
                <w:b/>
                <w:bCs/>
                <w:color w:val="000000"/>
                <w:sz w:val="18"/>
                <w:szCs w:val="18"/>
              </w:rPr>
            </w:pPr>
          </w:p>
        </w:tc>
        <w:tc>
          <w:tcPr>
            <w:tcW w:w="228" w:type="pct"/>
            <w:vAlign w:val="center"/>
          </w:tcPr>
          <w:p w14:paraId="5EC7A9B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95" w:type="pct"/>
            <w:vAlign w:val="center"/>
          </w:tcPr>
          <w:p w14:paraId="4AE28DB0">
            <w:pPr>
              <w:autoSpaceDE w:val="0"/>
              <w:autoSpaceDN w:val="0"/>
              <w:jc w:val="left"/>
              <w:rPr>
                <w:rFonts w:ascii="Times New Roman" w:hAnsi="Times New Roman"/>
                <w:b/>
                <w:bCs/>
                <w:color w:val="000000"/>
                <w:sz w:val="18"/>
                <w:szCs w:val="18"/>
              </w:rPr>
            </w:pPr>
          </w:p>
        </w:tc>
        <w:tc>
          <w:tcPr>
            <w:tcW w:w="279" w:type="pct"/>
            <w:gridSpan w:val="4"/>
            <w:vAlign w:val="center"/>
          </w:tcPr>
          <w:p w14:paraId="57ABA3B9">
            <w:pPr>
              <w:autoSpaceDE w:val="0"/>
              <w:autoSpaceDN w:val="0"/>
              <w:jc w:val="left"/>
              <w:rPr>
                <w:rFonts w:ascii="Times New Roman" w:hAnsi="Times New Roman"/>
                <w:b/>
                <w:bCs/>
                <w:color w:val="000000"/>
                <w:sz w:val="18"/>
                <w:szCs w:val="18"/>
              </w:rPr>
            </w:pPr>
          </w:p>
        </w:tc>
        <w:tc>
          <w:tcPr>
            <w:tcW w:w="252" w:type="pct"/>
            <w:gridSpan w:val="2"/>
            <w:vAlign w:val="center"/>
          </w:tcPr>
          <w:p w14:paraId="3DCC3489">
            <w:pPr>
              <w:autoSpaceDE w:val="0"/>
              <w:autoSpaceDN w:val="0"/>
              <w:jc w:val="left"/>
              <w:rPr>
                <w:rFonts w:ascii="Times New Roman" w:hAnsi="Times New Roman"/>
                <w:b/>
                <w:bCs/>
                <w:color w:val="000000"/>
                <w:sz w:val="18"/>
                <w:szCs w:val="18"/>
              </w:rPr>
            </w:pPr>
          </w:p>
        </w:tc>
        <w:tc>
          <w:tcPr>
            <w:tcW w:w="275" w:type="pct"/>
            <w:gridSpan w:val="2"/>
            <w:vAlign w:val="center"/>
          </w:tcPr>
          <w:p w14:paraId="519A7609">
            <w:pPr>
              <w:autoSpaceDE w:val="0"/>
              <w:autoSpaceDN w:val="0"/>
              <w:jc w:val="left"/>
              <w:rPr>
                <w:rFonts w:ascii="Times New Roman" w:hAnsi="Times New Roman"/>
                <w:b/>
                <w:bCs/>
                <w:color w:val="000000"/>
                <w:sz w:val="18"/>
                <w:szCs w:val="18"/>
              </w:rPr>
            </w:pPr>
          </w:p>
        </w:tc>
        <w:tc>
          <w:tcPr>
            <w:tcW w:w="269" w:type="pct"/>
            <w:gridSpan w:val="2"/>
            <w:vAlign w:val="center"/>
          </w:tcPr>
          <w:p w14:paraId="01EC9AC9">
            <w:pPr>
              <w:autoSpaceDE w:val="0"/>
              <w:autoSpaceDN w:val="0"/>
              <w:jc w:val="left"/>
              <w:rPr>
                <w:rFonts w:ascii="Times New Roman" w:hAnsi="Times New Roman"/>
                <w:b/>
                <w:bCs/>
                <w:color w:val="000000"/>
                <w:sz w:val="18"/>
                <w:szCs w:val="18"/>
              </w:rPr>
            </w:pPr>
          </w:p>
        </w:tc>
        <w:tc>
          <w:tcPr>
            <w:tcW w:w="271" w:type="pct"/>
            <w:gridSpan w:val="2"/>
            <w:vAlign w:val="center"/>
          </w:tcPr>
          <w:p w14:paraId="0A0AB18B">
            <w:pPr>
              <w:autoSpaceDE w:val="0"/>
              <w:autoSpaceDN w:val="0"/>
              <w:jc w:val="left"/>
              <w:rPr>
                <w:rFonts w:ascii="Times New Roman" w:hAnsi="Times New Roman"/>
                <w:b/>
                <w:bCs/>
                <w:color w:val="000000"/>
                <w:sz w:val="18"/>
                <w:szCs w:val="18"/>
              </w:rPr>
            </w:pPr>
          </w:p>
        </w:tc>
        <w:tc>
          <w:tcPr>
            <w:tcW w:w="335" w:type="pct"/>
            <w:vMerge w:val="continue"/>
            <w:vAlign w:val="center"/>
          </w:tcPr>
          <w:p w14:paraId="4B9B034F">
            <w:pPr>
              <w:autoSpaceDE w:val="0"/>
              <w:autoSpaceDN w:val="0"/>
              <w:jc w:val="center"/>
              <w:rPr>
                <w:rFonts w:ascii="Times New Roman" w:hAnsi="Times New Roman"/>
                <w:color w:val="000000"/>
                <w:spacing w:val="-20"/>
                <w:sz w:val="18"/>
                <w:szCs w:val="18"/>
              </w:rPr>
            </w:pPr>
          </w:p>
        </w:tc>
      </w:tr>
      <w:tr w14:paraId="2BBDC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FC804F5">
            <w:pPr>
              <w:rPr>
                <w:rFonts w:ascii="Times New Roman" w:hAnsi="Times New Roman"/>
                <w:color w:val="000000"/>
                <w:sz w:val="18"/>
                <w:szCs w:val="18"/>
              </w:rPr>
            </w:pPr>
          </w:p>
        </w:tc>
        <w:tc>
          <w:tcPr>
            <w:tcW w:w="216" w:type="pct"/>
            <w:vMerge w:val="continue"/>
            <w:vAlign w:val="center"/>
          </w:tcPr>
          <w:p w14:paraId="0C1C5F59">
            <w:pPr>
              <w:rPr>
                <w:rFonts w:ascii="Times New Roman" w:hAnsi="Times New Roman"/>
                <w:color w:val="000000"/>
                <w:sz w:val="18"/>
                <w:szCs w:val="18"/>
              </w:rPr>
            </w:pPr>
          </w:p>
        </w:tc>
        <w:tc>
          <w:tcPr>
            <w:tcW w:w="1680" w:type="pct"/>
            <w:gridSpan w:val="3"/>
            <w:vAlign w:val="center"/>
          </w:tcPr>
          <w:p w14:paraId="408407C8">
            <w:pPr>
              <w:autoSpaceDE w:val="0"/>
              <w:autoSpaceDN w:val="0"/>
              <w:jc w:val="center"/>
              <w:rPr>
                <w:rFonts w:ascii="宋体" w:cs="宋体"/>
                <w:sz w:val="18"/>
                <w:szCs w:val="18"/>
              </w:rPr>
            </w:pPr>
            <w:r>
              <w:rPr>
                <w:rFonts w:hint="eastAsia" w:ascii="宋体" w:cs="宋体"/>
                <w:sz w:val="18"/>
                <w:szCs w:val="18"/>
              </w:rPr>
              <w:t>语言学（普通话）</w:t>
            </w:r>
          </w:p>
        </w:tc>
        <w:tc>
          <w:tcPr>
            <w:tcW w:w="271" w:type="pct"/>
            <w:vAlign w:val="center"/>
          </w:tcPr>
          <w:p w14:paraId="65BCD0C8">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18902108">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41A5C53B">
            <w:pPr>
              <w:autoSpaceDE w:val="0"/>
              <w:autoSpaceDN w:val="0"/>
              <w:jc w:val="left"/>
              <w:rPr>
                <w:rFonts w:ascii="Times New Roman" w:hAnsi="Times New Roman"/>
                <w:b/>
                <w:bCs/>
                <w:color w:val="000000"/>
                <w:sz w:val="18"/>
                <w:szCs w:val="18"/>
              </w:rPr>
            </w:pPr>
          </w:p>
        </w:tc>
        <w:tc>
          <w:tcPr>
            <w:tcW w:w="228" w:type="pct"/>
            <w:vAlign w:val="center"/>
          </w:tcPr>
          <w:p w14:paraId="3E10B578">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95" w:type="pct"/>
            <w:vAlign w:val="center"/>
          </w:tcPr>
          <w:p w14:paraId="22AC23D2">
            <w:pPr>
              <w:autoSpaceDE w:val="0"/>
              <w:autoSpaceDN w:val="0"/>
              <w:jc w:val="left"/>
              <w:rPr>
                <w:rFonts w:ascii="Times New Roman" w:hAnsi="Times New Roman"/>
                <w:b/>
                <w:bCs/>
                <w:color w:val="000000"/>
                <w:sz w:val="18"/>
                <w:szCs w:val="18"/>
              </w:rPr>
            </w:pPr>
          </w:p>
        </w:tc>
        <w:tc>
          <w:tcPr>
            <w:tcW w:w="279" w:type="pct"/>
            <w:gridSpan w:val="4"/>
            <w:vAlign w:val="center"/>
          </w:tcPr>
          <w:p w14:paraId="1D3847BA">
            <w:pPr>
              <w:autoSpaceDE w:val="0"/>
              <w:autoSpaceDN w:val="0"/>
              <w:jc w:val="left"/>
              <w:rPr>
                <w:rFonts w:ascii="Times New Roman" w:hAnsi="Times New Roman"/>
                <w:b/>
                <w:bCs/>
                <w:color w:val="000000"/>
                <w:sz w:val="18"/>
                <w:szCs w:val="18"/>
              </w:rPr>
            </w:pPr>
          </w:p>
        </w:tc>
        <w:tc>
          <w:tcPr>
            <w:tcW w:w="252" w:type="pct"/>
            <w:gridSpan w:val="2"/>
            <w:vAlign w:val="center"/>
          </w:tcPr>
          <w:p w14:paraId="14471750">
            <w:pPr>
              <w:autoSpaceDE w:val="0"/>
              <w:autoSpaceDN w:val="0"/>
              <w:jc w:val="left"/>
              <w:rPr>
                <w:rFonts w:ascii="Times New Roman" w:hAnsi="Times New Roman"/>
                <w:b/>
                <w:bCs/>
                <w:color w:val="000000"/>
                <w:sz w:val="18"/>
                <w:szCs w:val="18"/>
              </w:rPr>
            </w:pPr>
          </w:p>
        </w:tc>
        <w:tc>
          <w:tcPr>
            <w:tcW w:w="275" w:type="pct"/>
            <w:gridSpan w:val="2"/>
            <w:vAlign w:val="center"/>
          </w:tcPr>
          <w:p w14:paraId="5A024380">
            <w:pPr>
              <w:autoSpaceDE w:val="0"/>
              <w:autoSpaceDN w:val="0"/>
              <w:jc w:val="left"/>
              <w:rPr>
                <w:rFonts w:ascii="Times New Roman" w:hAnsi="Times New Roman"/>
                <w:b/>
                <w:bCs/>
                <w:color w:val="000000"/>
                <w:sz w:val="18"/>
                <w:szCs w:val="18"/>
              </w:rPr>
            </w:pPr>
          </w:p>
        </w:tc>
        <w:tc>
          <w:tcPr>
            <w:tcW w:w="269" w:type="pct"/>
            <w:gridSpan w:val="2"/>
            <w:vAlign w:val="center"/>
          </w:tcPr>
          <w:p w14:paraId="4715015F">
            <w:pPr>
              <w:autoSpaceDE w:val="0"/>
              <w:autoSpaceDN w:val="0"/>
              <w:jc w:val="left"/>
              <w:rPr>
                <w:rFonts w:ascii="Times New Roman" w:hAnsi="Times New Roman"/>
                <w:b/>
                <w:bCs/>
                <w:color w:val="000000"/>
                <w:sz w:val="18"/>
                <w:szCs w:val="18"/>
              </w:rPr>
            </w:pPr>
          </w:p>
        </w:tc>
        <w:tc>
          <w:tcPr>
            <w:tcW w:w="271" w:type="pct"/>
            <w:gridSpan w:val="2"/>
            <w:vAlign w:val="center"/>
          </w:tcPr>
          <w:p w14:paraId="02D72169">
            <w:pPr>
              <w:autoSpaceDE w:val="0"/>
              <w:autoSpaceDN w:val="0"/>
              <w:jc w:val="left"/>
              <w:rPr>
                <w:rFonts w:ascii="Times New Roman" w:hAnsi="Times New Roman"/>
                <w:b/>
                <w:bCs/>
                <w:color w:val="000000"/>
                <w:sz w:val="18"/>
                <w:szCs w:val="18"/>
              </w:rPr>
            </w:pPr>
          </w:p>
        </w:tc>
        <w:tc>
          <w:tcPr>
            <w:tcW w:w="335" w:type="pct"/>
            <w:vMerge w:val="continue"/>
            <w:vAlign w:val="center"/>
          </w:tcPr>
          <w:p w14:paraId="3042A83C">
            <w:pPr>
              <w:autoSpaceDE w:val="0"/>
              <w:autoSpaceDN w:val="0"/>
              <w:jc w:val="center"/>
              <w:rPr>
                <w:rFonts w:ascii="Times New Roman" w:hAnsi="Times New Roman"/>
                <w:color w:val="000000"/>
                <w:spacing w:val="-20"/>
                <w:sz w:val="18"/>
                <w:szCs w:val="18"/>
              </w:rPr>
            </w:pPr>
          </w:p>
        </w:tc>
      </w:tr>
      <w:tr w14:paraId="5EFBE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F7A9166">
            <w:pPr>
              <w:rPr>
                <w:rFonts w:ascii="Times New Roman" w:hAnsi="Times New Roman"/>
                <w:color w:val="000000"/>
                <w:sz w:val="18"/>
                <w:szCs w:val="18"/>
              </w:rPr>
            </w:pPr>
          </w:p>
        </w:tc>
        <w:tc>
          <w:tcPr>
            <w:tcW w:w="216" w:type="pct"/>
            <w:vMerge w:val="continue"/>
            <w:vAlign w:val="center"/>
          </w:tcPr>
          <w:p w14:paraId="1EA267B2">
            <w:pPr>
              <w:rPr>
                <w:rFonts w:ascii="Times New Roman" w:hAnsi="Times New Roman"/>
                <w:color w:val="000000"/>
                <w:sz w:val="18"/>
                <w:szCs w:val="18"/>
              </w:rPr>
            </w:pPr>
          </w:p>
        </w:tc>
        <w:tc>
          <w:tcPr>
            <w:tcW w:w="1680" w:type="pct"/>
            <w:gridSpan w:val="3"/>
            <w:vAlign w:val="center"/>
          </w:tcPr>
          <w:p w14:paraId="15532F67">
            <w:pPr>
              <w:autoSpaceDE w:val="0"/>
              <w:autoSpaceDN w:val="0"/>
              <w:jc w:val="center"/>
              <w:rPr>
                <w:rFonts w:ascii="宋体" w:cs="宋体"/>
                <w:sz w:val="18"/>
                <w:szCs w:val="18"/>
              </w:rPr>
            </w:pPr>
            <w:r>
              <w:rPr>
                <w:rFonts w:hint="eastAsia" w:ascii="宋体" w:cs="宋体"/>
                <w:sz w:val="18"/>
                <w:szCs w:val="18"/>
              </w:rPr>
              <w:t>中国文化概论</w:t>
            </w:r>
          </w:p>
        </w:tc>
        <w:tc>
          <w:tcPr>
            <w:tcW w:w="271" w:type="pct"/>
            <w:vAlign w:val="center"/>
          </w:tcPr>
          <w:p w14:paraId="6202A7D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780451B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5602E7C4">
            <w:pPr>
              <w:autoSpaceDE w:val="0"/>
              <w:autoSpaceDN w:val="0"/>
              <w:jc w:val="left"/>
              <w:rPr>
                <w:rFonts w:ascii="Times New Roman" w:hAnsi="Times New Roman"/>
                <w:b/>
                <w:bCs/>
                <w:color w:val="000000"/>
                <w:sz w:val="18"/>
                <w:szCs w:val="18"/>
              </w:rPr>
            </w:pPr>
          </w:p>
        </w:tc>
        <w:tc>
          <w:tcPr>
            <w:tcW w:w="228" w:type="pct"/>
            <w:vAlign w:val="center"/>
          </w:tcPr>
          <w:p w14:paraId="60FE6D4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95" w:type="pct"/>
            <w:vAlign w:val="center"/>
          </w:tcPr>
          <w:p w14:paraId="6580ED81">
            <w:pPr>
              <w:autoSpaceDE w:val="0"/>
              <w:autoSpaceDN w:val="0"/>
              <w:jc w:val="left"/>
              <w:rPr>
                <w:rFonts w:ascii="Times New Roman" w:hAnsi="Times New Roman"/>
                <w:b/>
                <w:bCs/>
                <w:color w:val="000000"/>
                <w:sz w:val="18"/>
                <w:szCs w:val="18"/>
              </w:rPr>
            </w:pPr>
          </w:p>
        </w:tc>
        <w:tc>
          <w:tcPr>
            <w:tcW w:w="279" w:type="pct"/>
            <w:gridSpan w:val="4"/>
            <w:vAlign w:val="center"/>
          </w:tcPr>
          <w:p w14:paraId="74AA6464">
            <w:pPr>
              <w:autoSpaceDE w:val="0"/>
              <w:autoSpaceDN w:val="0"/>
              <w:jc w:val="left"/>
              <w:rPr>
                <w:rFonts w:ascii="Times New Roman" w:hAnsi="Times New Roman"/>
                <w:b/>
                <w:bCs/>
                <w:color w:val="000000"/>
                <w:sz w:val="18"/>
                <w:szCs w:val="18"/>
              </w:rPr>
            </w:pPr>
          </w:p>
        </w:tc>
        <w:tc>
          <w:tcPr>
            <w:tcW w:w="252" w:type="pct"/>
            <w:gridSpan w:val="2"/>
            <w:vAlign w:val="center"/>
          </w:tcPr>
          <w:p w14:paraId="2C74C1B1">
            <w:pPr>
              <w:autoSpaceDE w:val="0"/>
              <w:autoSpaceDN w:val="0"/>
              <w:jc w:val="left"/>
              <w:rPr>
                <w:rFonts w:ascii="Times New Roman" w:hAnsi="Times New Roman"/>
                <w:b/>
                <w:bCs/>
                <w:color w:val="000000"/>
                <w:sz w:val="18"/>
                <w:szCs w:val="18"/>
              </w:rPr>
            </w:pPr>
          </w:p>
        </w:tc>
        <w:tc>
          <w:tcPr>
            <w:tcW w:w="275" w:type="pct"/>
            <w:gridSpan w:val="2"/>
            <w:vAlign w:val="center"/>
          </w:tcPr>
          <w:p w14:paraId="328DF928">
            <w:pPr>
              <w:autoSpaceDE w:val="0"/>
              <w:autoSpaceDN w:val="0"/>
              <w:jc w:val="left"/>
              <w:rPr>
                <w:rFonts w:ascii="Times New Roman" w:hAnsi="Times New Roman"/>
                <w:b/>
                <w:bCs/>
                <w:color w:val="000000"/>
                <w:sz w:val="18"/>
                <w:szCs w:val="18"/>
              </w:rPr>
            </w:pPr>
          </w:p>
        </w:tc>
        <w:tc>
          <w:tcPr>
            <w:tcW w:w="269" w:type="pct"/>
            <w:gridSpan w:val="2"/>
            <w:vAlign w:val="center"/>
          </w:tcPr>
          <w:p w14:paraId="66DAB818">
            <w:pPr>
              <w:autoSpaceDE w:val="0"/>
              <w:autoSpaceDN w:val="0"/>
              <w:jc w:val="left"/>
              <w:rPr>
                <w:rFonts w:ascii="Times New Roman" w:hAnsi="Times New Roman"/>
                <w:b/>
                <w:bCs/>
                <w:color w:val="000000"/>
                <w:sz w:val="18"/>
                <w:szCs w:val="18"/>
              </w:rPr>
            </w:pPr>
          </w:p>
        </w:tc>
        <w:tc>
          <w:tcPr>
            <w:tcW w:w="271" w:type="pct"/>
            <w:gridSpan w:val="2"/>
            <w:vAlign w:val="center"/>
          </w:tcPr>
          <w:p w14:paraId="6F901F49">
            <w:pPr>
              <w:autoSpaceDE w:val="0"/>
              <w:autoSpaceDN w:val="0"/>
              <w:jc w:val="left"/>
              <w:rPr>
                <w:rFonts w:ascii="Times New Roman" w:hAnsi="Times New Roman"/>
                <w:b/>
                <w:bCs/>
                <w:color w:val="000000"/>
                <w:sz w:val="18"/>
                <w:szCs w:val="18"/>
              </w:rPr>
            </w:pPr>
          </w:p>
        </w:tc>
        <w:tc>
          <w:tcPr>
            <w:tcW w:w="335" w:type="pct"/>
            <w:vMerge w:val="continue"/>
            <w:vAlign w:val="center"/>
          </w:tcPr>
          <w:p w14:paraId="55F92A12">
            <w:pPr>
              <w:autoSpaceDE w:val="0"/>
              <w:autoSpaceDN w:val="0"/>
              <w:jc w:val="center"/>
              <w:rPr>
                <w:rFonts w:ascii="Times New Roman" w:hAnsi="Times New Roman"/>
                <w:color w:val="000000"/>
                <w:spacing w:val="-20"/>
                <w:sz w:val="18"/>
                <w:szCs w:val="18"/>
              </w:rPr>
            </w:pPr>
          </w:p>
        </w:tc>
      </w:tr>
      <w:tr w14:paraId="6E9D0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056E395">
            <w:pPr>
              <w:jc w:val="center"/>
              <w:rPr>
                <w:rFonts w:ascii="Times New Roman" w:hAnsi="Times New Roman"/>
                <w:color w:val="000000"/>
                <w:sz w:val="18"/>
                <w:szCs w:val="18"/>
              </w:rPr>
            </w:pPr>
          </w:p>
        </w:tc>
        <w:tc>
          <w:tcPr>
            <w:tcW w:w="216" w:type="pct"/>
            <w:vMerge w:val="continue"/>
            <w:vAlign w:val="center"/>
          </w:tcPr>
          <w:p w14:paraId="19B4E005">
            <w:pPr>
              <w:jc w:val="center"/>
              <w:rPr>
                <w:rFonts w:ascii="Times New Roman" w:hAnsi="Times New Roman"/>
                <w:color w:val="000000"/>
                <w:sz w:val="18"/>
                <w:szCs w:val="18"/>
              </w:rPr>
            </w:pPr>
          </w:p>
        </w:tc>
        <w:tc>
          <w:tcPr>
            <w:tcW w:w="1680" w:type="pct"/>
            <w:gridSpan w:val="3"/>
            <w:vAlign w:val="center"/>
          </w:tcPr>
          <w:p w14:paraId="23CD816D">
            <w:pPr>
              <w:autoSpaceDE w:val="0"/>
              <w:autoSpaceDN w:val="0"/>
              <w:jc w:val="center"/>
              <w:rPr>
                <w:rFonts w:ascii="宋体" w:cs="宋体"/>
                <w:sz w:val="18"/>
                <w:szCs w:val="18"/>
              </w:rPr>
            </w:pPr>
            <w:r>
              <w:rPr>
                <w:rFonts w:hint="eastAsia" w:ascii="宋体" w:cs="宋体"/>
                <w:sz w:val="18"/>
                <w:szCs w:val="18"/>
              </w:rPr>
              <w:t>论文写作初阶</w:t>
            </w:r>
          </w:p>
        </w:tc>
        <w:tc>
          <w:tcPr>
            <w:tcW w:w="271" w:type="pct"/>
            <w:vAlign w:val="center"/>
          </w:tcPr>
          <w:p w14:paraId="4402EDE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434073F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1577945C">
            <w:pPr>
              <w:autoSpaceDE w:val="0"/>
              <w:autoSpaceDN w:val="0"/>
              <w:jc w:val="left"/>
              <w:rPr>
                <w:rFonts w:ascii="Times New Roman" w:hAnsi="Times New Roman"/>
                <w:b/>
                <w:bCs/>
                <w:color w:val="000000"/>
                <w:sz w:val="18"/>
                <w:szCs w:val="18"/>
              </w:rPr>
            </w:pPr>
          </w:p>
        </w:tc>
        <w:tc>
          <w:tcPr>
            <w:tcW w:w="228" w:type="pct"/>
            <w:vAlign w:val="center"/>
          </w:tcPr>
          <w:p w14:paraId="49DE2D0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95" w:type="pct"/>
            <w:vAlign w:val="center"/>
          </w:tcPr>
          <w:p w14:paraId="632F4952">
            <w:pPr>
              <w:autoSpaceDE w:val="0"/>
              <w:autoSpaceDN w:val="0"/>
              <w:jc w:val="left"/>
              <w:rPr>
                <w:rFonts w:ascii="Times New Roman" w:hAnsi="Times New Roman"/>
                <w:b/>
                <w:bCs/>
                <w:color w:val="000000"/>
                <w:sz w:val="18"/>
                <w:szCs w:val="18"/>
              </w:rPr>
            </w:pPr>
          </w:p>
        </w:tc>
        <w:tc>
          <w:tcPr>
            <w:tcW w:w="279" w:type="pct"/>
            <w:gridSpan w:val="4"/>
            <w:vAlign w:val="center"/>
          </w:tcPr>
          <w:p w14:paraId="2C3C52E8">
            <w:pPr>
              <w:autoSpaceDE w:val="0"/>
              <w:autoSpaceDN w:val="0"/>
              <w:jc w:val="left"/>
              <w:rPr>
                <w:rFonts w:ascii="Times New Roman" w:hAnsi="Times New Roman"/>
                <w:b/>
                <w:bCs/>
                <w:color w:val="000000"/>
                <w:sz w:val="18"/>
                <w:szCs w:val="18"/>
              </w:rPr>
            </w:pPr>
          </w:p>
        </w:tc>
        <w:tc>
          <w:tcPr>
            <w:tcW w:w="252" w:type="pct"/>
            <w:gridSpan w:val="2"/>
            <w:vAlign w:val="center"/>
          </w:tcPr>
          <w:p w14:paraId="1A2A8C2D">
            <w:pPr>
              <w:autoSpaceDE w:val="0"/>
              <w:autoSpaceDN w:val="0"/>
              <w:jc w:val="left"/>
              <w:rPr>
                <w:rFonts w:ascii="Times New Roman" w:hAnsi="Times New Roman"/>
                <w:b/>
                <w:bCs/>
                <w:color w:val="000000"/>
                <w:sz w:val="18"/>
                <w:szCs w:val="18"/>
              </w:rPr>
            </w:pPr>
          </w:p>
        </w:tc>
        <w:tc>
          <w:tcPr>
            <w:tcW w:w="275" w:type="pct"/>
            <w:gridSpan w:val="2"/>
            <w:vAlign w:val="center"/>
          </w:tcPr>
          <w:p w14:paraId="20B912F3">
            <w:pPr>
              <w:autoSpaceDE w:val="0"/>
              <w:autoSpaceDN w:val="0"/>
              <w:jc w:val="left"/>
              <w:rPr>
                <w:rFonts w:ascii="Times New Roman" w:hAnsi="Times New Roman"/>
                <w:b/>
                <w:bCs/>
                <w:color w:val="000000"/>
                <w:sz w:val="18"/>
                <w:szCs w:val="18"/>
              </w:rPr>
            </w:pPr>
          </w:p>
        </w:tc>
        <w:tc>
          <w:tcPr>
            <w:tcW w:w="269" w:type="pct"/>
            <w:gridSpan w:val="2"/>
            <w:vAlign w:val="center"/>
          </w:tcPr>
          <w:p w14:paraId="7AEA3BA2">
            <w:pPr>
              <w:autoSpaceDE w:val="0"/>
              <w:autoSpaceDN w:val="0"/>
              <w:jc w:val="left"/>
              <w:rPr>
                <w:rFonts w:ascii="Times New Roman" w:hAnsi="Times New Roman"/>
                <w:b/>
                <w:bCs/>
                <w:color w:val="000000"/>
                <w:sz w:val="18"/>
                <w:szCs w:val="18"/>
              </w:rPr>
            </w:pPr>
          </w:p>
        </w:tc>
        <w:tc>
          <w:tcPr>
            <w:tcW w:w="271" w:type="pct"/>
            <w:gridSpan w:val="2"/>
            <w:vAlign w:val="center"/>
          </w:tcPr>
          <w:p w14:paraId="615889EB">
            <w:pPr>
              <w:autoSpaceDE w:val="0"/>
              <w:autoSpaceDN w:val="0"/>
              <w:jc w:val="left"/>
              <w:rPr>
                <w:rFonts w:ascii="Times New Roman" w:hAnsi="Times New Roman"/>
                <w:b/>
                <w:bCs/>
                <w:color w:val="000000"/>
                <w:sz w:val="18"/>
                <w:szCs w:val="18"/>
              </w:rPr>
            </w:pPr>
          </w:p>
        </w:tc>
        <w:tc>
          <w:tcPr>
            <w:tcW w:w="335" w:type="pct"/>
            <w:vMerge w:val="continue"/>
            <w:vAlign w:val="center"/>
          </w:tcPr>
          <w:p w14:paraId="454D9047">
            <w:pPr>
              <w:autoSpaceDE w:val="0"/>
              <w:autoSpaceDN w:val="0"/>
              <w:jc w:val="center"/>
              <w:rPr>
                <w:rFonts w:ascii="Times New Roman" w:hAnsi="Times New Roman"/>
                <w:color w:val="000000"/>
                <w:spacing w:val="-20"/>
                <w:sz w:val="18"/>
                <w:szCs w:val="18"/>
              </w:rPr>
            </w:pPr>
          </w:p>
        </w:tc>
      </w:tr>
      <w:tr w14:paraId="664F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D692205">
            <w:pPr>
              <w:jc w:val="center"/>
              <w:rPr>
                <w:rFonts w:ascii="Times New Roman" w:hAnsi="Times New Roman"/>
                <w:color w:val="000000"/>
                <w:sz w:val="18"/>
                <w:szCs w:val="18"/>
              </w:rPr>
            </w:pPr>
          </w:p>
        </w:tc>
        <w:tc>
          <w:tcPr>
            <w:tcW w:w="216" w:type="pct"/>
            <w:vMerge w:val="continue"/>
            <w:vAlign w:val="center"/>
          </w:tcPr>
          <w:p w14:paraId="1A5B7BCF">
            <w:pPr>
              <w:jc w:val="center"/>
              <w:rPr>
                <w:rFonts w:ascii="Times New Roman" w:hAnsi="Times New Roman"/>
                <w:color w:val="000000"/>
                <w:sz w:val="18"/>
                <w:szCs w:val="18"/>
              </w:rPr>
            </w:pPr>
          </w:p>
        </w:tc>
        <w:tc>
          <w:tcPr>
            <w:tcW w:w="1680" w:type="pct"/>
            <w:gridSpan w:val="3"/>
            <w:vAlign w:val="center"/>
          </w:tcPr>
          <w:p w14:paraId="4C0F1C07">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71" w:type="pct"/>
            <w:vAlign w:val="center"/>
          </w:tcPr>
          <w:p w14:paraId="4A442026">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128</w:t>
            </w:r>
          </w:p>
        </w:tc>
        <w:tc>
          <w:tcPr>
            <w:tcW w:w="216" w:type="pct"/>
            <w:vAlign w:val="center"/>
          </w:tcPr>
          <w:p w14:paraId="3734FC83">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128</w:t>
            </w:r>
          </w:p>
        </w:tc>
        <w:tc>
          <w:tcPr>
            <w:tcW w:w="216" w:type="pct"/>
            <w:vAlign w:val="center"/>
          </w:tcPr>
          <w:p w14:paraId="468580BA">
            <w:pPr>
              <w:autoSpaceDE w:val="0"/>
              <w:autoSpaceDN w:val="0"/>
              <w:jc w:val="left"/>
              <w:rPr>
                <w:rFonts w:ascii="Times New Roman" w:hAnsi="Times New Roman"/>
                <w:b/>
                <w:bCs/>
                <w:color w:val="000000"/>
                <w:sz w:val="18"/>
                <w:szCs w:val="18"/>
              </w:rPr>
            </w:pPr>
          </w:p>
        </w:tc>
        <w:tc>
          <w:tcPr>
            <w:tcW w:w="228" w:type="pct"/>
            <w:vAlign w:val="center"/>
          </w:tcPr>
          <w:p w14:paraId="6F1F8376">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4</w:t>
            </w:r>
          </w:p>
        </w:tc>
        <w:tc>
          <w:tcPr>
            <w:tcW w:w="295" w:type="pct"/>
            <w:vAlign w:val="center"/>
          </w:tcPr>
          <w:p w14:paraId="4FC10868">
            <w:pPr>
              <w:autoSpaceDE w:val="0"/>
              <w:autoSpaceDN w:val="0"/>
              <w:jc w:val="left"/>
              <w:rPr>
                <w:rFonts w:ascii="Times New Roman" w:hAnsi="Times New Roman"/>
                <w:b/>
                <w:bCs/>
                <w:color w:val="000000"/>
                <w:sz w:val="18"/>
                <w:szCs w:val="18"/>
              </w:rPr>
            </w:pPr>
          </w:p>
        </w:tc>
        <w:tc>
          <w:tcPr>
            <w:tcW w:w="279" w:type="pct"/>
            <w:gridSpan w:val="4"/>
            <w:vAlign w:val="center"/>
          </w:tcPr>
          <w:p w14:paraId="597168AE">
            <w:pPr>
              <w:autoSpaceDE w:val="0"/>
              <w:autoSpaceDN w:val="0"/>
              <w:jc w:val="left"/>
              <w:rPr>
                <w:rFonts w:ascii="Times New Roman" w:hAnsi="Times New Roman"/>
                <w:b/>
                <w:bCs/>
                <w:color w:val="000000"/>
                <w:sz w:val="18"/>
                <w:szCs w:val="18"/>
              </w:rPr>
            </w:pPr>
          </w:p>
        </w:tc>
        <w:tc>
          <w:tcPr>
            <w:tcW w:w="252" w:type="pct"/>
            <w:gridSpan w:val="2"/>
            <w:vAlign w:val="center"/>
          </w:tcPr>
          <w:p w14:paraId="7F3A4394">
            <w:pPr>
              <w:autoSpaceDE w:val="0"/>
              <w:autoSpaceDN w:val="0"/>
              <w:jc w:val="left"/>
              <w:rPr>
                <w:rFonts w:ascii="Times New Roman" w:hAnsi="Times New Roman"/>
                <w:b/>
                <w:bCs/>
                <w:color w:val="000000"/>
                <w:sz w:val="18"/>
                <w:szCs w:val="18"/>
              </w:rPr>
            </w:pPr>
          </w:p>
        </w:tc>
        <w:tc>
          <w:tcPr>
            <w:tcW w:w="275" w:type="pct"/>
            <w:gridSpan w:val="2"/>
            <w:vAlign w:val="center"/>
          </w:tcPr>
          <w:p w14:paraId="0E75B860">
            <w:pPr>
              <w:autoSpaceDE w:val="0"/>
              <w:autoSpaceDN w:val="0"/>
              <w:jc w:val="left"/>
              <w:rPr>
                <w:rFonts w:ascii="Times New Roman" w:hAnsi="Times New Roman"/>
                <w:b/>
                <w:bCs/>
                <w:color w:val="000000"/>
                <w:sz w:val="18"/>
                <w:szCs w:val="18"/>
              </w:rPr>
            </w:pPr>
          </w:p>
        </w:tc>
        <w:tc>
          <w:tcPr>
            <w:tcW w:w="269" w:type="pct"/>
            <w:gridSpan w:val="2"/>
            <w:vAlign w:val="center"/>
          </w:tcPr>
          <w:p w14:paraId="4A676243">
            <w:pPr>
              <w:autoSpaceDE w:val="0"/>
              <w:autoSpaceDN w:val="0"/>
              <w:jc w:val="left"/>
              <w:rPr>
                <w:rFonts w:ascii="Times New Roman" w:hAnsi="Times New Roman"/>
                <w:b/>
                <w:bCs/>
                <w:color w:val="000000"/>
                <w:sz w:val="18"/>
                <w:szCs w:val="18"/>
              </w:rPr>
            </w:pPr>
          </w:p>
        </w:tc>
        <w:tc>
          <w:tcPr>
            <w:tcW w:w="271" w:type="pct"/>
            <w:gridSpan w:val="2"/>
            <w:vAlign w:val="center"/>
          </w:tcPr>
          <w:p w14:paraId="00189036">
            <w:pPr>
              <w:autoSpaceDE w:val="0"/>
              <w:autoSpaceDN w:val="0"/>
              <w:jc w:val="left"/>
              <w:rPr>
                <w:rFonts w:ascii="Times New Roman" w:hAnsi="Times New Roman"/>
                <w:b/>
                <w:bCs/>
                <w:color w:val="000000"/>
                <w:sz w:val="18"/>
                <w:szCs w:val="18"/>
              </w:rPr>
            </w:pPr>
          </w:p>
        </w:tc>
        <w:tc>
          <w:tcPr>
            <w:tcW w:w="335" w:type="pct"/>
            <w:vMerge w:val="restart"/>
            <w:vAlign w:val="center"/>
          </w:tcPr>
          <w:p w14:paraId="2CCA5595">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每位学生公共限选课程总学分数最少4学分，其中美育教育、党史都不少于1学分</w:t>
            </w:r>
          </w:p>
        </w:tc>
      </w:tr>
      <w:tr w14:paraId="46E4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541948E">
            <w:pPr>
              <w:jc w:val="center"/>
              <w:rPr>
                <w:rFonts w:ascii="Times New Roman" w:hAnsi="Times New Roman"/>
                <w:color w:val="000000"/>
                <w:sz w:val="18"/>
                <w:szCs w:val="18"/>
              </w:rPr>
            </w:pPr>
          </w:p>
        </w:tc>
        <w:tc>
          <w:tcPr>
            <w:tcW w:w="216" w:type="pct"/>
            <w:vMerge w:val="restart"/>
            <w:vAlign w:val="center"/>
          </w:tcPr>
          <w:p w14:paraId="111A4AD8">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1680" w:type="pct"/>
            <w:gridSpan w:val="3"/>
            <w:vAlign w:val="center"/>
          </w:tcPr>
          <w:p w14:paraId="0C069AFE">
            <w:pPr>
              <w:autoSpaceDE w:val="0"/>
              <w:autoSpaceDN w:val="0"/>
              <w:jc w:val="center"/>
              <w:rPr>
                <w:rFonts w:ascii="Times New Roman" w:hAnsi="Times New Roman"/>
                <w:b/>
                <w:bCs/>
                <w:color w:val="000000"/>
                <w:sz w:val="18"/>
                <w:szCs w:val="18"/>
              </w:rPr>
            </w:pPr>
            <w:r>
              <w:rPr>
                <w:rFonts w:hint="eastAsia" w:ascii="宋体" w:cs="宋体"/>
                <w:sz w:val="18"/>
                <w:szCs w:val="18"/>
              </w:rPr>
              <w:t>人文素养类</w:t>
            </w:r>
          </w:p>
        </w:tc>
        <w:tc>
          <w:tcPr>
            <w:tcW w:w="271" w:type="pct"/>
            <w:vAlign w:val="center"/>
          </w:tcPr>
          <w:p w14:paraId="7DBC8E0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1B15877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5B944AAC">
            <w:pPr>
              <w:autoSpaceDE w:val="0"/>
              <w:autoSpaceDN w:val="0"/>
              <w:jc w:val="left"/>
              <w:rPr>
                <w:rFonts w:ascii="Times New Roman" w:hAnsi="Times New Roman"/>
                <w:b/>
                <w:bCs/>
                <w:color w:val="000000"/>
                <w:sz w:val="18"/>
                <w:szCs w:val="18"/>
              </w:rPr>
            </w:pPr>
          </w:p>
        </w:tc>
        <w:tc>
          <w:tcPr>
            <w:tcW w:w="228" w:type="pct"/>
            <w:vAlign w:val="center"/>
          </w:tcPr>
          <w:p w14:paraId="2605E02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95" w:type="pct"/>
            <w:vAlign w:val="center"/>
          </w:tcPr>
          <w:p w14:paraId="38946DE5">
            <w:pPr>
              <w:autoSpaceDE w:val="0"/>
              <w:autoSpaceDN w:val="0"/>
              <w:jc w:val="left"/>
              <w:rPr>
                <w:rFonts w:ascii="Times New Roman" w:hAnsi="Times New Roman"/>
                <w:b/>
                <w:bCs/>
                <w:color w:val="000000"/>
                <w:sz w:val="18"/>
                <w:szCs w:val="18"/>
              </w:rPr>
            </w:pPr>
          </w:p>
        </w:tc>
        <w:tc>
          <w:tcPr>
            <w:tcW w:w="279" w:type="pct"/>
            <w:gridSpan w:val="4"/>
            <w:vAlign w:val="center"/>
          </w:tcPr>
          <w:p w14:paraId="5DE89CD5">
            <w:pPr>
              <w:autoSpaceDE w:val="0"/>
              <w:autoSpaceDN w:val="0"/>
              <w:jc w:val="left"/>
              <w:rPr>
                <w:rFonts w:ascii="Times New Roman" w:hAnsi="Times New Roman"/>
                <w:b/>
                <w:bCs/>
                <w:color w:val="000000"/>
                <w:sz w:val="18"/>
                <w:szCs w:val="18"/>
              </w:rPr>
            </w:pPr>
          </w:p>
        </w:tc>
        <w:tc>
          <w:tcPr>
            <w:tcW w:w="252" w:type="pct"/>
            <w:gridSpan w:val="2"/>
            <w:vAlign w:val="center"/>
          </w:tcPr>
          <w:p w14:paraId="1060AB18">
            <w:pPr>
              <w:autoSpaceDE w:val="0"/>
              <w:autoSpaceDN w:val="0"/>
              <w:jc w:val="left"/>
              <w:rPr>
                <w:rFonts w:ascii="Times New Roman" w:hAnsi="Times New Roman"/>
                <w:b/>
                <w:bCs/>
                <w:color w:val="000000"/>
                <w:sz w:val="18"/>
                <w:szCs w:val="18"/>
              </w:rPr>
            </w:pPr>
          </w:p>
        </w:tc>
        <w:tc>
          <w:tcPr>
            <w:tcW w:w="275" w:type="pct"/>
            <w:gridSpan w:val="2"/>
            <w:vAlign w:val="center"/>
          </w:tcPr>
          <w:p w14:paraId="6D59F7B8">
            <w:pPr>
              <w:autoSpaceDE w:val="0"/>
              <w:autoSpaceDN w:val="0"/>
              <w:jc w:val="left"/>
              <w:rPr>
                <w:rFonts w:ascii="Times New Roman" w:hAnsi="Times New Roman"/>
                <w:b/>
                <w:bCs/>
                <w:color w:val="000000"/>
                <w:sz w:val="18"/>
                <w:szCs w:val="18"/>
              </w:rPr>
            </w:pPr>
          </w:p>
        </w:tc>
        <w:tc>
          <w:tcPr>
            <w:tcW w:w="269" w:type="pct"/>
            <w:gridSpan w:val="2"/>
            <w:vAlign w:val="center"/>
          </w:tcPr>
          <w:p w14:paraId="43B0E0F1">
            <w:pPr>
              <w:autoSpaceDE w:val="0"/>
              <w:autoSpaceDN w:val="0"/>
              <w:jc w:val="left"/>
              <w:rPr>
                <w:rFonts w:ascii="Times New Roman" w:hAnsi="Times New Roman"/>
                <w:b/>
                <w:bCs/>
                <w:color w:val="000000"/>
                <w:sz w:val="18"/>
                <w:szCs w:val="18"/>
              </w:rPr>
            </w:pPr>
          </w:p>
        </w:tc>
        <w:tc>
          <w:tcPr>
            <w:tcW w:w="271" w:type="pct"/>
            <w:gridSpan w:val="2"/>
            <w:vAlign w:val="center"/>
          </w:tcPr>
          <w:p w14:paraId="33CB8D6E">
            <w:pPr>
              <w:autoSpaceDE w:val="0"/>
              <w:autoSpaceDN w:val="0"/>
              <w:jc w:val="left"/>
              <w:rPr>
                <w:rFonts w:ascii="Times New Roman" w:hAnsi="Times New Roman"/>
                <w:b/>
                <w:bCs/>
                <w:color w:val="000000"/>
                <w:sz w:val="18"/>
                <w:szCs w:val="18"/>
              </w:rPr>
            </w:pPr>
          </w:p>
        </w:tc>
        <w:tc>
          <w:tcPr>
            <w:tcW w:w="335" w:type="pct"/>
            <w:vMerge w:val="continue"/>
            <w:vAlign w:val="center"/>
          </w:tcPr>
          <w:p w14:paraId="0581B67C">
            <w:pPr>
              <w:autoSpaceDE w:val="0"/>
              <w:autoSpaceDN w:val="0"/>
              <w:jc w:val="center"/>
              <w:rPr>
                <w:rFonts w:ascii="Times New Roman" w:hAnsi="Times New Roman"/>
                <w:color w:val="000000"/>
                <w:spacing w:val="-20"/>
                <w:sz w:val="18"/>
                <w:szCs w:val="18"/>
              </w:rPr>
            </w:pPr>
          </w:p>
        </w:tc>
      </w:tr>
      <w:tr w14:paraId="7E09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1403FA9">
            <w:pPr>
              <w:jc w:val="center"/>
              <w:rPr>
                <w:rFonts w:ascii="Times New Roman" w:hAnsi="Times New Roman"/>
                <w:color w:val="000000"/>
                <w:sz w:val="18"/>
                <w:szCs w:val="18"/>
              </w:rPr>
            </w:pPr>
          </w:p>
        </w:tc>
        <w:tc>
          <w:tcPr>
            <w:tcW w:w="216" w:type="pct"/>
            <w:vMerge w:val="continue"/>
            <w:vAlign w:val="center"/>
          </w:tcPr>
          <w:p w14:paraId="439B1B6F">
            <w:pPr>
              <w:jc w:val="center"/>
              <w:rPr>
                <w:rFonts w:ascii="Times New Roman" w:hAnsi="Times New Roman"/>
                <w:color w:val="000000"/>
                <w:sz w:val="18"/>
                <w:szCs w:val="18"/>
              </w:rPr>
            </w:pPr>
          </w:p>
        </w:tc>
        <w:tc>
          <w:tcPr>
            <w:tcW w:w="1680" w:type="pct"/>
            <w:gridSpan w:val="3"/>
            <w:vAlign w:val="center"/>
          </w:tcPr>
          <w:p w14:paraId="32A94B7C">
            <w:pPr>
              <w:autoSpaceDE w:val="0"/>
              <w:autoSpaceDN w:val="0"/>
              <w:jc w:val="center"/>
              <w:rPr>
                <w:rFonts w:ascii="Times New Roman" w:hAnsi="Times New Roman"/>
                <w:b/>
                <w:bCs/>
                <w:color w:val="000000"/>
                <w:sz w:val="18"/>
                <w:szCs w:val="18"/>
              </w:rPr>
            </w:pPr>
            <w:r>
              <w:rPr>
                <w:rFonts w:hint="eastAsia" w:ascii="宋体" w:cs="宋体"/>
                <w:sz w:val="18"/>
                <w:szCs w:val="18"/>
              </w:rPr>
              <w:t>前沿科技类</w:t>
            </w:r>
          </w:p>
        </w:tc>
        <w:tc>
          <w:tcPr>
            <w:tcW w:w="271" w:type="pct"/>
            <w:vAlign w:val="center"/>
          </w:tcPr>
          <w:p w14:paraId="418FEAB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4FAB513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2EE084C7">
            <w:pPr>
              <w:autoSpaceDE w:val="0"/>
              <w:autoSpaceDN w:val="0"/>
              <w:jc w:val="left"/>
              <w:rPr>
                <w:rFonts w:ascii="Times New Roman" w:hAnsi="Times New Roman"/>
                <w:b/>
                <w:bCs/>
                <w:color w:val="000000"/>
                <w:sz w:val="18"/>
                <w:szCs w:val="18"/>
              </w:rPr>
            </w:pPr>
          </w:p>
        </w:tc>
        <w:tc>
          <w:tcPr>
            <w:tcW w:w="228" w:type="pct"/>
            <w:vAlign w:val="center"/>
          </w:tcPr>
          <w:p w14:paraId="30E18E6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95" w:type="pct"/>
            <w:vAlign w:val="center"/>
          </w:tcPr>
          <w:p w14:paraId="68CAC78E">
            <w:pPr>
              <w:autoSpaceDE w:val="0"/>
              <w:autoSpaceDN w:val="0"/>
              <w:jc w:val="left"/>
              <w:rPr>
                <w:rFonts w:ascii="Times New Roman" w:hAnsi="Times New Roman"/>
                <w:b/>
                <w:bCs/>
                <w:color w:val="000000"/>
                <w:sz w:val="18"/>
                <w:szCs w:val="18"/>
              </w:rPr>
            </w:pPr>
          </w:p>
        </w:tc>
        <w:tc>
          <w:tcPr>
            <w:tcW w:w="279" w:type="pct"/>
            <w:gridSpan w:val="4"/>
            <w:vAlign w:val="center"/>
          </w:tcPr>
          <w:p w14:paraId="0C0278B9">
            <w:pPr>
              <w:autoSpaceDE w:val="0"/>
              <w:autoSpaceDN w:val="0"/>
              <w:jc w:val="left"/>
              <w:rPr>
                <w:rFonts w:ascii="Times New Roman" w:hAnsi="Times New Roman"/>
                <w:b/>
                <w:bCs/>
                <w:color w:val="000000"/>
                <w:sz w:val="18"/>
                <w:szCs w:val="18"/>
              </w:rPr>
            </w:pPr>
          </w:p>
        </w:tc>
        <w:tc>
          <w:tcPr>
            <w:tcW w:w="252" w:type="pct"/>
            <w:gridSpan w:val="2"/>
            <w:vAlign w:val="center"/>
          </w:tcPr>
          <w:p w14:paraId="1F63D1F2">
            <w:pPr>
              <w:autoSpaceDE w:val="0"/>
              <w:autoSpaceDN w:val="0"/>
              <w:jc w:val="left"/>
              <w:rPr>
                <w:rFonts w:ascii="Times New Roman" w:hAnsi="Times New Roman"/>
                <w:b/>
                <w:bCs/>
                <w:color w:val="000000"/>
                <w:sz w:val="18"/>
                <w:szCs w:val="18"/>
              </w:rPr>
            </w:pPr>
          </w:p>
        </w:tc>
        <w:tc>
          <w:tcPr>
            <w:tcW w:w="275" w:type="pct"/>
            <w:gridSpan w:val="2"/>
            <w:vAlign w:val="center"/>
          </w:tcPr>
          <w:p w14:paraId="7A4D3F3F">
            <w:pPr>
              <w:autoSpaceDE w:val="0"/>
              <w:autoSpaceDN w:val="0"/>
              <w:jc w:val="left"/>
              <w:rPr>
                <w:rFonts w:ascii="Times New Roman" w:hAnsi="Times New Roman"/>
                <w:b/>
                <w:bCs/>
                <w:color w:val="000000"/>
                <w:sz w:val="18"/>
                <w:szCs w:val="18"/>
              </w:rPr>
            </w:pPr>
          </w:p>
        </w:tc>
        <w:tc>
          <w:tcPr>
            <w:tcW w:w="269" w:type="pct"/>
            <w:gridSpan w:val="2"/>
            <w:vAlign w:val="center"/>
          </w:tcPr>
          <w:p w14:paraId="32C64F4A">
            <w:pPr>
              <w:autoSpaceDE w:val="0"/>
              <w:autoSpaceDN w:val="0"/>
              <w:jc w:val="left"/>
              <w:rPr>
                <w:rFonts w:ascii="Times New Roman" w:hAnsi="Times New Roman"/>
                <w:b/>
                <w:bCs/>
                <w:color w:val="000000"/>
                <w:sz w:val="18"/>
                <w:szCs w:val="18"/>
              </w:rPr>
            </w:pPr>
          </w:p>
        </w:tc>
        <w:tc>
          <w:tcPr>
            <w:tcW w:w="271" w:type="pct"/>
            <w:gridSpan w:val="2"/>
            <w:vAlign w:val="center"/>
          </w:tcPr>
          <w:p w14:paraId="15D81E66">
            <w:pPr>
              <w:autoSpaceDE w:val="0"/>
              <w:autoSpaceDN w:val="0"/>
              <w:jc w:val="left"/>
              <w:rPr>
                <w:rFonts w:ascii="Times New Roman" w:hAnsi="Times New Roman"/>
                <w:b/>
                <w:bCs/>
                <w:color w:val="000000"/>
                <w:sz w:val="18"/>
                <w:szCs w:val="18"/>
              </w:rPr>
            </w:pPr>
          </w:p>
        </w:tc>
        <w:tc>
          <w:tcPr>
            <w:tcW w:w="335" w:type="pct"/>
            <w:vMerge w:val="continue"/>
            <w:vAlign w:val="center"/>
          </w:tcPr>
          <w:p w14:paraId="5467F6EB">
            <w:pPr>
              <w:autoSpaceDE w:val="0"/>
              <w:autoSpaceDN w:val="0"/>
              <w:jc w:val="center"/>
              <w:rPr>
                <w:rFonts w:ascii="Times New Roman" w:hAnsi="Times New Roman"/>
                <w:color w:val="000000"/>
                <w:spacing w:val="-20"/>
                <w:sz w:val="18"/>
                <w:szCs w:val="18"/>
              </w:rPr>
            </w:pPr>
          </w:p>
        </w:tc>
      </w:tr>
      <w:tr w14:paraId="79A6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B447A67">
            <w:pPr>
              <w:jc w:val="center"/>
              <w:rPr>
                <w:rFonts w:ascii="Times New Roman" w:hAnsi="Times New Roman"/>
                <w:color w:val="000000"/>
                <w:sz w:val="18"/>
                <w:szCs w:val="18"/>
              </w:rPr>
            </w:pPr>
          </w:p>
        </w:tc>
        <w:tc>
          <w:tcPr>
            <w:tcW w:w="216" w:type="pct"/>
            <w:vMerge w:val="continue"/>
            <w:vAlign w:val="center"/>
          </w:tcPr>
          <w:p w14:paraId="53458560">
            <w:pPr>
              <w:jc w:val="center"/>
              <w:rPr>
                <w:rFonts w:ascii="Times New Roman" w:hAnsi="Times New Roman"/>
                <w:color w:val="000000"/>
                <w:sz w:val="18"/>
                <w:szCs w:val="18"/>
              </w:rPr>
            </w:pPr>
          </w:p>
        </w:tc>
        <w:tc>
          <w:tcPr>
            <w:tcW w:w="1680" w:type="pct"/>
            <w:gridSpan w:val="3"/>
            <w:vAlign w:val="center"/>
          </w:tcPr>
          <w:p w14:paraId="6DA8DDEF">
            <w:pPr>
              <w:autoSpaceDE w:val="0"/>
              <w:autoSpaceDN w:val="0"/>
              <w:jc w:val="center"/>
              <w:rPr>
                <w:rFonts w:ascii="Times New Roman" w:hAnsi="Times New Roman"/>
                <w:b/>
                <w:bCs/>
                <w:color w:val="000000"/>
                <w:sz w:val="18"/>
                <w:szCs w:val="18"/>
              </w:rPr>
            </w:pPr>
            <w:r>
              <w:rPr>
                <w:rFonts w:hint="eastAsia" w:ascii="宋体" w:cs="宋体"/>
                <w:sz w:val="18"/>
                <w:szCs w:val="18"/>
              </w:rPr>
              <w:t>马克思主义理论类</w:t>
            </w:r>
          </w:p>
        </w:tc>
        <w:tc>
          <w:tcPr>
            <w:tcW w:w="271" w:type="pct"/>
            <w:vAlign w:val="center"/>
          </w:tcPr>
          <w:p w14:paraId="1F0FCB3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1C9526F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262205AA">
            <w:pPr>
              <w:autoSpaceDE w:val="0"/>
              <w:autoSpaceDN w:val="0"/>
              <w:jc w:val="left"/>
              <w:rPr>
                <w:rFonts w:ascii="Times New Roman" w:hAnsi="Times New Roman"/>
                <w:b/>
                <w:bCs/>
                <w:color w:val="000000"/>
                <w:sz w:val="18"/>
                <w:szCs w:val="18"/>
              </w:rPr>
            </w:pPr>
          </w:p>
        </w:tc>
        <w:tc>
          <w:tcPr>
            <w:tcW w:w="228" w:type="pct"/>
            <w:vAlign w:val="center"/>
          </w:tcPr>
          <w:p w14:paraId="2FEABA4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95" w:type="pct"/>
            <w:vAlign w:val="center"/>
          </w:tcPr>
          <w:p w14:paraId="1F9F06B3">
            <w:pPr>
              <w:autoSpaceDE w:val="0"/>
              <w:autoSpaceDN w:val="0"/>
              <w:jc w:val="left"/>
              <w:rPr>
                <w:rFonts w:ascii="Times New Roman" w:hAnsi="Times New Roman"/>
                <w:b/>
                <w:bCs/>
                <w:color w:val="000000"/>
                <w:sz w:val="18"/>
                <w:szCs w:val="18"/>
              </w:rPr>
            </w:pPr>
          </w:p>
        </w:tc>
        <w:tc>
          <w:tcPr>
            <w:tcW w:w="279" w:type="pct"/>
            <w:gridSpan w:val="4"/>
            <w:vAlign w:val="center"/>
          </w:tcPr>
          <w:p w14:paraId="6D3E3182">
            <w:pPr>
              <w:autoSpaceDE w:val="0"/>
              <w:autoSpaceDN w:val="0"/>
              <w:jc w:val="left"/>
              <w:rPr>
                <w:rFonts w:ascii="Times New Roman" w:hAnsi="Times New Roman"/>
                <w:b/>
                <w:bCs/>
                <w:color w:val="000000"/>
                <w:sz w:val="18"/>
                <w:szCs w:val="18"/>
              </w:rPr>
            </w:pPr>
          </w:p>
        </w:tc>
        <w:tc>
          <w:tcPr>
            <w:tcW w:w="252" w:type="pct"/>
            <w:gridSpan w:val="2"/>
            <w:vAlign w:val="center"/>
          </w:tcPr>
          <w:p w14:paraId="43A87A47">
            <w:pPr>
              <w:autoSpaceDE w:val="0"/>
              <w:autoSpaceDN w:val="0"/>
              <w:jc w:val="left"/>
              <w:rPr>
                <w:rFonts w:ascii="Times New Roman" w:hAnsi="Times New Roman"/>
                <w:b/>
                <w:bCs/>
                <w:color w:val="000000"/>
                <w:sz w:val="18"/>
                <w:szCs w:val="18"/>
              </w:rPr>
            </w:pPr>
          </w:p>
        </w:tc>
        <w:tc>
          <w:tcPr>
            <w:tcW w:w="275" w:type="pct"/>
            <w:gridSpan w:val="2"/>
            <w:vAlign w:val="center"/>
          </w:tcPr>
          <w:p w14:paraId="2E3763EE">
            <w:pPr>
              <w:autoSpaceDE w:val="0"/>
              <w:autoSpaceDN w:val="0"/>
              <w:jc w:val="left"/>
              <w:rPr>
                <w:rFonts w:ascii="Times New Roman" w:hAnsi="Times New Roman"/>
                <w:b/>
                <w:bCs/>
                <w:color w:val="000000"/>
                <w:sz w:val="18"/>
                <w:szCs w:val="18"/>
              </w:rPr>
            </w:pPr>
          </w:p>
        </w:tc>
        <w:tc>
          <w:tcPr>
            <w:tcW w:w="269" w:type="pct"/>
            <w:gridSpan w:val="2"/>
            <w:vAlign w:val="center"/>
          </w:tcPr>
          <w:p w14:paraId="4B67A199">
            <w:pPr>
              <w:autoSpaceDE w:val="0"/>
              <w:autoSpaceDN w:val="0"/>
              <w:jc w:val="left"/>
              <w:rPr>
                <w:rFonts w:ascii="Times New Roman" w:hAnsi="Times New Roman"/>
                <w:b/>
                <w:bCs/>
                <w:color w:val="000000"/>
                <w:sz w:val="18"/>
                <w:szCs w:val="18"/>
              </w:rPr>
            </w:pPr>
          </w:p>
        </w:tc>
        <w:tc>
          <w:tcPr>
            <w:tcW w:w="271" w:type="pct"/>
            <w:gridSpan w:val="2"/>
            <w:vAlign w:val="center"/>
          </w:tcPr>
          <w:p w14:paraId="1F985657">
            <w:pPr>
              <w:autoSpaceDE w:val="0"/>
              <w:autoSpaceDN w:val="0"/>
              <w:jc w:val="left"/>
              <w:rPr>
                <w:rFonts w:ascii="Times New Roman" w:hAnsi="Times New Roman"/>
                <w:b/>
                <w:bCs/>
                <w:color w:val="000000"/>
                <w:sz w:val="18"/>
                <w:szCs w:val="18"/>
              </w:rPr>
            </w:pPr>
          </w:p>
        </w:tc>
        <w:tc>
          <w:tcPr>
            <w:tcW w:w="335" w:type="pct"/>
            <w:vMerge w:val="continue"/>
            <w:vAlign w:val="center"/>
          </w:tcPr>
          <w:p w14:paraId="6FBA43CB">
            <w:pPr>
              <w:autoSpaceDE w:val="0"/>
              <w:autoSpaceDN w:val="0"/>
              <w:jc w:val="center"/>
              <w:rPr>
                <w:rFonts w:ascii="Times New Roman" w:hAnsi="Times New Roman"/>
                <w:color w:val="000000"/>
                <w:spacing w:val="-20"/>
                <w:sz w:val="18"/>
                <w:szCs w:val="18"/>
              </w:rPr>
            </w:pPr>
          </w:p>
        </w:tc>
      </w:tr>
      <w:tr w14:paraId="4694A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E5764CA">
            <w:pPr>
              <w:jc w:val="center"/>
              <w:rPr>
                <w:rFonts w:ascii="Times New Roman" w:hAnsi="Times New Roman"/>
                <w:color w:val="000000"/>
                <w:sz w:val="18"/>
                <w:szCs w:val="18"/>
              </w:rPr>
            </w:pPr>
          </w:p>
        </w:tc>
        <w:tc>
          <w:tcPr>
            <w:tcW w:w="216" w:type="pct"/>
            <w:vMerge w:val="continue"/>
            <w:vAlign w:val="center"/>
          </w:tcPr>
          <w:p w14:paraId="6548A88F">
            <w:pPr>
              <w:jc w:val="center"/>
              <w:rPr>
                <w:rFonts w:ascii="Times New Roman" w:hAnsi="Times New Roman"/>
                <w:color w:val="000000"/>
                <w:sz w:val="18"/>
                <w:szCs w:val="18"/>
              </w:rPr>
            </w:pPr>
          </w:p>
        </w:tc>
        <w:tc>
          <w:tcPr>
            <w:tcW w:w="1680" w:type="pct"/>
            <w:gridSpan w:val="3"/>
            <w:vAlign w:val="center"/>
          </w:tcPr>
          <w:p w14:paraId="21CD0C28">
            <w:pPr>
              <w:autoSpaceDE w:val="0"/>
              <w:autoSpaceDN w:val="0"/>
              <w:jc w:val="center"/>
              <w:rPr>
                <w:rFonts w:ascii="Times New Roman" w:hAnsi="Times New Roman"/>
                <w:b/>
                <w:bCs/>
                <w:color w:val="000000"/>
                <w:sz w:val="18"/>
                <w:szCs w:val="18"/>
              </w:rPr>
            </w:pPr>
            <w:r>
              <w:rPr>
                <w:rFonts w:hint="eastAsia" w:ascii="宋体" w:cs="宋体"/>
                <w:sz w:val="18"/>
                <w:szCs w:val="18"/>
              </w:rPr>
              <w:t>党史国史类</w:t>
            </w:r>
          </w:p>
        </w:tc>
        <w:tc>
          <w:tcPr>
            <w:tcW w:w="271" w:type="pct"/>
            <w:vAlign w:val="center"/>
          </w:tcPr>
          <w:p w14:paraId="03608A3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6418864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26ECB11D">
            <w:pPr>
              <w:autoSpaceDE w:val="0"/>
              <w:autoSpaceDN w:val="0"/>
              <w:jc w:val="left"/>
              <w:rPr>
                <w:rFonts w:ascii="Times New Roman" w:hAnsi="Times New Roman"/>
                <w:b/>
                <w:bCs/>
                <w:color w:val="000000"/>
                <w:sz w:val="18"/>
                <w:szCs w:val="18"/>
              </w:rPr>
            </w:pPr>
          </w:p>
        </w:tc>
        <w:tc>
          <w:tcPr>
            <w:tcW w:w="228" w:type="pct"/>
            <w:vAlign w:val="center"/>
          </w:tcPr>
          <w:p w14:paraId="5F20AF7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95" w:type="pct"/>
            <w:vAlign w:val="center"/>
          </w:tcPr>
          <w:p w14:paraId="491CFBF3">
            <w:pPr>
              <w:autoSpaceDE w:val="0"/>
              <w:autoSpaceDN w:val="0"/>
              <w:jc w:val="left"/>
              <w:rPr>
                <w:rFonts w:ascii="Times New Roman" w:hAnsi="Times New Roman"/>
                <w:b/>
                <w:bCs/>
                <w:color w:val="000000"/>
                <w:sz w:val="18"/>
                <w:szCs w:val="18"/>
              </w:rPr>
            </w:pPr>
          </w:p>
        </w:tc>
        <w:tc>
          <w:tcPr>
            <w:tcW w:w="279" w:type="pct"/>
            <w:gridSpan w:val="4"/>
            <w:vAlign w:val="center"/>
          </w:tcPr>
          <w:p w14:paraId="0A917316">
            <w:pPr>
              <w:autoSpaceDE w:val="0"/>
              <w:autoSpaceDN w:val="0"/>
              <w:jc w:val="left"/>
              <w:rPr>
                <w:rFonts w:ascii="Times New Roman" w:hAnsi="Times New Roman"/>
                <w:b/>
                <w:bCs/>
                <w:color w:val="000000"/>
                <w:sz w:val="18"/>
                <w:szCs w:val="18"/>
              </w:rPr>
            </w:pPr>
          </w:p>
        </w:tc>
        <w:tc>
          <w:tcPr>
            <w:tcW w:w="252" w:type="pct"/>
            <w:gridSpan w:val="2"/>
            <w:vAlign w:val="center"/>
          </w:tcPr>
          <w:p w14:paraId="70606D4D">
            <w:pPr>
              <w:autoSpaceDE w:val="0"/>
              <w:autoSpaceDN w:val="0"/>
              <w:jc w:val="left"/>
              <w:rPr>
                <w:rFonts w:ascii="Times New Roman" w:hAnsi="Times New Roman"/>
                <w:b/>
                <w:bCs/>
                <w:color w:val="000000"/>
                <w:sz w:val="18"/>
                <w:szCs w:val="18"/>
              </w:rPr>
            </w:pPr>
          </w:p>
        </w:tc>
        <w:tc>
          <w:tcPr>
            <w:tcW w:w="275" w:type="pct"/>
            <w:gridSpan w:val="2"/>
            <w:vAlign w:val="center"/>
          </w:tcPr>
          <w:p w14:paraId="1B881734">
            <w:pPr>
              <w:autoSpaceDE w:val="0"/>
              <w:autoSpaceDN w:val="0"/>
              <w:jc w:val="left"/>
              <w:rPr>
                <w:rFonts w:ascii="Times New Roman" w:hAnsi="Times New Roman"/>
                <w:b/>
                <w:bCs/>
                <w:color w:val="000000"/>
                <w:sz w:val="18"/>
                <w:szCs w:val="18"/>
              </w:rPr>
            </w:pPr>
          </w:p>
        </w:tc>
        <w:tc>
          <w:tcPr>
            <w:tcW w:w="269" w:type="pct"/>
            <w:gridSpan w:val="2"/>
            <w:vAlign w:val="center"/>
          </w:tcPr>
          <w:p w14:paraId="1976925B">
            <w:pPr>
              <w:autoSpaceDE w:val="0"/>
              <w:autoSpaceDN w:val="0"/>
              <w:jc w:val="left"/>
              <w:rPr>
                <w:rFonts w:ascii="Times New Roman" w:hAnsi="Times New Roman"/>
                <w:b/>
                <w:bCs/>
                <w:color w:val="000000"/>
                <w:sz w:val="18"/>
                <w:szCs w:val="18"/>
              </w:rPr>
            </w:pPr>
          </w:p>
        </w:tc>
        <w:tc>
          <w:tcPr>
            <w:tcW w:w="271" w:type="pct"/>
            <w:gridSpan w:val="2"/>
            <w:vAlign w:val="center"/>
          </w:tcPr>
          <w:p w14:paraId="719AC93F">
            <w:pPr>
              <w:autoSpaceDE w:val="0"/>
              <w:autoSpaceDN w:val="0"/>
              <w:jc w:val="left"/>
              <w:rPr>
                <w:rFonts w:ascii="Times New Roman" w:hAnsi="Times New Roman"/>
                <w:b/>
                <w:bCs/>
                <w:color w:val="000000"/>
                <w:sz w:val="18"/>
                <w:szCs w:val="18"/>
              </w:rPr>
            </w:pPr>
          </w:p>
        </w:tc>
        <w:tc>
          <w:tcPr>
            <w:tcW w:w="335" w:type="pct"/>
            <w:vMerge w:val="continue"/>
            <w:vAlign w:val="center"/>
          </w:tcPr>
          <w:p w14:paraId="3BC3D70E">
            <w:pPr>
              <w:autoSpaceDE w:val="0"/>
              <w:autoSpaceDN w:val="0"/>
              <w:jc w:val="center"/>
              <w:rPr>
                <w:rFonts w:ascii="Times New Roman" w:hAnsi="Times New Roman"/>
                <w:color w:val="000000"/>
                <w:spacing w:val="-20"/>
                <w:sz w:val="18"/>
                <w:szCs w:val="18"/>
              </w:rPr>
            </w:pPr>
          </w:p>
        </w:tc>
      </w:tr>
      <w:tr w14:paraId="15485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165F596D">
            <w:pPr>
              <w:jc w:val="center"/>
              <w:rPr>
                <w:rFonts w:ascii="Times New Roman" w:hAnsi="Times New Roman"/>
                <w:color w:val="000000"/>
                <w:sz w:val="18"/>
                <w:szCs w:val="18"/>
              </w:rPr>
            </w:pPr>
          </w:p>
        </w:tc>
        <w:tc>
          <w:tcPr>
            <w:tcW w:w="216" w:type="pct"/>
            <w:vMerge w:val="continue"/>
            <w:vAlign w:val="center"/>
          </w:tcPr>
          <w:p w14:paraId="433BA76D">
            <w:pPr>
              <w:jc w:val="center"/>
              <w:rPr>
                <w:rFonts w:ascii="Times New Roman" w:hAnsi="Times New Roman"/>
                <w:color w:val="000000"/>
                <w:sz w:val="18"/>
                <w:szCs w:val="18"/>
              </w:rPr>
            </w:pPr>
          </w:p>
        </w:tc>
        <w:tc>
          <w:tcPr>
            <w:tcW w:w="1680" w:type="pct"/>
            <w:gridSpan w:val="3"/>
            <w:vAlign w:val="center"/>
          </w:tcPr>
          <w:p w14:paraId="40165E91">
            <w:pPr>
              <w:autoSpaceDE w:val="0"/>
              <w:autoSpaceDN w:val="0"/>
              <w:jc w:val="center"/>
              <w:rPr>
                <w:rFonts w:ascii="Times New Roman" w:hAnsi="Times New Roman"/>
                <w:b/>
                <w:bCs/>
                <w:color w:val="000000"/>
                <w:sz w:val="18"/>
                <w:szCs w:val="18"/>
              </w:rPr>
            </w:pPr>
            <w:r>
              <w:rPr>
                <w:rFonts w:hint="eastAsia" w:ascii="宋体" w:cs="宋体"/>
                <w:sz w:val="18"/>
                <w:szCs w:val="18"/>
              </w:rPr>
              <w:t>传统文化类</w:t>
            </w:r>
          </w:p>
        </w:tc>
        <w:tc>
          <w:tcPr>
            <w:tcW w:w="271" w:type="pct"/>
            <w:vAlign w:val="center"/>
          </w:tcPr>
          <w:p w14:paraId="495ECAE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4E991A0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66067085">
            <w:pPr>
              <w:autoSpaceDE w:val="0"/>
              <w:autoSpaceDN w:val="0"/>
              <w:jc w:val="left"/>
              <w:rPr>
                <w:rFonts w:ascii="Times New Roman" w:hAnsi="Times New Roman"/>
                <w:b/>
                <w:bCs/>
                <w:color w:val="000000"/>
                <w:sz w:val="18"/>
                <w:szCs w:val="18"/>
              </w:rPr>
            </w:pPr>
          </w:p>
        </w:tc>
        <w:tc>
          <w:tcPr>
            <w:tcW w:w="228" w:type="pct"/>
            <w:vAlign w:val="center"/>
          </w:tcPr>
          <w:p w14:paraId="2606820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95" w:type="pct"/>
            <w:vAlign w:val="center"/>
          </w:tcPr>
          <w:p w14:paraId="3598892C">
            <w:pPr>
              <w:autoSpaceDE w:val="0"/>
              <w:autoSpaceDN w:val="0"/>
              <w:jc w:val="left"/>
              <w:rPr>
                <w:rFonts w:ascii="Times New Roman" w:hAnsi="Times New Roman"/>
                <w:b/>
                <w:bCs/>
                <w:color w:val="000000"/>
                <w:sz w:val="18"/>
                <w:szCs w:val="18"/>
              </w:rPr>
            </w:pPr>
          </w:p>
        </w:tc>
        <w:tc>
          <w:tcPr>
            <w:tcW w:w="279" w:type="pct"/>
            <w:gridSpan w:val="4"/>
            <w:vAlign w:val="center"/>
          </w:tcPr>
          <w:p w14:paraId="367CF7B3">
            <w:pPr>
              <w:autoSpaceDE w:val="0"/>
              <w:autoSpaceDN w:val="0"/>
              <w:jc w:val="left"/>
              <w:rPr>
                <w:rFonts w:ascii="Times New Roman" w:hAnsi="Times New Roman"/>
                <w:b/>
                <w:bCs/>
                <w:color w:val="000000"/>
                <w:sz w:val="18"/>
                <w:szCs w:val="18"/>
              </w:rPr>
            </w:pPr>
          </w:p>
        </w:tc>
        <w:tc>
          <w:tcPr>
            <w:tcW w:w="252" w:type="pct"/>
            <w:gridSpan w:val="2"/>
            <w:vAlign w:val="center"/>
          </w:tcPr>
          <w:p w14:paraId="24779315">
            <w:pPr>
              <w:autoSpaceDE w:val="0"/>
              <w:autoSpaceDN w:val="0"/>
              <w:jc w:val="left"/>
              <w:rPr>
                <w:rFonts w:ascii="Times New Roman" w:hAnsi="Times New Roman"/>
                <w:b/>
                <w:bCs/>
                <w:color w:val="000000"/>
                <w:sz w:val="18"/>
                <w:szCs w:val="18"/>
              </w:rPr>
            </w:pPr>
          </w:p>
        </w:tc>
        <w:tc>
          <w:tcPr>
            <w:tcW w:w="275" w:type="pct"/>
            <w:gridSpan w:val="2"/>
            <w:vAlign w:val="center"/>
          </w:tcPr>
          <w:p w14:paraId="74DCC718">
            <w:pPr>
              <w:autoSpaceDE w:val="0"/>
              <w:autoSpaceDN w:val="0"/>
              <w:jc w:val="left"/>
              <w:rPr>
                <w:rFonts w:ascii="Times New Roman" w:hAnsi="Times New Roman"/>
                <w:b/>
                <w:bCs/>
                <w:color w:val="000000"/>
                <w:sz w:val="18"/>
                <w:szCs w:val="18"/>
              </w:rPr>
            </w:pPr>
          </w:p>
        </w:tc>
        <w:tc>
          <w:tcPr>
            <w:tcW w:w="269" w:type="pct"/>
            <w:gridSpan w:val="2"/>
            <w:vAlign w:val="center"/>
          </w:tcPr>
          <w:p w14:paraId="2DD5ABBB">
            <w:pPr>
              <w:autoSpaceDE w:val="0"/>
              <w:autoSpaceDN w:val="0"/>
              <w:jc w:val="left"/>
              <w:rPr>
                <w:rFonts w:ascii="Times New Roman" w:hAnsi="Times New Roman"/>
                <w:b/>
                <w:bCs/>
                <w:color w:val="000000"/>
                <w:sz w:val="18"/>
                <w:szCs w:val="18"/>
              </w:rPr>
            </w:pPr>
          </w:p>
        </w:tc>
        <w:tc>
          <w:tcPr>
            <w:tcW w:w="271" w:type="pct"/>
            <w:gridSpan w:val="2"/>
            <w:vAlign w:val="center"/>
          </w:tcPr>
          <w:p w14:paraId="72B425CA">
            <w:pPr>
              <w:autoSpaceDE w:val="0"/>
              <w:autoSpaceDN w:val="0"/>
              <w:jc w:val="left"/>
              <w:rPr>
                <w:rFonts w:ascii="Times New Roman" w:hAnsi="Times New Roman"/>
                <w:b/>
                <w:bCs/>
                <w:color w:val="000000"/>
                <w:sz w:val="18"/>
                <w:szCs w:val="18"/>
              </w:rPr>
            </w:pPr>
          </w:p>
        </w:tc>
        <w:tc>
          <w:tcPr>
            <w:tcW w:w="335" w:type="pct"/>
            <w:vMerge w:val="continue"/>
            <w:vAlign w:val="center"/>
          </w:tcPr>
          <w:p w14:paraId="6A404B1D">
            <w:pPr>
              <w:autoSpaceDE w:val="0"/>
              <w:autoSpaceDN w:val="0"/>
              <w:jc w:val="center"/>
              <w:rPr>
                <w:rFonts w:ascii="Times New Roman" w:hAnsi="Times New Roman"/>
                <w:color w:val="000000"/>
                <w:spacing w:val="-20"/>
                <w:sz w:val="18"/>
                <w:szCs w:val="18"/>
              </w:rPr>
            </w:pPr>
          </w:p>
        </w:tc>
      </w:tr>
      <w:tr w14:paraId="241B2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814C208">
            <w:pPr>
              <w:jc w:val="center"/>
              <w:rPr>
                <w:rFonts w:ascii="Times New Roman" w:hAnsi="Times New Roman"/>
                <w:color w:val="000000"/>
                <w:sz w:val="18"/>
                <w:szCs w:val="18"/>
              </w:rPr>
            </w:pPr>
          </w:p>
        </w:tc>
        <w:tc>
          <w:tcPr>
            <w:tcW w:w="216" w:type="pct"/>
            <w:vMerge w:val="continue"/>
            <w:vAlign w:val="center"/>
          </w:tcPr>
          <w:p w14:paraId="1843E16C">
            <w:pPr>
              <w:jc w:val="center"/>
              <w:rPr>
                <w:rFonts w:ascii="Times New Roman" w:hAnsi="Times New Roman"/>
                <w:color w:val="000000"/>
                <w:sz w:val="18"/>
                <w:szCs w:val="18"/>
              </w:rPr>
            </w:pPr>
          </w:p>
        </w:tc>
        <w:tc>
          <w:tcPr>
            <w:tcW w:w="1680" w:type="pct"/>
            <w:gridSpan w:val="3"/>
            <w:vAlign w:val="center"/>
          </w:tcPr>
          <w:p w14:paraId="3B60A9ED">
            <w:pPr>
              <w:autoSpaceDE w:val="0"/>
              <w:autoSpaceDN w:val="0"/>
              <w:jc w:val="center"/>
              <w:rPr>
                <w:rFonts w:ascii="Times New Roman" w:hAnsi="Times New Roman"/>
                <w:b/>
                <w:bCs/>
                <w:color w:val="000000"/>
                <w:sz w:val="18"/>
                <w:szCs w:val="18"/>
              </w:rPr>
            </w:pPr>
            <w:r>
              <w:rPr>
                <w:rFonts w:hint="eastAsia" w:ascii="宋体" w:cs="宋体"/>
                <w:sz w:val="18"/>
                <w:szCs w:val="18"/>
              </w:rPr>
              <w:t>身心健康类</w:t>
            </w:r>
          </w:p>
        </w:tc>
        <w:tc>
          <w:tcPr>
            <w:tcW w:w="271" w:type="pct"/>
            <w:vAlign w:val="center"/>
          </w:tcPr>
          <w:p w14:paraId="683228E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6A988A2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4CF16276">
            <w:pPr>
              <w:autoSpaceDE w:val="0"/>
              <w:autoSpaceDN w:val="0"/>
              <w:jc w:val="left"/>
              <w:rPr>
                <w:rFonts w:ascii="Times New Roman" w:hAnsi="Times New Roman"/>
                <w:b/>
                <w:bCs/>
                <w:color w:val="000000"/>
                <w:sz w:val="18"/>
                <w:szCs w:val="18"/>
              </w:rPr>
            </w:pPr>
          </w:p>
        </w:tc>
        <w:tc>
          <w:tcPr>
            <w:tcW w:w="228" w:type="pct"/>
            <w:vAlign w:val="center"/>
          </w:tcPr>
          <w:p w14:paraId="0D5D231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95" w:type="pct"/>
            <w:vAlign w:val="center"/>
          </w:tcPr>
          <w:p w14:paraId="2F8519E5">
            <w:pPr>
              <w:autoSpaceDE w:val="0"/>
              <w:autoSpaceDN w:val="0"/>
              <w:jc w:val="left"/>
              <w:rPr>
                <w:rFonts w:ascii="Times New Roman" w:hAnsi="Times New Roman"/>
                <w:b/>
                <w:bCs/>
                <w:color w:val="000000"/>
                <w:sz w:val="18"/>
                <w:szCs w:val="18"/>
              </w:rPr>
            </w:pPr>
          </w:p>
        </w:tc>
        <w:tc>
          <w:tcPr>
            <w:tcW w:w="279" w:type="pct"/>
            <w:gridSpan w:val="4"/>
            <w:vAlign w:val="center"/>
          </w:tcPr>
          <w:p w14:paraId="5E25791A">
            <w:pPr>
              <w:autoSpaceDE w:val="0"/>
              <w:autoSpaceDN w:val="0"/>
              <w:jc w:val="left"/>
              <w:rPr>
                <w:rFonts w:ascii="Times New Roman" w:hAnsi="Times New Roman"/>
                <w:b/>
                <w:bCs/>
                <w:color w:val="000000"/>
                <w:sz w:val="18"/>
                <w:szCs w:val="18"/>
              </w:rPr>
            </w:pPr>
          </w:p>
        </w:tc>
        <w:tc>
          <w:tcPr>
            <w:tcW w:w="252" w:type="pct"/>
            <w:gridSpan w:val="2"/>
            <w:vAlign w:val="center"/>
          </w:tcPr>
          <w:p w14:paraId="0B172829">
            <w:pPr>
              <w:autoSpaceDE w:val="0"/>
              <w:autoSpaceDN w:val="0"/>
              <w:jc w:val="left"/>
              <w:rPr>
                <w:rFonts w:ascii="Times New Roman" w:hAnsi="Times New Roman"/>
                <w:b/>
                <w:bCs/>
                <w:color w:val="000000"/>
                <w:sz w:val="18"/>
                <w:szCs w:val="18"/>
              </w:rPr>
            </w:pPr>
          </w:p>
        </w:tc>
        <w:tc>
          <w:tcPr>
            <w:tcW w:w="275" w:type="pct"/>
            <w:gridSpan w:val="2"/>
            <w:vAlign w:val="center"/>
          </w:tcPr>
          <w:p w14:paraId="0E37BB3E">
            <w:pPr>
              <w:autoSpaceDE w:val="0"/>
              <w:autoSpaceDN w:val="0"/>
              <w:jc w:val="left"/>
              <w:rPr>
                <w:rFonts w:ascii="Times New Roman" w:hAnsi="Times New Roman"/>
                <w:b/>
                <w:bCs/>
                <w:color w:val="000000"/>
                <w:sz w:val="18"/>
                <w:szCs w:val="18"/>
              </w:rPr>
            </w:pPr>
          </w:p>
        </w:tc>
        <w:tc>
          <w:tcPr>
            <w:tcW w:w="269" w:type="pct"/>
            <w:gridSpan w:val="2"/>
            <w:vAlign w:val="center"/>
          </w:tcPr>
          <w:p w14:paraId="36146EA7">
            <w:pPr>
              <w:autoSpaceDE w:val="0"/>
              <w:autoSpaceDN w:val="0"/>
              <w:jc w:val="left"/>
              <w:rPr>
                <w:rFonts w:ascii="Times New Roman" w:hAnsi="Times New Roman"/>
                <w:b/>
                <w:bCs/>
                <w:color w:val="000000"/>
                <w:sz w:val="18"/>
                <w:szCs w:val="18"/>
              </w:rPr>
            </w:pPr>
          </w:p>
        </w:tc>
        <w:tc>
          <w:tcPr>
            <w:tcW w:w="271" w:type="pct"/>
            <w:gridSpan w:val="2"/>
            <w:vAlign w:val="center"/>
          </w:tcPr>
          <w:p w14:paraId="2ECA2D84">
            <w:pPr>
              <w:autoSpaceDE w:val="0"/>
              <w:autoSpaceDN w:val="0"/>
              <w:jc w:val="left"/>
              <w:rPr>
                <w:rFonts w:ascii="Times New Roman" w:hAnsi="Times New Roman"/>
                <w:b/>
                <w:bCs/>
                <w:color w:val="000000"/>
                <w:sz w:val="18"/>
                <w:szCs w:val="18"/>
              </w:rPr>
            </w:pPr>
          </w:p>
        </w:tc>
        <w:tc>
          <w:tcPr>
            <w:tcW w:w="335" w:type="pct"/>
            <w:vMerge w:val="continue"/>
            <w:vAlign w:val="center"/>
          </w:tcPr>
          <w:p w14:paraId="3CE518C4">
            <w:pPr>
              <w:autoSpaceDE w:val="0"/>
              <w:autoSpaceDN w:val="0"/>
              <w:jc w:val="center"/>
              <w:rPr>
                <w:rFonts w:ascii="Times New Roman" w:hAnsi="Times New Roman"/>
                <w:color w:val="000000"/>
                <w:spacing w:val="-20"/>
                <w:sz w:val="18"/>
                <w:szCs w:val="18"/>
              </w:rPr>
            </w:pPr>
          </w:p>
        </w:tc>
      </w:tr>
      <w:tr w14:paraId="06B0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1884E51B">
            <w:pPr>
              <w:jc w:val="center"/>
              <w:rPr>
                <w:rFonts w:ascii="Times New Roman" w:hAnsi="Times New Roman"/>
                <w:color w:val="000000"/>
                <w:sz w:val="18"/>
                <w:szCs w:val="18"/>
              </w:rPr>
            </w:pPr>
          </w:p>
        </w:tc>
        <w:tc>
          <w:tcPr>
            <w:tcW w:w="216" w:type="pct"/>
            <w:vMerge w:val="continue"/>
            <w:vAlign w:val="center"/>
          </w:tcPr>
          <w:p w14:paraId="4D423988">
            <w:pPr>
              <w:jc w:val="center"/>
              <w:rPr>
                <w:rFonts w:ascii="Times New Roman" w:hAnsi="Times New Roman"/>
                <w:color w:val="000000"/>
                <w:sz w:val="18"/>
                <w:szCs w:val="18"/>
              </w:rPr>
            </w:pPr>
          </w:p>
        </w:tc>
        <w:tc>
          <w:tcPr>
            <w:tcW w:w="1680" w:type="pct"/>
            <w:gridSpan w:val="3"/>
            <w:vAlign w:val="center"/>
          </w:tcPr>
          <w:p w14:paraId="6B608073">
            <w:pPr>
              <w:autoSpaceDE w:val="0"/>
              <w:autoSpaceDN w:val="0"/>
              <w:jc w:val="center"/>
              <w:rPr>
                <w:rFonts w:ascii="Times New Roman" w:hAnsi="Times New Roman"/>
                <w:b/>
                <w:bCs/>
                <w:color w:val="000000"/>
                <w:sz w:val="18"/>
                <w:szCs w:val="18"/>
              </w:rPr>
            </w:pPr>
            <w:r>
              <w:rPr>
                <w:rFonts w:hint="eastAsia" w:ascii="宋体" w:cs="宋体"/>
                <w:sz w:val="18"/>
                <w:szCs w:val="18"/>
              </w:rPr>
              <w:t>职业素养类</w:t>
            </w:r>
          </w:p>
        </w:tc>
        <w:tc>
          <w:tcPr>
            <w:tcW w:w="271" w:type="pct"/>
            <w:vAlign w:val="center"/>
          </w:tcPr>
          <w:p w14:paraId="46DFEAA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24D6A9D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1348FD4C">
            <w:pPr>
              <w:autoSpaceDE w:val="0"/>
              <w:autoSpaceDN w:val="0"/>
              <w:jc w:val="left"/>
              <w:rPr>
                <w:rFonts w:ascii="Times New Roman" w:hAnsi="Times New Roman"/>
                <w:b/>
                <w:bCs/>
                <w:color w:val="000000"/>
                <w:sz w:val="18"/>
                <w:szCs w:val="18"/>
              </w:rPr>
            </w:pPr>
          </w:p>
        </w:tc>
        <w:tc>
          <w:tcPr>
            <w:tcW w:w="228" w:type="pct"/>
            <w:vAlign w:val="center"/>
          </w:tcPr>
          <w:p w14:paraId="4DAD6C78">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95" w:type="pct"/>
            <w:vAlign w:val="center"/>
          </w:tcPr>
          <w:p w14:paraId="7B19BAE1">
            <w:pPr>
              <w:autoSpaceDE w:val="0"/>
              <w:autoSpaceDN w:val="0"/>
              <w:jc w:val="left"/>
              <w:rPr>
                <w:rFonts w:ascii="Times New Roman" w:hAnsi="Times New Roman"/>
                <w:b/>
                <w:bCs/>
                <w:color w:val="000000"/>
                <w:sz w:val="18"/>
                <w:szCs w:val="18"/>
              </w:rPr>
            </w:pPr>
          </w:p>
        </w:tc>
        <w:tc>
          <w:tcPr>
            <w:tcW w:w="279" w:type="pct"/>
            <w:gridSpan w:val="4"/>
            <w:vAlign w:val="center"/>
          </w:tcPr>
          <w:p w14:paraId="341A52D6">
            <w:pPr>
              <w:autoSpaceDE w:val="0"/>
              <w:autoSpaceDN w:val="0"/>
              <w:jc w:val="left"/>
              <w:rPr>
                <w:rFonts w:ascii="Times New Roman" w:hAnsi="Times New Roman"/>
                <w:b/>
                <w:bCs/>
                <w:color w:val="000000"/>
                <w:sz w:val="18"/>
                <w:szCs w:val="18"/>
              </w:rPr>
            </w:pPr>
          </w:p>
        </w:tc>
        <w:tc>
          <w:tcPr>
            <w:tcW w:w="252" w:type="pct"/>
            <w:gridSpan w:val="2"/>
            <w:vAlign w:val="center"/>
          </w:tcPr>
          <w:p w14:paraId="0B48CE02">
            <w:pPr>
              <w:autoSpaceDE w:val="0"/>
              <w:autoSpaceDN w:val="0"/>
              <w:jc w:val="left"/>
              <w:rPr>
                <w:rFonts w:ascii="Times New Roman" w:hAnsi="Times New Roman"/>
                <w:b/>
                <w:bCs/>
                <w:color w:val="000000"/>
                <w:sz w:val="18"/>
                <w:szCs w:val="18"/>
              </w:rPr>
            </w:pPr>
          </w:p>
        </w:tc>
        <w:tc>
          <w:tcPr>
            <w:tcW w:w="275" w:type="pct"/>
            <w:gridSpan w:val="2"/>
            <w:vAlign w:val="center"/>
          </w:tcPr>
          <w:p w14:paraId="1F24E3BD">
            <w:pPr>
              <w:autoSpaceDE w:val="0"/>
              <w:autoSpaceDN w:val="0"/>
              <w:jc w:val="left"/>
              <w:rPr>
                <w:rFonts w:ascii="Times New Roman" w:hAnsi="Times New Roman"/>
                <w:b/>
                <w:bCs/>
                <w:color w:val="000000"/>
                <w:sz w:val="18"/>
                <w:szCs w:val="18"/>
              </w:rPr>
            </w:pPr>
          </w:p>
        </w:tc>
        <w:tc>
          <w:tcPr>
            <w:tcW w:w="269" w:type="pct"/>
            <w:gridSpan w:val="2"/>
            <w:vAlign w:val="center"/>
          </w:tcPr>
          <w:p w14:paraId="11B4B342">
            <w:pPr>
              <w:autoSpaceDE w:val="0"/>
              <w:autoSpaceDN w:val="0"/>
              <w:jc w:val="left"/>
              <w:rPr>
                <w:rFonts w:ascii="Times New Roman" w:hAnsi="Times New Roman"/>
                <w:b/>
                <w:bCs/>
                <w:color w:val="000000"/>
                <w:sz w:val="18"/>
                <w:szCs w:val="18"/>
              </w:rPr>
            </w:pPr>
          </w:p>
        </w:tc>
        <w:tc>
          <w:tcPr>
            <w:tcW w:w="271" w:type="pct"/>
            <w:gridSpan w:val="2"/>
            <w:vAlign w:val="center"/>
          </w:tcPr>
          <w:p w14:paraId="322AF38C">
            <w:pPr>
              <w:autoSpaceDE w:val="0"/>
              <w:autoSpaceDN w:val="0"/>
              <w:jc w:val="left"/>
              <w:rPr>
                <w:rFonts w:ascii="Times New Roman" w:hAnsi="Times New Roman"/>
                <w:b/>
                <w:bCs/>
                <w:color w:val="000000"/>
                <w:sz w:val="18"/>
                <w:szCs w:val="18"/>
              </w:rPr>
            </w:pPr>
          </w:p>
        </w:tc>
        <w:tc>
          <w:tcPr>
            <w:tcW w:w="335" w:type="pct"/>
            <w:vMerge w:val="continue"/>
            <w:vAlign w:val="center"/>
          </w:tcPr>
          <w:p w14:paraId="6B44564D">
            <w:pPr>
              <w:autoSpaceDE w:val="0"/>
              <w:autoSpaceDN w:val="0"/>
              <w:jc w:val="center"/>
              <w:rPr>
                <w:rFonts w:ascii="Times New Roman" w:hAnsi="Times New Roman"/>
                <w:color w:val="000000"/>
                <w:spacing w:val="-20"/>
                <w:sz w:val="18"/>
                <w:szCs w:val="18"/>
              </w:rPr>
            </w:pPr>
          </w:p>
        </w:tc>
      </w:tr>
      <w:tr w14:paraId="3442A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73484E1">
            <w:pPr>
              <w:jc w:val="center"/>
              <w:rPr>
                <w:rFonts w:ascii="Times New Roman" w:hAnsi="Times New Roman"/>
                <w:color w:val="000000"/>
                <w:sz w:val="18"/>
                <w:szCs w:val="18"/>
              </w:rPr>
            </w:pPr>
          </w:p>
        </w:tc>
        <w:tc>
          <w:tcPr>
            <w:tcW w:w="216" w:type="pct"/>
            <w:vMerge w:val="continue"/>
            <w:vAlign w:val="center"/>
          </w:tcPr>
          <w:p w14:paraId="4A89672B">
            <w:pPr>
              <w:jc w:val="center"/>
              <w:rPr>
                <w:rFonts w:ascii="Times New Roman" w:hAnsi="Times New Roman"/>
                <w:color w:val="000000"/>
                <w:sz w:val="18"/>
                <w:szCs w:val="18"/>
              </w:rPr>
            </w:pPr>
          </w:p>
        </w:tc>
        <w:tc>
          <w:tcPr>
            <w:tcW w:w="1680" w:type="pct"/>
            <w:gridSpan w:val="3"/>
            <w:vAlign w:val="center"/>
          </w:tcPr>
          <w:p w14:paraId="2E7D3157">
            <w:pPr>
              <w:autoSpaceDE w:val="0"/>
              <w:autoSpaceDN w:val="0"/>
              <w:jc w:val="center"/>
              <w:rPr>
                <w:rFonts w:ascii="Times New Roman" w:hAnsi="Times New Roman"/>
                <w:b/>
                <w:bCs/>
                <w:color w:val="000000"/>
                <w:sz w:val="18"/>
                <w:szCs w:val="18"/>
              </w:rPr>
            </w:pPr>
            <w:r>
              <w:rPr>
                <w:rFonts w:hint="eastAsia" w:ascii="宋体" w:cs="宋体"/>
                <w:sz w:val="18"/>
                <w:szCs w:val="18"/>
              </w:rPr>
              <w:t>美育教育类</w:t>
            </w:r>
          </w:p>
        </w:tc>
        <w:tc>
          <w:tcPr>
            <w:tcW w:w="271" w:type="pct"/>
            <w:vAlign w:val="center"/>
          </w:tcPr>
          <w:p w14:paraId="3201EBC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1D85AE3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6" w:type="pct"/>
            <w:vAlign w:val="center"/>
          </w:tcPr>
          <w:p w14:paraId="38B2DEEE">
            <w:pPr>
              <w:autoSpaceDE w:val="0"/>
              <w:autoSpaceDN w:val="0"/>
              <w:jc w:val="left"/>
              <w:rPr>
                <w:rFonts w:ascii="Times New Roman" w:hAnsi="Times New Roman"/>
                <w:b/>
                <w:bCs/>
                <w:color w:val="000000"/>
                <w:sz w:val="18"/>
                <w:szCs w:val="18"/>
              </w:rPr>
            </w:pPr>
          </w:p>
        </w:tc>
        <w:tc>
          <w:tcPr>
            <w:tcW w:w="228" w:type="pct"/>
            <w:vAlign w:val="center"/>
          </w:tcPr>
          <w:p w14:paraId="55838BD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95" w:type="pct"/>
            <w:vAlign w:val="center"/>
          </w:tcPr>
          <w:p w14:paraId="2974FCF7">
            <w:pPr>
              <w:autoSpaceDE w:val="0"/>
              <w:autoSpaceDN w:val="0"/>
              <w:jc w:val="left"/>
              <w:rPr>
                <w:rFonts w:ascii="Times New Roman" w:hAnsi="Times New Roman"/>
                <w:b/>
                <w:bCs/>
                <w:color w:val="000000"/>
                <w:sz w:val="18"/>
                <w:szCs w:val="18"/>
              </w:rPr>
            </w:pPr>
          </w:p>
        </w:tc>
        <w:tc>
          <w:tcPr>
            <w:tcW w:w="279" w:type="pct"/>
            <w:gridSpan w:val="4"/>
            <w:vAlign w:val="center"/>
          </w:tcPr>
          <w:p w14:paraId="23EEEED3">
            <w:pPr>
              <w:autoSpaceDE w:val="0"/>
              <w:autoSpaceDN w:val="0"/>
              <w:jc w:val="left"/>
              <w:rPr>
                <w:rFonts w:ascii="Times New Roman" w:hAnsi="Times New Roman"/>
                <w:b/>
                <w:bCs/>
                <w:color w:val="000000"/>
                <w:sz w:val="18"/>
                <w:szCs w:val="18"/>
              </w:rPr>
            </w:pPr>
          </w:p>
        </w:tc>
        <w:tc>
          <w:tcPr>
            <w:tcW w:w="252" w:type="pct"/>
            <w:gridSpan w:val="2"/>
            <w:vAlign w:val="center"/>
          </w:tcPr>
          <w:p w14:paraId="170DAB62">
            <w:pPr>
              <w:autoSpaceDE w:val="0"/>
              <w:autoSpaceDN w:val="0"/>
              <w:jc w:val="left"/>
              <w:rPr>
                <w:rFonts w:ascii="Times New Roman" w:hAnsi="Times New Roman"/>
                <w:b/>
                <w:bCs/>
                <w:color w:val="000000"/>
                <w:sz w:val="18"/>
                <w:szCs w:val="18"/>
              </w:rPr>
            </w:pPr>
          </w:p>
        </w:tc>
        <w:tc>
          <w:tcPr>
            <w:tcW w:w="275" w:type="pct"/>
            <w:gridSpan w:val="2"/>
            <w:vAlign w:val="center"/>
          </w:tcPr>
          <w:p w14:paraId="0D60EB45">
            <w:pPr>
              <w:autoSpaceDE w:val="0"/>
              <w:autoSpaceDN w:val="0"/>
              <w:jc w:val="left"/>
              <w:rPr>
                <w:rFonts w:ascii="Times New Roman" w:hAnsi="Times New Roman"/>
                <w:b/>
                <w:bCs/>
                <w:color w:val="000000"/>
                <w:sz w:val="18"/>
                <w:szCs w:val="18"/>
              </w:rPr>
            </w:pPr>
          </w:p>
        </w:tc>
        <w:tc>
          <w:tcPr>
            <w:tcW w:w="269" w:type="pct"/>
            <w:gridSpan w:val="2"/>
            <w:vAlign w:val="center"/>
          </w:tcPr>
          <w:p w14:paraId="08041A5B">
            <w:pPr>
              <w:autoSpaceDE w:val="0"/>
              <w:autoSpaceDN w:val="0"/>
              <w:jc w:val="left"/>
              <w:rPr>
                <w:rFonts w:ascii="Times New Roman" w:hAnsi="Times New Roman"/>
                <w:b/>
                <w:bCs/>
                <w:color w:val="000000"/>
                <w:sz w:val="18"/>
                <w:szCs w:val="18"/>
              </w:rPr>
            </w:pPr>
          </w:p>
        </w:tc>
        <w:tc>
          <w:tcPr>
            <w:tcW w:w="271" w:type="pct"/>
            <w:gridSpan w:val="2"/>
            <w:vAlign w:val="center"/>
          </w:tcPr>
          <w:p w14:paraId="7AFE3AB6">
            <w:pPr>
              <w:autoSpaceDE w:val="0"/>
              <w:autoSpaceDN w:val="0"/>
              <w:jc w:val="left"/>
              <w:rPr>
                <w:rFonts w:ascii="Times New Roman" w:hAnsi="Times New Roman"/>
                <w:b/>
                <w:bCs/>
                <w:color w:val="000000"/>
                <w:sz w:val="18"/>
                <w:szCs w:val="18"/>
              </w:rPr>
            </w:pPr>
          </w:p>
        </w:tc>
        <w:tc>
          <w:tcPr>
            <w:tcW w:w="335" w:type="pct"/>
            <w:vMerge w:val="continue"/>
            <w:vAlign w:val="center"/>
          </w:tcPr>
          <w:p w14:paraId="1DEB5DB7">
            <w:pPr>
              <w:autoSpaceDE w:val="0"/>
              <w:autoSpaceDN w:val="0"/>
              <w:jc w:val="center"/>
              <w:rPr>
                <w:rFonts w:ascii="Times New Roman" w:hAnsi="Times New Roman"/>
                <w:color w:val="000000"/>
                <w:spacing w:val="-20"/>
                <w:sz w:val="18"/>
                <w:szCs w:val="18"/>
              </w:rPr>
            </w:pPr>
          </w:p>
        </w:tc>
      </w:tr>
      <w:tr w14:paraId="0D79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AF36AA3">
            <w:pPr>
              <w:jc w:val="center"/>
              <w:rPr>
                <w:rFonts w:ascii="Times New Roman" w:hAnsi="Times New Roman"/>
                <w:color w:val="000000"/>
                <w:sz w:val="18"/>
                <w:szCs w:val="18"/>
              </w:rPr>
            </w:pPr>
          </w:p>
        </w:tc>
        <w:tc>
          <w:tcPr>
            <w:tcW w:w="216" w:type="pct"/>
            <w:vMerge w:val="continue"/>
            <w:vAlign w:val="center"/>
          </w:tcPr>
          <w:p w14:paraId="383F9289">
            <w:pPr>
              <w:jc w:val="center"/>
              <w:rPr>
                <w:rFonts w:ascii="Times New Roman" w:hAnsi="Times New Roman"/>
                <w:color w:val="000000"/>
                <w:sz w:val="18"/>
                <w:szCs w:val="18"/>
              </w:rPr>
            </w:pPr>
          </w:p>
        </w:tc>
        <w:tc>
          <w:tcPr>
            <w:tcW w:w="1680" w:type="pct"/>
            <w:gridSpan w:val="3"/>
            <w:vAlign w:val="center"/>
          </w:tcPr>
          <w:p w14:paraId="2BE6D7F8">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71" w:type="pct"/>
            <w:vAlign w:val="center"/>
          </w:tcPr>
          <w:p w14:paraId="10319A1A">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128</w:t>
            </w:r>
          </w:p>
        </w:tc>
        <w:tc>
          <w:tcPr>
            <w:tcW w:w="216" w:type="pct"/>
            <w:vAlign w:val="center"/>
          </w:tcPr>
          <w:p w14:paraId="27C388BC">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128</w:t>
            </w:r>
          </w:p>
        </w:tc>
        <w:tc>
          <w:tcPr>
            <w:tcW w:w="216" w:type="pct"/>
            <w:vAlign w:val="center"/>
          </w:tcPr>
          <w:p w14:paraId="309E57F2">
            <w:pPr>
              <w:autoSpaceDE w:val="0"/>
              <w:autoSpaceDN w:val="0"/>
              <w:jc w:val="left"/>
              <w:rPr>
                <w:rFonts w:ascii="Times New Roman" w:hAnsi="Times New Roman"/>
                <w:b/>
                <w:bCs/>
                <w:color w:val="000000"/>
                <w:sz w:val="18"/>
                <w:szCs w:val="18"/>
              </w:rPr>
            </w:pPr>
          </w:p>
        </w:tc>
        <w:tc>
          <w:tcPr>
            <w:tcW w:w="228" w:type="pct"/>
            <w:vAlign w:val="center"/>
          </w:tcPr>
          <w:p w14:paraId="2C5D9D03">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4</w:t>
            </w:r>
          </w:p>
        </w:tc>
        <w:tc>
          <w:tcPr>
            <w:tcW w:w="295" w:type="pct"/>
            <w:vAlign w:val="center"/>
          </w:tcPr>
          <w:p w14:paraId="6A5F0714">
            <w:pPr>
              <w:autoSpaceDE w:val="0"/>
              <w:autoSpaceDN w:val="0"/>
              <w:jc w:val="left"/>
              <w:rPr>
                <w:rFonts w:ascii="Times New Roman" w:hAnsi="Times New Roman"/>
                <w:b/>
                <w:bCs/>
                <w:color w:val="000000"/>
                <w:sz w:val="18"/>
                <w:szCs w:val="18"/>
              </w:rPr>
            </w:pPr>
          </w:p>
        </w:tc>
        <w:tc>
          <w:tcPr>
            <w:tcW w:w="279" w:type="pct"/>
            <w:gridSpan w:val="4"/>
            <w:vAlign w:val="center"/>
          </w:tcPr>
          <w:p w14:paraId="0C387B0C">
            <w:pPr>
              <w:autoSpaceDE w:val="0"/>
              <w:autoSpaceDN w:val="0"/>
              <w:jc w:val="left"/>
              <w:rPr>
                <w:rFonts w:ascii="Times New Roman" w:hAnsi="Times New Roman"/>
                <w:b/>
                <w:bCs/>
                <w:color w:val="000000"/>
                <w:sz w:val="18"/>
                <w:szCs w:val="18"/>
              </w:rPr>
            </w:pPr>
          </w:p>
        </w:tc>
        <w:tc>
          <w:tcPr>
            <w:tcW w:w="252" w:type="pct"/>
            <w:gridSpan w:val="2"/>
            <w:vAlign w:val="center"/>
          </w:tcPr>
          <w:p w14:paraId="43224F7B">
            <w:pPr>
              <w:autoSpaceDE w:val="0"/>
              <w:autoSpaceDN w:val="0"/>
              <w:jc w:val="left"/>
              <w:rPr>
                <w:rFonts w:ascii="Times New Roman" w:hAnsi="Times New Roman"/>
                <w:b/>
                <w:bCs/>
                <w:color w:val="000000"/>
                <w:sz w:val="18"/>
                <w:szCs w:val="18"/>
              </w:rPr>
            </w:pPr>
          </w:p>
        </w:tc>
        <w:tc>
          <w:tcPr>
            <w:tcW w:w="275" w:type="pct"/>
            <w:gridSpan w:val="2"/>
            <w:vAlign w:val="center"/>
          </w:tcPr>
          <w:p w14:paraId="53FE4AA6">
            <w:pPr>
              <w:autoSpaceDE w:val="0"/>
              <w:autoSpaceDN w:val="0"/>
              <w:jc w:val="left"/>
              <w:rPr>
                <w:rFonts w:ascii="Times New Roman" w:hAnsi="Times New Roman"/>
                <w:b/>
                <w:bCs/>
                <w:color w:val="000000"/>
                <w:sz w:val="18"/>
                <w:szCs w:val="18"/>
              </w:rPr>
            </w:pPr>
          </w:p>
        </w:tc>
        <w:tc>
          <w:tcPr>
            <w:tcW w:w="269" w:type="pct"/>
            <w:gridSpan w:val="2"/>
            <w:vAlign w:val="center"/>
          </w:tcPr>
          <w:p w14:paraId="01BA0669">
            <w:pPr>
              <w:autoSpaceDE w:val="0"/>
              <w:autoSpaceDN w:val="0"/>
              <w:jc w:val="left"/>
              <w:rPr>
                <w:rFonts w:ascii="Times New Roman" w:hAnsi="Times New Roman"/>
                <w:b/>
                <w:bCs/>
                <w:color w:val="000000"/>
                <w:sz w:val="18"/>
                <w:szCs w:val="18"/>
              </w:rPr>
            </w:pPr>
          </w:p>
        </w:tc>
        <w:tc>
          <w:tcPr>
            <w:tcW w:w="271" w:type="pct"/>
            <w:gridSpan w:val="2"/>
            <w:vAlign w:val="center"/>
          </w:tcPr>
          <w:p w14:paraId="1AB6E259">
            <w:pPr>
              <w:autoSpaceDE w:val="0"/>
              <w:autoSpaceDN w:val="0"/>
              <w:jc w:val="left"/>
              <w:rPr>
                <w:rFonts w:ascii="Times New Roman" w:hAnsi="Times New Roman"/>
                <w:b/>
                <w:bCs/>
                <w:color w:val="000000"/>
                <w:sz w:val="18"/>
                <w:szCs w:val="18"/>
              </w:rPr>
            </w:pPr>
          </w:p>
        </w:tc>
        <w:tc>
          <w:tcPr>
            <w:tcW w:w="335" w:type="pct"/>
            <w:vAlign w:val="center"/>
          </w:tcPr>
          <w:p w14:paraId="67EA0A70">
            <w:pPr>
              <w:autoSpaceDE w:val="0"/>
              <w:autoSpaceDN w:val="0"/>
              <w:jc w:val="center"/>
              <w:rPr>
                <w:rFonts w:ascii="Times New Roman" w:hAnsi="Times New Roman"/>
                <w:color w:val="000000"/>
                <w:spacing w:val="-20"/>
                <w:sz w:val="18"/>
                <w:szCs w:val="18"/>
              </w:rPr>
            </w:pPr>
          </w:p>
        </w:tc>
      </w:tr>
      <w:tr w14:paraId="78EA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A0C1272">
            <w:pPr>
              <w:jc w:val="center"/>
              <w:rPr>
                <w:rFonts w:ascii="Times New Roman" w:hAnsi="Times New Roman"/>
                <w:color w:val="000000"/>
                <w:sz w:val="18"/>
                <w:szCs w:val="18"/>
              </w:rPr>
            </w:pPr>
          </w:p>
        </w:tc>
        <w:tc>
          <w:tcPr>
            <w:tcW w:w="216" w:type="pct"/>
            <w:vMerge w:val="restart"/>
            <w:vAlign w:val="center"/>
          </w:tcPr>
          <w:p w14:paraId="16DE8C0C">
            <w:pPr>
              <w:jc w:val="center"/>
              <w:rPr>
                <w:rFonts w:ascii="Times New Roman" w:hAnsi="Times New Roman"/>
                <w:color w:val="000000"/>
                <w:sz w:val="18"/>
                <w:szCs w:val="18"/>
              </w:rPr>
            </w:pPr>
            <w:r>
              <w:rPr>
                <w:rFonts w:hint="eastAsia" w:ascii="Times New Roman" w:hAnsi="Times New Roman"/>
                <w:color w:val="000000"/>
                <w:sz w:val="18"/>
                <w:szCs w:val="18"/>
              </w:rPr>
              <w:t>专业拓展课程</w:t>
            </w:r>
          </w:p>
        </w:tc>
        <w:tc>
          <w:tcPr>
            <w:tcW w:w="1680" w:type="pct"/>
            <w:gridSpan w:val="3"/>
            <w:vAlign w:val="center"/>
          </w:tcPr>
          <w:p w14:paraId="08E9FB0C">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选修要求：</w:t>
            </w:r>
            <w:r>
              <w:rPr>
                <w:rFonts w:hint="eastAsia" w:ascii="Times New Roman" w:hAnsi="Times New Roman"/>
                <w:sz w:val="18"/>
                <w:szCs w:val="18"/>
              </w:rPr>
              <w:t>选修学分数至少12学分</w:t>
            </w:r>
          </w:p>
        </w:tc>
        <w:tc>
          <w:tcPr>
            <w:tcW w:w="2571" w:type="pct"/>
            <w:gridSpan w:val="17"/>
            <w:vAlign w:val="center"/>
          </w:tcPr>
          <w:p w14:paraId="6DDD0C85">
            <w:pPr>
              <w:autoSpaceDE w:val="0"/>
              <w:autoSpaceDN w:val="0"/>
              <w:jc w:val="left"/>
              <w:rPr>
                <w:rFonts w:ascii="Times New Roman" w:hAnsi="Times New Roman"/>
                <w:b/>
                <w:bCs/>
                <w:color w:val="000000"/>
                <w:sz w:val="18"/>
                <w:szCs w:val="18"/>
              </w:rPr>
            </w:pPr>
          </w:p>
        </w:tc>
        <w:tc>
          <w:tcPr>
            <w:tcW w:w="335" w:type="pct"/>
            <w:vAlign w:val="center"/>
          </w:tcPr>
          <w:p w14:paraId="36EFCC8A">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国际贸易方向</w:t>
            </w:r>
          </w:p>
        </w:tc>
      </w:tr>
      <w:tr w14:paraId="31F7A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51564AC">
            <w:pPr>
              <w:jc w:val="center"/>
              <w:rPr>
                <w:rFonts w:ascii="Times New Roman" w:hAnsi="Times New Roman"/>
                <w:color w:val="000000"/>
                <w:sz w:val="18"/>
                <w:szCs w:val="18"/>
              </w:rPr>
            </w:pPr>
          </w:p>
        </w:tc>
        <w:tc>
          <w:tcPr>
            <w:tcW w:w="216" w:type="pct"/>
            <w:vMerge w:val="continue"/>
            <w:vAlign w:val="center"/>
          </w:tcPr>
          <w:p w14:paraId="7765B3F5">
            <w:pPr>
              <w:jc w:val="center"/>
              <w:rPr>
                <w:rFonts w:ascii="Times New Roman" w:hAnsi="Times New Roman"/>
                <w:color w:val="000000"/>
                <w:sz w:val="18"/>
                <w:szCs w:val="18"/>
              </w:rPr>
            </w:pPr>
          </w:p>
        </w:tc>
        <w:tc>
          <w:tcPr>
            <w:tcW w:w="815" w:type="pct"/>
            <w:gridSpan w:val="2"/>
            <w:vAlign w:val="center"/>
          </w:tcPr>
          <w:p w14:paraId="6B086F3E">
            <w:pPr>
              <w:jc w:val="center"/>
              <w:rPr>
                <w:rFonts w:ascii="Times New Roman" w:hAnsi="Times New Roman"/>
                <w:bCs/>
                <w:sz w:val="18"/>
                <w:szCs w:val="18"/>
              </w:rPr>
            </w:pPr>
            <w:r>
              <w:rPr>
                <w:rFonts w:hint="eastAsia" w:ascii="Times New Roman" w:hAnsi="Times New Roman"/>
                <w:bCs/>
                <w:sz w:val="18"/>
                <w:szCs w:val="18"/>
              </w:rPr>
              <w:t>SZ122001</w:t>
            </w:r>
          </w:p>
        </w:tc>
        <w:tc>
          <w:tcPr>
            <w:tcW w:w="865" w:type="pct"/>
            <w:vAlign w:val="center"/>
          </w:tcPr>
          <w:p w14:paraId="51C57E58">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外贸英语函电</w:t>
            </w:r>
          </w:p>
        </w:tc>
        <w:tc>
          <w:tcPr>
            <w:tcW w:w="271" w:type="pct"/>
            <w:vAlign w:val="center"/>
          </w:tcPr>
          <w:p w14:paraId="3A803E71">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64</w:t>
            </w:r>
          </w:p>
        </w:tc>
        <w:tc>
          <w:tcPr>
            <w:tcW w:w="216" w:type="pct"/>
            <w:vAlign w:val="center"/>
          </w:tcPr>
          <w:p w14:paraId="72079EA6">
            <w:pPr>
              <w:jc w:val="center"/>
              <w:rPr>
                <w:rFonts w:ascii="Times New Roman" w:hAnsi="Times New Roman"/>
                <w:color w:val="FF0000"/>
                <w:spacing w:val="-20"/>
                <w:sz w:val="18"/>
                <w:szCs w:val="18"/>
              </w:rPr>
            </w:pPr>
            <w:r>
              <w:rPr>
                <w:rFonts w:hint="eastAsia" w:ascii="Times New Roman" w:hAnsi="Times New Roman"/>
                <w:color w:val="000000"/>
                <w:spacing w:val="-20"/>
                <w:sz w:val="18"/>
                <w:szCs w:val="18"/>
              </w:rPr>
              <w:t>32</w:t>
            </w:r>
          </w:p>
        </w:tc>
        <w:tc>
          <w:tcPr>
            <w:tcW w:w="216" w:type="pct"/>
            <w:vAlign w:val="center"/>
          </w:tcPr>
          <w:p w14:paraId="20AB0ED2">
            <w:pPr>
              <w:jc w:val="center"/>
              <w:rPr>
                <w:rFonts w:ascii="Times New Roman" w:hAnsi="Times New Roman"/>
                <w:color w:val="FF0000"/>
                <w:spacing w:val="-20"/>
                <w:sz w:val="18"/>
                <w:szCs w:val="18"/>
              </w:rPr>
            </w:pPr>
            <w:r>
              <w:rPr>
                <w:rFonts w:hint="eastAsia" w:ascii="Times New Roman" w:hAnsi="Times New Roman"/>
                <w:color w:val="000000"/>
                <w:spacing w:val="-20"/>
                <w:sz w:val="18"/>
                <w:szCs w:val="18"/>
              </w:rPr>
              <w:t>32</w:t>
            </w:r>
          </w:p>
        </w:tc>
        <w:tc>
          <w:tcPr>
            <w:tcW w:w="228" w:type="pct"/>
            <w:vAlign w:val="center"/>
          </w:tcPr>
          <w:p w14:paraId="27B7FA88">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311" w:type="pct"/>
            <w:gridSpan w:val="2"/>
            <w:vAlign w:val="center"/>
          </w:tcPr>
          <w:p w14:paraId="58169E16">
            <w:pPr>
              <w:jc w:val="center"/>
              <w:rPr>
                <w:rFonts w:ascii="Times New Roman" w:hAnsi="Times New Roman"/>
                <w:color w:val="000000"/>
                <w:spacing w:val="-20"/>
                <w:sz w:val="18"/>
                <w:szCs w:val="18"/>
              </w:rPr>
            </w:pPr>
          </w:p>
        </w:tc>
        <w:tc>
          <w:tcPr>
            <w:tcW w:w="263" w:type="pct"/>
            <w:gridSpan w:val="3"/>
            <w:vAlign w:val="center"/>
          </w:tcPr>
          <w:p w14:paraId="296F25F0">
            <w:pPr>
              <w:jc w:val="center"/>
              <w:rPr>
                <w:rFonts w:ascii="Times New Roman" w:hAnsi="Times New Roman"/>
                <w:color w:val="000000"/>
                <w:spacing w:val="-20"/>
                <w:sz w:val="18"/>
                <w:szCs w:val="18"/>
              </w:rPr>
            </w:pPr>
          </w:p>
        </w:tc>
        <w:tc>
          <w:tcPr>
            <w:tcW w:w="280" w:type="pct"/>
            <w:gridSpan w:val="3"/>
            <w:vAlign w:val="center"/>
          </w:tcPr>
          <w:p w14:paraId="5A487DE2">
            <w:pPr>
              <w:ind w:right="28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1" w:type="pct"/>
            <w:gridSpan w:val="2"/>
            <w:vAlign w:val="center"/>
          </w:tcPr>
          <w:p w14:paraId="2496BEC4">
            <w:pPr>
              <w:ind w:right="280"/>
              <w:jc w:val="center"/>
              <w:rPr>
                <w:rFonts w:ascii="Times New Roman" w:hAnsi="Times New Roman"/>
                <w:color w:val="000000"/>
                <w:spacing w:val="-20"/>
                <w:sz w:val="18"/>
                <w:szCs w:val="18"/>
              </w:rPr>
            </w:pPr>
          </w:p>
        </w:tc>
        <w:tc>
          <w:tcPr>
            <w:tcW w:w="270" w:type="pct"/>
            <w:gridSpan w:val="2"/>
            <w:vAlign w:val="center"/>
          </w:tcPr>
          <w:p w14:paraId="759BCE36">
            <w:pPr>
              <w:autoSpaceDE w:val="0"/>
              <w:autoSpaceDN w:val="0"/>
              <w:jc w:val="center"/>
              <w:rPr>
                <w:rFonts w:ascii="Times New Roman" w:hAnsi="Times New Roman"/>
                <w:color w:val="000000"/>
                <w:spacing w:val="-20"/>
                <w:sz w:val="18"/>
                <w:szCs w:val="18"/>
              </w:rPr>
            </w:pPr>
          </w:p>
        </w:tc>
        <w:tc>
          <w:tcPr>
            <w:tcW w:w="246" w:type="pct"/>
            <w:vAlign w:val="center"/>
          </w:tcPr>
          <w:p w14:paraId="22042D14">
            <w:pPr>
              <w:autoSpaceDE w:val="0"/>
              <w:autoSpaceDN w:val="0"/>
              <w:jc w:val="center"/>
              <w:rPr>
                <w:rFonts w:ascii="Times New Roman" w:hAnsi="Times New Roman"/>
                <w:color w:val="000000"/>
                <w:spacing w:val="-20"/>
                <w:sz w:val="18"/>
                <w:szCs w:val="18"/>
              </w:rPr>
            </w:pPr>
          </w:p>
        </w:tc>
        <w:tc>
          <w:tcPr>
            <w:tcW w:w="335" w:type="pct"/>
            <w:vMerge w:val="restart"/>
            <w:vAlign w:val="center"/>
          </w:tcPr>
          <w:p w14:paraId="1721A59E">
            <w:pPr>
              <w:autoSpaceDE w:val="0"/>
              <w:autoSpaceDN w:val="0"/>
              <w:jc w:val="center"/>
              <w:rPr>
                <w:rFonts w:ascii="Times New Roman" w:hAnsi="Times New Roman"/>
                <w:color w:val="000000"/>
                <w:spacing w:val="-20"/>
                <w:sz w:val="18"/>
                <w:szCs w:val="18"/>
              </w:rPr>
            </w:pPr>
          </w:p>
          <w:p w14:paraId="6314594C">
            <w:pPr>
              <w:autoSpaceDE w:val="0"/>
              <w:autoSpaceDN w:val="0"/>
              <w:jc w:val="center"/>
              <w:rPr>
                <w:rFonts w:ascii="Times New Roman" w:hAnsi="Times New Roman"/>
                <w:color w:val="000000"/>
                <w:spacing w:val="-20"/>
                <w:sz w:val="18"/>
                <w:szCs w:val="18"/>
              </w:rPr>
            </w:pPr>
          </w:p>
        </w:tc>
      </w:tr>
      <w:tr w14:paraId="7DE1E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7173B32">
            <w:pPr>
              <w:jc w:val="center"/>
              <w:rPr>
                <w:rFonts w:ascii="Times New Roman" w:hAnsi="Times New Roman"/>
                <w:color w:val="000000"/>
                <w:sz w:val="18"/>
                <w:szCs w:val="18"/>
              </w:rPr>
            </w:pPr>
          </w:p>
        </w:tc>
        <w:tc>
          <w:tcPr>
            <w:tcW w:w="216" w:type="pct"/>
            <w:vMerge w:val="continue"/>
            <w:vAlign w:val="center"/>
          </w:tcPr>
          <w:p w14:paraId="516374CD">
            <w:pPr>
              <w:jc w:val="center"/>
              <w:rPr>
                <w:rFonts w:ascii="Times New Roman" w:hAnsi="Times New Roman"/>
                <w:color w:val="000000"/>
                <w:sz w:val="18"/>
                <w:szCs w:val="18"/>
              </w:rPr>
            </w:pPr>
          </w:p>
        </w:tc>
        <w:tc>
          <w:tcPr>
            <w:tcW w:w="815" w:type="pct"/>
            <w:gridSpan w:val="2"/>
            <w:vAlign w:val="center"/>
          </w:tcPr>
          <w:p w14:paraId="6DE51FC5">
            <w:pPr>
              <w:jc w:val="center"/>
              <w:rPr>
                <w:rFonts w:ascii="Times New Roman" w:hAnsi="Times New Roman"/>
                <w:bCs/>
                <w:sz w:val="18"/>
                <w:szCs w:val="18"/>
              </w:rPr>
            </w:pPr>
            <w:r>
              <w:rPr>
                <w:rFonts w:hint="eastAsia" w:ascii="Times New Roman" w:hAnsi="Times New Roman"/>
                <w:bCs/>
                <w:sz w:val="18"/>
                <w:szCs w:val="18"/>
              </w:rPr>
              <w:t>SZ122002</w:t>
            </w:r>
          </w:p>
        </w:tc>
        <w:tc>
          <w:tcPr>
            <w:tcW w:w="865" w:type="pct"/>
            <w:vAlign w:val="center"/>
          </w:tcPr>
          <w:p w14:paraId="4379BD18">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新媒体营销</w:t>
            </w:r>
          </w:p>
        </w:tc>
        <w:tc>
          <w:tcPr>
            <w:tcW w:w="271" w:type="pct"/>
            <w:vAlign w:val="center"/>
          </w:tcPr>
          <w:p w14:paraId="7D6E71B8">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64</w:t>
            </w:r>
          </w:p>
        </w:tc>
        <w:tc>
          <w:tcPr>
            <w:tcW w:w="216" w:type="pct"/>
            <w:vAlign w:val="center"/>
          </w:tcPr>
          <w:p w14:paraId="208DCC3A">
            <w:pPr>
              <w:jc w:val="center"/>
              <w:rPr>
                <w:rFonts w:ascii="Times New Roman" w:hAnsi="Times New Roman"/>
                <w:color w:val="FF0000"/>
                <w:spacing w:val="-20"/>
                <w:sz w:val="18"/>
                <w:szCs w:val="18"/>
              </w:rPr>
            </w:pPr>
            <w:r>
              <w:rPr>
                <w:rFonts w:hint="eastAsia" w:ascii="Times New Roman" w:hAnsi="Times New Roman"/>
                <w:color w:val="000000"/>
                <w:spacing w:val="-20"/>
                <w:sz w:val="18"/>
                <w:szCs w:val="18"/>
              </w:rPr>
              <w:t>32</w:t>
            </w:r>
          </w:p>
        </w:tc>
        <w:tc>
          <w:tcPr>
            <w:tcW w:w="216" w:type="pct"/>
            <w:vAlign w:val="center"/>
          </w:tcPr>
          <w:p w14:paraId="3D4221EC">
            <w:pPr>
              <w:jc w:val="center"/>
              <w:rPr>
                <w:rFonts w:ascii="Times New Roman" w:hAnsi="Times New Roman"/>
                <w:color w:val="FF0000"/>
                <w:spacing w:val="-20"/>
                <w:sz w:val="18"/>
                <w:szCs w:val="18"/>
              </w:rPr>
            </w:pPr>
            <w:r>
              <w:rPr>
                <w:rFonts w:hint="eastAsia" w:ascii="Times New Roman" w:hAnsi="Times New Roman"/>
                <w:color w:val="000000"/>
                <w:spacing w:val="-20"/>
                <w:sz w:val="18"/>
                <w:szCs w:val="18"/>
              </w:rPr>
              <w:t>32</w:t>
            </w:r>
          </w:p>
        </w:tc>
        <w:tc>
          <w:tcPr>
            <w:tcW w:w="228" w:type="pct"/>
            <w:vAlign w:val="center"/>
          </w:tcPr>
          <w:p w14:paraId="7A0A6871">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311" w:type="pct"/>
            <w:gridSpan w:val="2"/>
            <w:vAlign w:val="center"/>
          </w:tcPr>
          <w:p w14:paraId="78111451">
            <w:pPr>
              <w:jc w:val="center"/>
              <w:rPr>
                <w:rFonts w:ascii="Times New Roman" w:hAnsi="Times New Roman"/>
                <w:color w:val="000000"/>
                <w:spacing w:val="-20"/>
                <w:sz w:val="18"/>
                <w:szCs w:val="18"/>
              </w:rPr>
            </w:pPr>
          </w:p>
        </w:tc>
        <w:tc>
          <w:tcPr>
            <w:tcW w:w="263" w:type="pct"/>
            <w:gridSpan w:val="3"/>
            <w:vAlign w:val="center"/>
          </w:tcPr>
          <w:p w14:paraId="7778B8D1">
            <w:pPr>
              <w:jc w:val="center"/>
              <w:rPr>
                <w:rFonts w:ascii="Times New Roman" w:hAnsi="Times New Roman"/>
                <w:color w:val="000000"/>
                <w:spacing w:val="-20"/>
                <w:sz w:val="18"/>
                <w:szCs w:val="18"/>
              </w:rPr>
            </w:pPr>
          </w:p>
        </w:tc>
        <w:tc>
          <w:tcPr>
            <w:tcW w:w="280" w:type="pct"/>
            <w:gridSpan w:val="3"/>
            <w:vAlign w:val="center"/>
          </w:tcPr>
          <w:p w14:paraId="5F572037">
            <w:pPr>
              <w:ind w:right="280"/>
              <w:jc w:val="center"/>
              <w:rPr>
                <w:rFonts w:ascii="Times New Roman" w:hAnsi="Times New Roman"/>
                <w:color w:val="000000"/>
                <w:spacing w:val="-20"/>
                <w:sz w:val="18"/>
                <w:szCs w:val="18"/>
              </w:rPr>
            </w:pPr>
          </w:p>
        </w:tc>
        <w:tc>
          <w:tcPr>
            <w:tcW w:w="271" w:type="pct"/>
            <w:gridSpan w:val="2"/>
            <w:vAlign w:val="center"/>
          </w:tcPr>
          <w:p w14:paraId="491A0C8B">
            <w:pPr>
              <w:ind w:right="28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0" w:type="pct"/>
            <w:gridSpan w:val="2"/>
            <w:vAlign w:val="center"/>
          </w:tcPr>
          <w:p w14:paraId="22633A40">
            <w:pPr>
              <w:autoSpaceDE w:val="0"/>
              <w:autoSpaceDN w:val="0"/>
              <w:jc w:val="center"/>
              <w:rPr>
                <w:rFonts w:ascii="Times New Roman" w:hAnsi="Times New Roman"/>
                <w:color w:val="000000"/>
                <w:spacing w:val="-20"/>
                <w:sz w:val="18"/>
                <w:szCs w:val="18"/>
              </w:rPr>
            </w:pPr>
          </w:p>
        </w:tc>
        <w:tc>
          <w:tcPr>
            <w:tcW w:w="246" w:type="pct"/>
            <w:vAlign w:val="center"/>
          </w:tcPr>
          <w:p w14:paraId="18795777">
            <w:pPr>
              <w:autoSpaceDE w:val="0"/>
              <w:autoSpaceDN w:val="0"/>
              <w:jc w:val="center"/>
              <w:rPr>
                <w:rFonts w:ascii="Times New Roman" w:hAnsi="Times New Roman"/>
                <w:color w:val="000000"/>
                <w:spacing w:val="-20"/>
                <w:sz w:val="18"/>
                <w:szCs w:val="18"/>
              </w:rPr>
            </w:pPr>
          </w:p>
        </w:tc>
        <w:tc>
          <w:tcPr>
            <w:tcW w:w="335" w:type="pct"/>
            <w:vMerge w:val="continue"/>
            <w:vAlign w:val="center"/>
          </w:tcPr>
          <w:p w14:paraId="29E563C4">
            <w:pPr>
              <w:autoSpaceDE w:val="0"/>
              <w:autoSpaceDN w:val="0"/>
              <w:jc w:val="center"/>
              <w:rPr>
                <w:rFonts w:ascii="Times New Roman" w:hAnsi="Times New Roman"/>
                <w:color w:val="000000"/>
                <w:spacing w:val="-20"/>
                <w:sz w:val="18"/>
                <w:szCs w:val="18"/>
              </w:rPr>
            </w:pPr>
          </w:p>
        </w:tc>
      </w:tr>
      <w:tr w14:paraId="04299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14:paraId="60DCAC56">
            <w:pPr>
              <w:jc w:val="center"/>
              <w:rPr>
                <w:rFonts w:ascii="Times New Roman" w:hAnsi="Times New Roman"/>
                <w:color w:val="000000"/>
                <w:sz w:val="18"/>
                <w:szCs w:val="18"/>
              </w:rPr>
            </w:pPr>
          </w:p>
        </w:tc>
        <w:tc>
          <w:tcPr>
            <w:tcW w:w="216" w:type="pct"/>
            <w:vMerge w:val="continue"/>
            <w:vAlign w:val="center"/>
          </w:tcPr>
          <w:p w14:paraId="2331B876">
            <w:pPr>
              <w:jc w:val="center"/>
              <w:rPr>
                <w:rFonts w:ascii="Times New Roman" w:hAnsi="Times New Roman"/>
                <w:color w:val="000000"/>
                <w:sz w:val="18"/>
                <w:szCs w:val="18"/>
              </w:rPr>
            </w:pPr>
          </w:p>
        </w:tc>
        <w:tc>
          <w:tcPr>
            <w:tcW w:w="815" w:type="pct"/>
            <w:gridSpan w:val="2"/>
            <w:vAlign w:val="center"/>
          </w:tcPr>
          <w:p w14:paraId="64D228D1">
            <w:pPr>
              <w:jc w:val="center"/>
              <w:rPr>
                <w:rFonts w:ascii="Times New Roman" w:hAnsi="Times New Roman"/>
                <w:color w:val="0070C0"/>
                <w:spacing w:val="-20"/>
                <w:sz w:val="18"/>
                <w:szCs w:val="18"/>
              </w:rPr>
            </w:pPr>
            <w:r>
              <w:rPr>
                <w:rFonts w:hint="eastAsia" w:ascii="Times New Roman" w:hAnsi="Times New Roman"/>
                <w:bCs/>
                <w:sz w:val="18"/>
                <w:szCs w:val="18"/>
              </w:rPr>
              <w:t>SZ121003</w:t>
            </w:r>
          </w:p>
        </w:tc>
        <w:tc>
          <w:tcPr>
            <w:tcW w:w="865" w:type="pct"/>
            <w:vAlign w:val="center"/>
          </w:tcPr>
          <w:p w14:paraId="022E3BE0">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电子商务物流</w:t>
            </w:r>
          </w:p>
        </w:tc>
        <w:tc>
          <w:tcPr>
            <w:tcW w:w="271" w:type="pct"/>
            <w:vAlign w:val="center"/>
          </w:tcPr>
          <w:p w14:paraId="78F2FF68">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64</w:t>
            </w:r>
          </w:p>
        </w:tc>
        <w:tc>
          <w:tcPr>
            <w:tcW w:w="216" w:type="pct"/>
            <w:vAlign w:val="center"/>
          </w:tcPr>
          <w:p w14:paraId="0CD834BC">
            <w:pPr>
              <w:jc w:val="center"/>
              <w:rPr>
                <w:rFonts w:ascii="Times New Roman" w:hAnsi="Times New Roman"/>
                <w:color w:val="FF0000"/>
                <w:spacing w:val="-20"/>
                <w:sz w:val="18"/>
                <w:szCs w:val="18"/>
              </w:rPr>
            </w:pPr>
            <w:r>
              <w:rPr>
                <w:rFonts w:hint="eastAsia" w:ascii="Times New Roman" w:hAnsi="Times New Roman"/>
                <w:color w:val="000000"/>
                <w:spacing w:val="-20"/>
                <w:sz w:val="18"/>
                <w:szCs w:val="18"/>
              </w:rPr>
              <w:t>32</w:t>
            </w:r>
          </w:p>
        </w:tc>
        <w:tc>
          <w:tcPr>
            <w:tcW w:w="216" w:type="pct"/>
            <w:vAlign w:val="center"/>
          </w:tcPr>
          <w:p w14:paraId="5B54A281">
            <w:pPr>
              <w:jc w:val="center"/>
              <w:rPr>
                <w:rFonts w:ascii="Times New Roman" w:hAnsi="Times New Roman"/>
                <w:color w:val="FF0000"/>
                <w:spacing w:val="-20"/>
                <w:sz w:val="18"/>
                <w:szCs w:val="18"/>
              </w:rPr>
            </w:pPr>
            <w:r>
              <w:rPr>
                <w:rFonts w:hint="eastAsia" w:ascii="Times New Roman" w:hAnsi="Times New Roman"/>
                <w:color w:val="000000"/>
                <w:spacing w:val="-20"/>
                <w:sz w:val="18"/>
                <w:szCs w:val="18"/>
              </w:rPr>
              <w:t>32</w:t>
            </w:r>
          </w:p>
        </w:tc>
        <w:tc>
          <w:tcPr>
            <w:tcW w:w="228" w:type="pct"/>
            <w:vAlign w:val="center"/>
          </w:tcPr>
          <w:p w14:paraId="3AEB8387">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311" w:type="pct"/>
            <w:gridSpan w:val="2"/>
            <w:vAlign w:val="center"/>
          </w:tcPr>
          <w:p w14:paraId="7C9C833C">
            <w:pPr>
              <w:jc w:val="center"/>
              <w:rPr>
                <w:rFonts w:ascii="Times New Roman" w:hAnsi="Times New Roman"/>
                <w:color w:val="000000"/>
                <w:spacing w:val="-20"/>
                <w:sz w:val="18"/>
                <w:szCs w:val="18"/>
              </w:rPr>
            </w:pPr>
          </w:p>
        </w:tc>
        <w:tc>
          <w:tcPr>
            <w:tcW w:w="263" w:type="pct"/>
            <w:gridSpan w:val="3"/>
            <w:vAlign w:val="center"/>
          </w:tcPr>
          <w:p w14:paraId="2055550F">
            <w:pPr>
              <w:jc w:val="center"/>
              <w:rPr>
                <w:rFonts w:ascii="Times New Roman" w:hAnsi="Times New Roman"/>
                <w:color w:val="000000"/>
                <w:spacing w:val="-20"/>
                <w:sz w:val="18"/>
                <w:szCs w:val="18"/>
              </w:rPr>
            </w:pPr>
          </w:p>
        </w:tc>
        <w:tc>
          <w:tcPr>
            <w:tcW w:w="280" w:type="pct"/>
            <w:gridSpan w:val="3"/>
            <w:vAlign w:val="center"/>
          </w:tcPr>
          <w:p w14:paraId="498CB976">
            <w:pPr>
              <w:ind w:right="28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1" w:type="pct"/>
            <w:gridSpan w:val="2"/>
            <w:vAlign w:val="center"/>
          </w:tcPr>
          <w:p w14:paraId="7144C48F">
            <w:pPr>
              <w:ind w:right="280"/>
              <w:jc w:val="center"/>
              <w:rPr>
                <w:rFonts w:ascii="Times New Roman" w:hAnsi="Times New Roman"/>
                <w:color w:val="000000"/>
                <w:spacing w:val="-20"/>
                <w:sz w:val="18"/>
                <w:szCs w:val="18"/>
              </w:rPr>
            </w:pPr>
          </w:p>
        </w:tc>
        <w:tc>
          <w:tcPr>
            <w:tcW w:w="270" w:type="pct"/>
            <w:gridSpan w:val="2"/>
            <w:vAlign w:val="center"/>
          </w:tcPr>
          <w:p w14:paraId="23630764">
            <w:pPr>
              <w:autoSpaceDE w:val="0"/>
              <w:autoSpaceDN w:val="0"/>
              <w:jc w:val="center"/>
              <w:rPr>
                <w:rFonts w:ascii="Times New Roman" w:hAnsi="Times New Roman"/>
                <w:color w:val="000000"/>
                <w:spacing w:val="-20"/>
                <w:sz w:val="18"/>
                <w:szCs w:val="18"/>
              </w:rPr>
            </w:pPr>
          </w:p>
        </w:tc>
        <w:tc>
          <w:tcPr>
            <w:tcW w:w="246" w:type="pct"/>
            <w:vAlign w:val="center"/>
          </w:tcPr>
          <w:p w14:paraId="6F94E38E">
            <w:pPr>
              <w:autoSpaceDE w:val="0"/>
              <w:autoSpaceDN w:val="0"/>
              <w:jc w:val="center"/>
              <w:rPr>
                <w:rFonts w:ascii="Times New Roman" w:hAnsi="Times New Roman"/>
                <w:color w:val="000000"/>
                <w:spacing w:val="-20"/>
                <w:sz w:val="18"/>
                <w:szCs w:val="18"/>
              </w:rPr>
            </w:pPr>
          </w:p>
        </w:tc>
        <w:tc>
          <w:tcPr>
            <w:tcW w:w="335" w:type="pct"/>
            <w:vMerge w:val="continue"/>
            <w:vAlign w:val="center"/>
          </w:tcPr>
          <w:p w14:paraId="5E0A0054">
            <w:pPr>
              <w:autoSpaceDE w:val="0"/>
              <w:autoSpaceDN w:val="0"/>
              <w:jc w:val="center"/>
              <w:rPr>
                <w:rFonts w:ascii="Times New Roman" w:hAnsi="Times New Roman"/>
                <w:color w:val="000000"/>
                <w:spacing w:val="-20"/>
                <w:sz w:val="18"/>
                <w:szCs w:val="18"/>
              </w:rPr>
            </w:pPr>
          </w:p>
        </w:tc>
      </w:tr>
      <w:tr w14:paraId="571B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AAC9312">
            <w:pPr>
              <w:jc w:val="center"/>
              <w:rPr>
                <w:rFonts w:ascii="Times New Roman" w:hAnsi="Times New Roman"/>
                <w:color w:val="000000"/>
                <w:sz w:val="18"/>
                <w:szCs w:val="18"/>
              </w:rPr>
            </w:pPr>
          </w:p>
        </w:tc>
        <w:tc>
          <w:tcPr>
            <w:tcW w:w="216" w:type="pct"/>
            <w:vMerge w:val="continue"/>
            <w:vAlign w:val="center"/>
          </w:tcPr>
          <w:p w14:paraId="578FD715">
            <w:pPr>
              <w:jc w:val="center"/>
              <w:rPr>
                <w:rFonts w:ascii="Times New Roman" w:hAnsi="Times New Roman"/>
                <w:color w:val="000000"/>
                <w:sz w:val="18"/>
                <w:szCs w:val="18"/>
              </w:rPr>
            </w:pPr>
          </w:p>
        </w:tc>
        <w:tc>
          <w:tcPr>
            <w:tcW w:w="1680" w:type="pct"/>
            <w:gridSpan w:val="3"/>
            <w:vAlign w:val="center"/>
          </w:tcPr>
          <w:p w14:paraId="7C7624F9">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14:paraId="33B2A2F6">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192</w:t>
            </w:r>
          </w:p>
        </w:tc>
        <w:tc>
          <w:tcPr>
            <w:tcW w:w="216" w:type="pct"/>
            <w:vAlign w:val="center"/>
          </w:tcPr>
          <w:p w14:paraId="33DC8913">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96</w:t>
            </w:r>
          </w:p>
        </w:tc>
        <w:tc>
          <w:tcPr>
            <w:tcW w:w="216" w:type="pct"/>
            <w:vAlign w:val="center"/>
          </w:tcPr>
          <w:p w14:paraId="5FC0B9A5">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96</w:t>
            </w:r>
          </w:p>
        </w:tc>
        <w:tc>
          <w:tcPr>
            <w:tcW w:w="228" w:type="pct"/>
            <w:vAlign w:val="center"/>
          </w:tcPr>
          <w:p w14:paraId="7908B806">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12</w:t>
            </w:r>
          </w:p>
        </w:tc>
        <w:tc>
          <w:tcPr>
            <w:tcW w:w="311" w:type="pct"/>
            <w:gridSpan w:val="2"/>
            <w:vAlign w:val="center"/>
          </w:tcPr>
          <w:p w14:paraId="7A519A4F">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0</w:t>
            </w:r>
          </w:p>
        </w:tc>
        <w:tc>
          <w:tcPr>
            <w:tcW w:w="263" w:type="pct"/>
            <w:gridSpan w:val="3"/>
            <w:vAlign w:val="center"/>
          </w:tcPr>
          <w:p w14:paraId="456A6D0C">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0</w:t>
            </w:r>
          </w:p>
        </w:tc>
        <w:tc>
          <w:tcPr>
            <w:tcW w:w="280" w:type="pct"/>
            <w:gridSpan w:val="3"/>
            <w:vAlign w:val="center"/>
          </w:tcPr>
          <w:p w14:paraId="0BE84F14">
            <w:pPr>
              <w:ind w:right="28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8</w:t>
            </w:r>
          </w:p>
        </w:tc>
        <w:tc>
          <w:tcPr>
            <w:tcW w:w="271" w:type="pct"/>
            <w:gridSpan w:val="2"/>
            <w:vAlign w:val="center"/>
          </w:tcPr>
          <w:p w14:paraId="2E74A130">
            <w:pPr>
              <w:ind w:right="28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0" w:type="pct"/>
            <w:gridSpan w:val="2"/>
            <w:vAlign w:val="center"/>
          </w:tcPr>
          <w:p w14:paraId="0DD04AE1">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0</w:t>
            </w:r>
          </w:p>
        </w:tc>
        <w:tc>
          <w:tcPr>
            <w:tcW w:w="246" w:type="pct"/>
            <w:vAlign w:val="center"/>
          </w:tcPr>
          <w:p w14:paraId="7A65BF2D">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0</w:t>
            </w:r>
          </w:p>
        </w:tc>
        <w:tc>
          <w:tcPr>
            <w:tcW w:w="335" w:type="pct"/>
            <w:vMerge w:val="continue"/>
          </w:tcPr>
          <w:p w14:paraId="4B34C68D">
            <w:pPr>
              <w:autoSpaceDE w:val="0"/>
              <w:autoSpaceDN w:val="0"/>
              <w:jc w:val="center"/>
              <w:rPr>
                <w:rFonts w:ascii="Times New Roman" w:hAnsi="Times New Roman"/>
                <w:color w:val="000000"/>
                <w:spacing w:val="-20"/>
                <w:sz w:val="18"/>
                <w:szCs w:val="18"/>
              </w:rPr>
            </w:pPr>
          </w:p>
        </w:tc>
      </w:tr>
      <w:tr w14:paraId="48F2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61" w:type="pct"/>
            <w:gridSpan w:val="3"/>
            <w:vMerge w:val="restart"/>
            <w:vAlign w:val="center"/>
          </w:tcPr>
          <w:p w14:paraId="7F3D6FDD">
            <w:pPr>
              <w:jc w:val="center"/>
              <w:rPr>
                <w:rFonts w:ascii="Times New Roman" w:hAnsi="Times New Roman"/>
                <w:color w:val="000000"/>
                <w:sz w:val="18"/>
                <w:szCs w:val="18"/>
              </w:rPr>
            </w:pPr>
            <w:bookmarkStart w:id="71" w:name="_Hlk14254279"/>
            <w:r>
              <w:rPr>
                <w:rFonts w:hint="eastAsia" w:ascii="Times New Roman" w:hAnsi="Times New Roman"/>
                <w:sz w:val="18"/>
                <w:szCs w:val="18"/>
              </w:rPr>
              <w:t>集中实践模块</w:t>
            </w:r>
          </w:p>
        </w:tc>
        <w:tc>
          <w:tcPr>
            <w:tcW w:w="468" w:type="pct"/>
            <w:vAlign w:val="center"/>
          </w:tcPr>
          <w:p w14:paraId="27739BF3">
            <w:pPr>
              <w:jc w:val="center"/>
              <w:rPr>
                <w:rFonts w:hint="eastAsia" w:ascii="宋体" w:hAnsi="宋体" w:eastAsia="微软雅黑"/>
                <w:color w:val="FF0000"/>
                <w:sz w:val="18"/>
                <w:szCs w:val="18"/>
              </w:rPr>
            </w:pPr>
            <w:r>
              <w:rPr>
                <w:rFonts w:hint="eastAsia" w:ascii="微软雅黑" w:hAnsi="微软雅黑" w:eastAsia="微软雅黑" w:cs="Segoe UI"/>
                <w:color w:val="333333"/>
                <w:sz w:val="18"/>
                <w:szCs w:val="18"/>
              </w:rPr>
              <w:t>GG121001</w:t>
            </w:r>
          </w:p>
        </w:tc>
        <w:tc>
          <w:tcPr>
            <w:tcW w:w="865" w:type="pct"/>
            <w:vAlign w:val="center"/>
          </w:tcPr>
          <w:p w14:paraId="5D41501E">
            <w:pPr>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军事技能训练</w:t>
            </w:r>
          </w:p>
        </w:tc>
        <w:tc>
          <w:tcPr>
            <w:tcW w:w="271" w:type="pct"/>
            <w:vAlign w:val="center"/>
          </w:tcPr>
          <w:p w14:paraId="3B5D90A0">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spacing w:val="-20"/>
                <w:sz w:val="18"/>
                <w:szCs w:val="18"/>
              </w:rPr>
              <w:t>32</w:t>
            </w:r>
          </w:p>
        </w:tc>
        <w:tc>
          <w:tcPr>
            <w:tcW w:w="216" w:type="pct"/>
          </w:tcPr>
          <w:p w14:paraId="0850938B">
            <w:pPr>
              <w:jc w:val="center"/>
              <w:rPr>
                <w:rFonts w:ascii="Times New Roman" w:hAnsi="Times New Roman"/>
                <w:color w:val="000000" w:themeColor="text1"/>
                <w:spacing w:val="-20"/>
                <w:sz w:val="18"/>
                <w:szCs w:val="18"/>
                <w14:textFill>
                  <w14:solidFill>
                    <w14:schemeClr w14:val="tx1"/>
                  </w14:solidFill>
                </w14:textFill>
              </w:rPr>
            </w:pPr>
          </w:p>
        </w:tc>
        <w:tc>
          <w:tcPr>
            <w:tcW w:w="216" w:type="pct"/>
            <w:vAlign w:val="center"/>
          </w:tcPr>
          <w:p w14:paraId="171D1CFE">
            <w:pPr>
              <w:jc w:val="center"/>
              <w:rPr>
                <w:rFonts w:ascii="Times New Roman" w:hAnsi="Times New Roman"/>
                <w:b/>
                <w:color w:val="000000" w:themeColor="text1"/>
                <w:spacing w:val="-20"/>
                <w:sz w:val="18"/>
                <w:szCs w:val="18"/>
                <w14:textFill>
                  <w14:solidFill>
                    <w14:schemeClr w14:val="tx1"/>
                  </w14:solidFill>
                </w14:textFill>
              </w:rPr>
            </w:pPr>
            <w:r>
              <w:rPr>
                <w:rFonts w:hint="eastAsia" w:ascii="Times New Roman" w:hAnsi="Times New Roman"/>
                <w:color w:val="000000"/>
                <w:spacing w:val="-20"/>
                <w:sz w:val="18"/>
                <w:szCs w:val="18"/>
              </w:rPr>
              <w:t>32</w:t>
            </w:r>
          </w:p>
        </w:tc>
        <w:tc>
          <w:tcPr>
            <w:tcW w:w="228" w:type="pct"/>
            <w:vAlign w:val="center"/>
          </w:tcPr>
          <w:p w14:paraId="0E3AEABD">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color w:val="000000" w:themeColor="text1"/>
                <w:spacing w:val="-20"/>
                <w:szCs w:val="18"/>
                <w14:textFill>
                  <w14:solidFill>
                    <w14:schemeClr w14:val="tx1"/>
                  </w14:solidFill>
                </w14:textFill>
              </w:rPr>
              <w:t>2</w:t>
            </w:r>
          </w:p>
        </w:tc>
        <w:tc>
          <w:tcPr>
            <w:tcW w:w="311" w:type="pct"/>
            <w:gridSpan w:val="2"/>
            <w:vAlign w:val="center"/>
          </w:tcPr>
          <w:p w14:paraId="32249B02">
            <w:pPr>
              <w:jc w:val="center"/>
              <w:rPr>
                <w:rFonts w:hint="eastAsia" w:ascii="宋体" w:hAnsi="宋体"/>
                <w:color w:val="000000" w:themeColor="text1"/>
                <w:spacing w:val="-20"/>
                <w:sz w:val="18"/>
                <w:szCs w:val="18"/>
                <w14:textFill>
                  <w14:solidFill>
                    <w14:schemeClr w14:val="tx1"/>
                  </w14:solidFill>
                </w14:textFill>
              </w:rPr>
            </w:pPr>
            <w:r>
              <w:rPr>
                <w:rFonts w:hint="eastAsia" w:ascii="宋体" w:hAnsi="宋体"/>
                <w:color w:val="000000" w:themeColor="text1"/>
                <w:spacing w:val="-20"/>
                <w:sz w:val="18"/>
                <w:szCs w:val="18"/>
                <w14:textFill>
                  <w14:solidFill>
                    <w14:schemeClr w14:val="tx1"/>
                  </w14:solidFill>
                </w14:textFill>
              </w:rPr>
              <w:t>2周</w:t>
            </w:r>
          </w:p>
        </w:tc>
        <w:tc>
          <w:tcPr>
            <w:tcW w:w="263" w:type="pct"/>
            <w:gridSpan w:val="3"/>
            <w:vAlign w:val="center"/>
          </w:tcPr>
          <w:p w14:paraId="4F2FCC61">
            <w:pPr>
              <w:jc w:val="center"/>
              <w:rPr>
                <w:rFonts w:ascii="Times New Roman" w:hAnsi="Times New Roman"/>
                <w:color w:val="000000" w:themeColor="text1"/>
                <w:spacing w:val="-20"/>
                <w:sz w:val="18"/>
                <w:szCs w:val="18"/>
                <w14:textFill>
                  <w14:solidFill>
                    <w14:schemeClr w14:val="tx1"/>
                  </w14:solidFill>
                </w14:textFill>
              </w:rPr>
            </w:pPr>
          </w:p>
        </w:tc>
        <w:tc>
          <w:tcPr>
            <w:tcW w:w="280" w:type="pct"/>
            <w:gridSpan w:val="3"/>
            <w:vAlign w:val="center"/>
          </w:tcPr>
          <w:p w14:paraId="021A43F8">
            <w:pPr>
              <w:jc w:val="center"/>
              <w:rPr>
                <w:rFonts w:ascii="Times New Roman" w:hAnsi="Times New Roman"/>
                <w:color w:val="000000" w:themeColor="text1"/>
                <w:spacing w:val="-20"/>
                <w:sz w:val="18"/>
                <w:szCs w:val="18"/>
                <w14:textFill>
                  <w14:solidFill>
                    <w14:schemeClr w14:val="tx1"/>
                  </w14:solidFill>
                </w14:textFill>
              </w:rPr>
            </w:pPr>
          </w:p>
        </w:tc>
        <w:tc>
          <w:tcPr>
            <w:tcW w:w="271" w:type="pct"/>
            <w:gridSpan w:val="2"/>
            <w:vAlign w:val="center"/>
          </w:tcPr>
          <w:p w14:paraId="55366CD2">
            <w:pPr>
              <w:ind w:right="280"/>
              <w:jc w:val="center"/>
              <w:rPr>
                <w:rFonts w:ascii="Times New Roman" w:hAnsi="Times New Roman"/>
                <w:color w:val="000000" w:themeColor="text1"/>
                <w:spacing w:val="-20"/>
                <w:sz w:val="18"/>
                <w:szCs w:val="18"/>
                <w14:textFill>
                  <w14:solidFill>
                    <w14:schemeClr w14:val="tx1"/>
                  </w14:solidFill>
                </w14:textFill>
              </w:rPr>
            </w:pPr>
          </w:p>
        </w:tc>
        <w:tc>
          <w:tcPr>
            <w:tcW w:w="270" w:type="pct"/>
            <w:gridSpan w:val="2"/>
            <w:vAlign w:val="center"/>
          </w:tcPr>
          <w:p w14:paraId="56298C15">
            <w:pPr>
              <w:autoSpaceDE w:val="0"/>
              <w:autoSpaceDN w:val="0"/>
              <w:jc w:val="center"/>
              <w:rPr>
                <w:rFonts w:ascii="Times New Roman" w:hAnsi="Times New Roman"/>
                <w:color w:val="000000" w:themeColor="text1"/>
                <w:spacing w:val="-20"/>
                <w:sz w:val="18"/>
                <w:szCs w:val="18"/>
                <w14:textFill>
                  <w14:solidFill>
                    <w14:schemeClr w14:val="tx1"/>
                  </w14:solidFill>
                </w14:textFill>
              </w:rPr>
            </w:pPr>
          </w:p>
        </w:tc>
        <w:tc>
          <w:tcPr>
            <w:tcW w:w="246" w:type="pct"/>
            <w:vAlign w:val="center"/>
          </w:tcPr>
          <w:p w14:paraId="76732049">
            <w:pPr>
              <w:autoSpaceDE w:val="0"/>
              <w:autoSpaceDN w:val="0"/>
              <w:jc w:val="center"/>
              <w:rPr>
                <w:rFonts w:ascii="Times New Roman" w:hAnsi="Times New Roman"/>
                <w:color w:val="000000" w:themeColor="text1"/>
                <w:spacing w:val="-20"/>
                <w:sz w:val="18"/>
                <w:szCs w:val="18"/>
                <w14:textFill>
                  <w14:solidFill>
                    <w14:schemeClr w14:val="tx1"/>
                  </w14:solidFill>
                </w14:textFill>
              </w:rPr>
            </w:pPr>
          </w:p>
        </w:tc>
        <w:tc>
          <w:tcPr>
            <w:tcW w:w="335" w:type="pct"/>
            <w:vMerge w:val="continue"/>
            <w:vAlign w:val="center"/>
          </w:tcPr>
          <w:p w14:paraId="50834991">
            <w:pPr>
              <w:autoSpaceDE w:val="0"/>
              <w:autoSpaceDN w:val="0"/>
              <w:jc w:val="center"/>
              <w:rPr>
                <w:rFonts w:ascii="Times New Roman" w:hAnsi="Times New Roman"/>
                <w:color w:val="000000"/>
                <w:spacing w:val="-20"/>
                <w:sz w:val="18"/>
                <w:szCs w:val="18"/>
              </w:rPr>
            </w:pPr>
          </w:p>
        </w:tc>
      </w:tr>
      <w:tr w14:paraId="1CC8C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61" w:type="pct"/>
            <w:gridSpan w:val="3"/>
            <w:vMerge w:val="continue"/>
            <w:vAlign w:val="center"/>
          </w:tcPr>
          <w:p w14:paraId="2043F496">
            <w:pPr>
              <w:jc w:val="center"/>
              <w:rPr>
                <w:rFonts w:ascii="Times New Roman" w:hAnsi="Times New Roman"/>
                <w:color w:val="000000"/>
                <w:sz w:val="18"/>
                <w:szCs w:val="18"/>
              </w:rPr>
            </w:pPr>
          </w:p>
        </w:tc>
        <w:tc>
          <w:tcPr>
            <w:tcW w:w="468" w:type="pct"/>
            <w:vAlign w:val="center"/>
          </w:tcPr>
          <w:p w14:paraId="406CEA7B">
            <w:pPr>
              <w:jc w:val="center"/>
              <w:rPr>
                <w:rFonts w:hint="eastAsia" w:ascii="微软雅黑" w:hAnsi="微软雅黑" w:eastAsia="微软雅黑" w:cs="Segoe UI"/>
                <w:color w:val="333333"/>
                <w:sz w:val="18"/>
                <w:szCs w:val="18"/>
              </w:rPr>
            </w:pPr>
            <w:r>
              <w:rPr>
                <w:rFonts w:hint="eastAsia" w:ascii="微软雅黑" w:hAnsi="微软雅黑" w:eastAsia="微软雅黑" w:cs="Segoe UI"/>
                <w:color w:val="333333"/>
                <w:sz w:val="18"/>
                <w:szCs w:val="18"/>
              </w:rPr>
              <w:t>GG121002</w:t>
            </w:r>
          </w:p>
        </w:tc>
        <w:tc>
          <w:tcPr>
            <w:tcW w:w="865" w:type="pct"/>
            <w:vAlign w:val="center"/>
          </w:tcPr>
          <w:p w14:paraId="45A72E39">
            <w:pPr>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毕业设计</w:t>
            </w:r>
          </w:p>
        </w:tc>
        <w:tc>
          <w:tcPr>
            <w:tcW w:w="271" w:type="pct"/>
            <w:vAlign w:val="center"/>
          </w:tcPr>
          <w:p w14:paraId="0CE8F77F">
            <w:pPr>
              <w:jc w:val="center"/>
              <w:rPr>
                <w:rFonts w:ascii="Times New Roman" w:hAnsi="Times New Roman"/>
                <w:bCs/>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64</w:t>
            </w:r>
          </w:p>
        </w:tc>
        <w:tc>
          <w:tcPr>
            <w:tcW w:w="216" w:type="pct"/>
          </w:tcPr>
          <w:p w14:paraId="76B782B4">
            <w:pPr>
              <w:jc w:val="center"/>
              <w:rPr>
                <w:rFonts w:ascii="宋体"/>
                <w:bCs/>
                <w:color w:val="000000" w:themeColor="text1"/>
                <w:szCs w:val="21"/>
                <w14:textFill>
                  <w14:solidFill>
                    <w14:schemeClr w14:val="tx1"/>
                  </w14:solidFill>
                </w14:textFill>
              </w:rPr>
            </w:pPr>
          </w:p>
        </w:tc>
        <w:tc>
          <w:tcPr>
            <w:tcW w:w="216" w:type="pct"/>
            <w:vAlign w:val="center"/>
          </w:tcPr>
          <w:p w14:paraId="37D35303">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64</w:t>
            </w:r>
          </w:p>
        </w:tc>
        <w:tc>
          <w:tcPr>
            <w:tcW w:w="228" w:type="pct"/>
            <w:vAlign w:val="center"/>
          </w:tcPr>
          <w:p w14:paraId="2F146C3D">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6</w:t>
            </w:r>
          </w:p>
        </w:tc>
        <w:tc>
          <w:tcPr>
            <w:tcW w:w="311" w:type="pct"/>
            <w:gridSpan w:val="2"/>
            <w:vAlign w:val="center"/>
          </w:tcPr>
          <w:p w14:paraId="4E1A1408">
            <w:pPr>
              <w:jc w:val="center"/>
              <w:rPr>
                <w:rFonts w:ascii="Times New Roman" w:hAnsi="Times New Roman"/>
                <w:color w:val="000000" w:themeColor="text1"/>
                <w:spacing w:val="-20"/>
                <w:sz w:val="18"/>
                <w:szCs w:val="18"/>
                <w14:textFill>
                  <w14:solidFill>
                    <w14:schemeClr w14:val="tx1"/>
                  </w14:solidFill>
                </w14:textFill>
              </w:rPr>
            </w:pPr>
          </w:p>
        </w:tc>
        <w:tc>
          <w:tcPr>
            <w:tcW w:w="263" w:type="pct"/>
            <w:gridSpan w:val="3"/>
            <w:vAlign w:val="center"/>
          </w:tcPr>
          <w:p w14:paraId="580B5DD6">
            <w:pPr>
              <w:jc w:val="center"/>
              <w:rPr>
                <w:rFonts w:ascii="Times New Roman" w:hAnsi="Times New Roman"/>
                <w:color w:val="000000" w:themeColor="text1"/>
                <w:spacing w:val="-20"/>
                <w:sz w:val="18"/>
                <w:szCs w:val="18"/>
                <w14:textFill>
                  <w14:solidFill>
                    <w14:schemeClr w14:val="tx1"/>
                  </w14:solidFill>
                </w14:textFill>
              </w:rPr>
            </w:pPr>
          </w:p>
        </w:tc>
        <w:tc>
          <w:tcPr>
            <w:tcW w:w="280" w:type="pct"/>
            <w:gridSpan w:val="3"/>
            <w:vAlign w:val="center"/>
          </w:tcPr>
          <w:p w14:paraId="6992654A">
            <w:pPr>
              <w:jc w:val="center"/>
              <w:rPr>
                <w:rFonts w:ascii="Times New Roman" w:hAnsi="Times New Roman"/>
                <w:color w:val="000000" w:themeColor="text1"/>
                <w:spacing w:val="-20"/>
                <w:sz w:val="18"/>
                <w:szCs w:val="18"/>
                <w14:textFill>
                  <w14:solidFill>
                    <w14:schemeClr w14:val="tx1"/>
                  </w14:solidFill>
                </w14:textFill>
              </w:rPr>
            </w:pPr>
          </w:p>
        </w:tc>
        <w:tc>
          <w:tcPr>
            <w:tcW w:w="271" w:type="pct"/>
            <w:gridSpan w:val="2"/>
            <w:vAlign w:val="center"/>
          </w:tcPr>
          <w:p w14:paraId="521059FD">
            <w:pPr>
              <w:ind w:right="280"/>
              <w:jc w:val="center"/>
              <w:rPr>
                <w:rFonts w:ascii="Times New Roman" w:hAnsi="Times New Roman"/>
                <w:color w:val="000000" w:themeColor="text1"/>
                <w:spacing w:val="-20"/>
                <w:sz w:val="18"/>
                <w:szCs w:val="18"/>
                <w14:textFill>
                  <w14:solidFill>
                    <w14:schemeClr w14:val="tx1"/>
                  </w14:solidFill>
                </w14:textFill>
              </w:rPr>
            </w:pPr>
          </w:p>
        </w:tc>
        <w:tc>
          <w:tcPr>
            <w:tcW w:w="270" w:type="pct"/>
            <w:gridSpan w:val="2"/>
            <w:vAlign w:val="center"/>
          </w:tcPr>
          <w:p w14:paraId="0FCF98F9">
            <w:pPr>
              <w:autoSpaceDE w:val="0"/>
              <w:autoSpaceDN w:val="0"/>
              <w:jc w:val="center"/>
              <w:rPr>
                <w:rFonts w:ascii="Times New Roman" w:hAnsi="Times New Roman"/>
                <w:color w:val="000000" w:themeColor="text1"/>
                <w:spacing w:val="-20"/>
                <w:sz w:val="18"/>
                <w:szCs w:val="18"/>
                <w14:textFill>
                  <w14:solidFill>
                    <w14:schemeClr w14:val="tx1"/>
                  </w14:solidFill>
                </w14:textFill>
              </w:rPr>
            </w:pPr>
          </w:p>
        </w:tc>
        <w:tc>
          <w:tcPr>
            <w:tcW w:w="246" w:type="pct"/>
            <w:vAlign w:val="center"/>
          </w:tcPr>
          <w:p w14:paraId="68A800AD">
            <w:pPr>
              <w:autoSpaceDE w:val="0"/>
              <w:autoSpaceDN w:val="0"/>
              <w:jc w:val="center"/>
              <w:rPr>
                <w:rFonts w:ascii="宋体"/>
                <w:bCs/>
                <w:color w:val="000000" w:themeColor="text1"/>
                <w:sz w:val="18"/>
                <w:szCs w:val="18"/>
                <w14:textFill>
                  <w14:solidFill>
                    <w14:schemeClr w14:val="tx1"/>
                  </w14:solidFill>
                </w14:textFill>
              </w:rPr>
            </w:pPr>
            <w:r>
              <w:rPr>
                <w:rFonts w:hint="eastAsia" w:ascii="宋体"/>
                <w:bCs/>
                <w:color w:val="000000" w:themeColor="text1"/>
                <w:sz w:val="18"/>
                <w:szCs w:val="18"/>
                <w14:textFill>
                  <w14:solidFill>
                    <w14:schemeClr w14:val="tx1"/>
                  </w14:solidFill>
                </w14:textFill>
              </w:rPr>
              <w:t>6周</w:t>
            </w:r>
          </w:p>
        </w:tc>
        <w:tc>
          <w:tcPr>
            <w:tcW w:w="335" w:type="pct"/>
            <w:vAlign w:val="center"/>
          </w:tcPr>
          <w:p w14:paraId="4DB7C765">
            <w:pPr>
              <w:autoSpaceDE w:val="0"/>
              <w:autoSpaceDN w:val="0"/>
              <w:jc w:val="center"/>
              <w:rPr>
                <w:rFonts w:ascii="Times New Roman" w:hAnsi="Times New Roman"/>
                <w:color w:val="000000"/>
                <w:spacing w:val="-20"/>
                <w:sz w:val="18"/>
                <w:szCs w:val="18"/>
              </w:rPr>
            </w:pPr>
          </w:p>
        </w:tc>
      </w:tr>
      <w:tr w14:paraId="4D480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61" w:type="pct"/>
            <w:gridSpan w:val="3"/>
            <w:vMerge w:val="continue"/>
            <w:vAlign w:val="center"/>
          </w:tcPr>
          <w:p w14:paraId="1B72891E">
            <w:pPr>
              <w:jc w:val="center"/>
              <w:rPr>
                <w:rFonts w:ascii="Times New Roman" w:hAnsi="Times New Roman"/>
                <w:color w:val="000000"/>
                <w:sz w:val="18"/>
                <w:szCs w:val="18"/>
              </w:rPr>
            </w:pPr>
          </w:p>
        </w:tc>
        <w:tc>
          <w:tcPr>
            <w:tcW w:w="468" w:type="pct"/>
            <w:vAlign w:val="center"/>
          </w:tcPr>
          <w:p w14:paraId="5B68DC1F">
            <w:pPr>
              <w:jc w:val="center"/>
              <w:rPr>
                <w:rFonts w:hint="eastAsia" w:ascii="微软雅黑" w:hAnsi="微软雅黑" w:eastAsia="微软雅黑" w:cs="Segoe UI"/>
                <w:color w:val="333333"/>
                <w:sz w:val="18"/>
                <w:szCs w:val="18"/>
              </w:rPr>
            </w:pPr>
            <w:r>
              <w:rPr>
                <w:rFonts w:hint="eastAsia" w:ascii="微软雅黑" w:hAnsi="微软雅黑" w:eastAsia="微软雅黑" w:cs="Segoe UI"/>
                <w:color w:val="333333"/>
                <w:sz w:val="18"/>
                <w:szCs w:val="18"/>
              </w:rPr>
              <w:t>GG121003</w:t>
            </w:r>
          </w:p>
        </w:tc>
        <w:tc>
          <w:tcPr>
            <w:tcW w:w="865" w:type="pct"/>
            <w:vAlign w:val="center"/>
          </w:tcPr>
          <w:p w14:paraId="0903A16F">
            <w:pPr>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岗位实习</w:t>
            </w:r>
          </w:p>
        </w:tc>
        <w:tc>
          <w:tcPr>
            <w:tcW w:w="271" w:type="pct"/>
            <w:vAlign w:val="center"/>
          </w:tcPr>
          <w:p w14:paraId="27B27D10">
            <w:pPr>
              <w:jc w:val="center"/>
              <w:rPr>
                <w:rFonts w:ascii="Times New Roman" w:hAnsi="Times New Roman"/>
                <w:bCs/>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384</w:t>
            </w:r>
          </w:p>
        </w:tc>
        <w:tc>
          <w:tcPr>
            <w:tcW w:w="216" w:type="pct"/>
          </w:tcPr>
          <w:p w14:paraId="5C602068">
            <w:pPr>
              <w:jc w:val="center"/>
              <w:rPr>
                <w:rFonts w:ascii="宋体"/>
                <w:bCs/>
                <w:color w:val="000000" w:themeColor="text1"/>
                <w:szCs w:val="21"/>
                <w14:textFill>
                  <w14:solidFill>
                    <w14:schemeClr w14:val="tx1"/>
                  </w14:solidFill>
                </w14:textFill>
              </w:rPr>
            </w:pPr>
          </w:p>
        </w:tc>
        <w:tc>
          <w:tcPr>
            <w:tcW w:w="216" w:type="pct"/>
            <w:vAlign w:val="center"/>
          </w:tcPr>
          <w:p w14:paraId="660E02BD">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384</w:t>
            </w:r>
          </w:p>
        </w:tc>
        <w:tc>
          <w:tcPr>
            <w:tcW w:w="228" w:type="pct"/>
            <w:vAlign w:val="center"/>
          </w:tcPr>
          <w:p w14:paraId="3522E7F6">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24</w:t>
            </w:r>
          </w:p>
        </w:tc>
        <w:tc>
          <w:tcPr>
            <w:tcW w:w="311" w:type="pct"/>
            <w:gridSpan w:val="2"/>
            <w:vAlign w:val="center"/>
          </w:tcPr>
          <w:p w14:paraId="3B0FB148">
            <w:pPr>
              <w:jc w:val="center"/>
              <w:rPr>
                <w:rFonts w:ascii="Times New Roman" w:hAnsi="Times New Roman"/>
                <w:color w:val="000000" w:themeColor="text1"/>
                <w:spacing w:val="-20"/>
                <w:sz w:val="18"/>
                <w:szCs w:val="18"/>
                <w14:textFill>
                  <w14:solidFill>
                    <w14:schemeClr w14:val="tx1"/>
                  </w14:solidFill>
                </w14:textFill>
              </w:rPr>
            </w:pPr>
          </w:p>
        </w:tc>
        <w:tc>
          <w:tcPr>
            <w:tcW w:w="263" w:type="pct"/>
            <w:gridSpan w:val="3"/>
            <w:vAlign w:val="center"/>
          </w:tcPr>
          <w:p w14:paraId="57FFF561">
            <w:pPr>
              <w:jc w:val="center"/>
              <w:rPr>
                <w:rFonts w:ascii="Times New Roman" w:hAnsi="Times New Roman"/>
                <w:color w:val="000000" w:themeColor="text1"/>
                <w:spacing w:val="-20"/>
                <w:sz w:val="18"/>
                <w:szCs w:val="18"/>
                <w14:textFill>
                  <w14:solidFill>
                    <w14:schemeClr w14:val="tx1"/>
                  </w14:solidFill>
                </w14:textFill>
              </w:rPr>
            </w:pPr>
          </w:p>
        </w:tc>
        <w:tc>
          <w:tcPr>
            <w:tcW w:w="280" w:type="pct"/>
            <w:gridSpan w:val="3"/>
            <w:vAlign w:val="center"/>
          </w:tcPr>
          <w:p w14:paraId="7FAC0CB7">
            <w:pPr>
              <w:jc w:val="center"/>
              <w:rPr>
                <w:rFonts w:ascii="Times New Roman" w:hAnsi="Times New Roman"/>
                <w:color w:val="000000" w:themeColor="text1"/>
                <w:spacing w:val="-20"/>
                <w:sz w:val="18"/>
                <w:szCs w:val="18"/>
                <w14:textFill>
                  <w14:solidFill>
                    <w14:schemeClr w14:val="tx1"/>
                  </w14:solidFill>
                </w14:textFill>
              </w:rPr>
            </w:pPr>
          </w:p>
        </w:tc>
        <w:tc>
          <w:tcPr>
            <w:tcW w:w="271" w:type="pct"/>
            <w:gridSpan w:val="2"/>
            <w:vAlign w:val="center"/>
          </w:tcPr>
          <w:p w14:paraId="5BD26340">
            <w:pPr>
              <w:ind w:right="280"/>
              <w:jc w:val="center"/>
              <w:rPr>
                <w:rFonts w:ascii="Times New Roman" w:hAnsi="Times New Roman"/>
                <w:color w:val="000000" w:themeColor="text1"/>
                <w:spacing w:val="-20"/>
                <w:sz w:val="18"/>
                <w:szCs w:val="18"/>
                <w14:textFill>
                  <w14:solidFill>
                    <w14:schemeClr w14:val="tx1"/>
                  </w14:solidFill>
                </w14:textFill>
              </w:rPr>
            </w:pPr>
          </w:p>
        </w:tc>
        <w:tc>
          <w:tcPr>
            <w:tcW w:w="270" w:type="pct"/>
            <w:gridSpan w:val="2"/>
            <w:vAlign w:val="center"/>
          </w:tcPr>
          <w:p w14:paraId="27F01CF5">
            <w:pPr>
              <w:autoSpaceDE w:val="0"/>
              <w:autoSpaceDN w:val="0"/>
              <w:jc w:val="center"/>
              <w:rPr>
                <w:rFonts w:hint="eastAsia" w:ascii="宋体" w:hAnsi="宋体"/>
                <w:color w:val="000000" w:themeColor="text1"/>
                <w:spacing w:val="-20"/>
                <w:sz w:val="18"/>
                <w:szCs w:val="18"/>
                <w14:textFill>
                  <w14:solidFill>
                    <w14:schemeClr w14:val="tx1"/>
                  </w14:solidFill>
                </w14:textFill>
              </w:rPr>
            </w:pPr>
            <w:r>
              <w:rPr>
                <w:rFonts w:hint="eastAsia" w:ascii="宋体" w:hAnsi="宋体"/>
                <w:color w:val="000000" w:themeColor="text1"/>
                <w:spacing w:val="-20"/>
                <w:sz w:val="18"/>
                <w:szCs w:val="18"/>
                <w14:textFill>
                  <w14:solidFill>
                    <w14:schemeClr w14:val="tx1"/>
                  </w14:solidFill>
                </w14:textFill>
              </w:rPr>
              <w:t>10周</w:t>
            </w:r>
          </w:p>
        </w:tc>
        <w:tc>
          <w:tcPr>
            <w:tcW w:w="246" w:type="pct"/>
            <w:vAlign w:val="center"/>
          </w:tcPr>
          <w:p w14:paraId="0694E546">
            <w:pPr>
              <w:autoSpaceDE w:val="0"/>
              <w:autoSpaceDN w:val="0"/>
              <w:jc w:val="center"/>
              <w:rPr>
                <w:rFonts w:ascii="宋体"/>
                <w:bCs/>
                <w:color w:val="000000" w:themeColor="text1"/>
                <w:sz w:val="18"/>
                <w:szCs w:val="18"/>
                <w14:textFill>
                  <w14:solidFill>
                    <w14:schemeClr w14:val="tx1"/>
                  </w14:solidFill>
                </w14:textFill>
              </w:rPr>
            </w:pPr>
            <w:r>
              <w:rPr>
                <w:rFonts w:hint="eastAsia" w:ascii="宋体"/>
                <w:bCs/>
                <w:color w:val="000000" w:themeColor="text1"/>
                <w:sz w:val="18"/>
                <w:szCs w:val="18"/>
                <w14:textFill>
                  <w14:solidFill>
                    <w14:schemeClr w14:val="tx1"/>
                  </w14:solidFill>
                </w14:textFill>
              </w:rPr>
              <w:t>14周</w:t>
            </w:r>
          </w:p>
        </w:tc>
        <w:tc>
          <w:tcPr>
            <w:tcW w:w="335" w:type="pct"/>
            <w:vAlign w:val="center"/>
          </w:tcPr>
          <w:p w14:paraId="745E9575">
            <w:pPr>
              <w:autoSpaceDE w:val="0"/>
              <w:autoSpaceDN w:val="0"/>
              <w:jc w:val="center"/>
              <w:rPr>
                <w:rFonts w:ascii="Times New Roman" w:hAnsi="Times New Roman"/>
                <w:color w:val="000000"/>
                <w:spacing w:val="-20"/>
                <w:sz w:val="18"/>
                <w:szCs w:val="18"/>
              </w:rPr>
            </w:pPr>
          </w:p>
        </w:tc>
      </w:tr>
      <w:tr w14:paraId="2046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61" w:type="pct"/>
            <w:gridSpan w:val="3"/>
            <w:vMerge w:val="continue"/>
            <w:vAlign w:val="center"/>
          </w:tcPr>
          <w:p w14:paraId="4B3F6DD4">
            <w:pPr>
              <w:jc w:val="center"/>
              <w:rPr>
                <w:rFonts w:ascii="Times New Roman" w:hAnsi="Times New Roman"/>
                <w:color w:val="000000"/>
                <w:sz w:val="18"/>
                <w:szCs w:val="18"/>
              </w:rPr>
            </w:pPr>
          </w:p>
        </w:tc>
        <w:tc>
          <w:tcPr>
            <w:tcW w:w="468" w:type="pct"/>
            <w:vAlign w:val="center"/>
          </w:tcPr>
          <w:p w14:paraId="5B1F4998">
            <w:pPr>
              <w:jc w:val="center"/>
              <w:rPr>
                <w:rFonts w:ascii="Times New Roman" w:hAnsi="Times New Roman" w:eastAsia="微软雅黑"/>
                <w:color w:val="FF0000"/>
                <w:spacing w:val="-20"/>
                <w:sz w:val="18"/>
                <w:szCs w:val="18"/>
              </w:rPr>
            </w:pPr>
            <w:r>
              <w:rPr>
                <w:rFonts w:hint="eastAsia" w:ascii="微软雅黑" w:hAnsi="微软雅黑" w:eastAsia="微软雅黑" w:cs="Segoe UI"/>
                <w:color w:val="333333"/>
                <w:sz w:val="18"/>
                <w:szCs w:val="18"/>
              </w:rPr>
              <w:t>GG121004</w:t>
            </w:r>
          </w:p>
        </w:tc>
        <w:tc>
          <w:tcPr>
            <w:tcW w:w="865" w:type="pct"/>
            <w:vAlign w:val="center"/>
          </w:tcPr>
          <w:p w14:paraId="54E7894C">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物流管理综合实训</w:t>
            </w:r>
          </w:p>
        </w:tc>
        <w:tc>
          <w:tcPr>
            <w:tcW w:w="271" w:type="pct"/>
            <w:vAlign w:val="center"/>
          </w:tcPr>
          <w:p w14:paraId="09ED71F9">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16" w:type="pct"/>
            <w:vAlign w:val="center"/>
          </w:tcPr>
          <w:p w14:paraId="6092B947">
            <w:pPr>
              <w:jc w:val="center"/>
              <w:rPr>
                <w:rFonts w:ascii="Times New Roman" w:hAnsi="Times New Roman"/>
                <w:color w:val="000000"/>
                <w:spacing w:val="-20"/>
                <w:sz w:val="18"/>
                <w:szCs w:val="18"/>
              </w:rPr>
            </w:pPr>
            <w:r>
              <w:rPr>
                <w:rFonts w:ascii="Times New Roman" w:hAnsi="Times New Roman"/>
                <w:color w:val="000000"/>
                <w:spacing w:val="-20"/>
                <w:sz w:val="18"/>
                <w:szCs w:val="18"/>
              </w:rPr>
              <w:t>0</w:t>
            </w:r>
          </w:p>
        </w:tc>
        <w:tc>
          <w:tcPr>
            <w:tcW w:w="216" w:type="pct"/>
            <w:vAlign w:val="center"/>
          </w:tcPr>
          <w:p w14:paraId="3782DB7A">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28" w:type="pct"/>
            <w:vAlign w:val="center"/>
          </w:tcPr>
          <w:p w14:paraId="32C64FE3">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95" w:type="pct"/>
            <w:vAlign w:val="center"/>
          </w:tcPr>
          <w:p w14:paraId="3C2B9D45">
            <w:pPr>
              <w:jc w:val="center"/>
              <w:rPr>
                <w:rFonts w:ascii="Times New Roman" w:hAnsi="Times New Roman"/>
                <w:color w:val="000000" w:themeColor="text1"/>
                <w:sz w:val="18"/>
                <w:szCs w:val="18"/>
                <w14:textFill>
                  <w14:solidFill>
                    <w14:schemeClr w14:val="tx1"/>
                  </w14:solidFill>
                </w14:textFill>
              </w:rPr>
            </w:pPr>
          </w:p>
        </w:tc>
        <w:tc>
          <w:tcPr>
            <w:tcW w:w="267" w:type="pct"/>
            <w:gridSpan w:val="2"/>
            <w:vAlign w:val="center"/>
          </w:tcPr>
          <w:p w14:paraId="1B155EAC">
            <w:pPr>
              <w:jc w:val="center"/>
              <w:rPr>
                <w:rFonts w:ascii="Times New Roman" w:hAnsi="Times New Roman"/>
                <w:color w:val="000000" w:themeColor="text1"/>
                <w:sz w:val="18"/>
                <w:szCs w:val="18"/>
                <w14:textFill>
                  <w14:solidFill>
                    <w14:schemeClr w14:val="tx1"/>
                  </w14:solidFill>
                </w14:textFill>
              </w:rPr>
            </w:pPr>
          </w:p>
        </w:tc>
        <w:tc>
          <w:tcPr>
            <w:tcW w:w="281" w:type="pct"/>
            <w:gridSpan w:val="3"/>
            <w:vAlign w:val="center"/>
          </w:tcPr>
          <w:p w14:paraId="19CBB6AB">
            <w:pPr>
              <w:jc w:val="center"/>
              <w:rPr>
                <w:rFonts w:ascii="Times New Roman" w:hAnsi="Times New Roman"/>
                <w:color w:val="000000" w:themeColor="text1"/>
                <w:sz w:val="18"/>
                <w:szCs w:val="18"/>
                <w14:textFill>
                  <w14:solidFill>
                    <w14:schemeClr w14:val="tx1"/>
                  </w14:solidFill>
                </w14:textFill>
              </w:rPr>
            </w:pPr>
          </w:p>
        </w:tc>
        <w:tc>
          <w:tcPr>
            <w:tcW w:w="282" w:type="pct"/>
            <w:gridSpan w:val="4"/>
            <w:vAlign w:val="center"/>
          </w:tcPr>
          <w:p w14:paraId="1CC3CAD4">
            <w:pPr>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2周</w:t>
            </w:r>
          </w:p>
        </w:tc>
        <w:tc>
          <w:tcPr>
            <w:tcW w:w="270" w:type="pct"/>
            <w:gridSpan w:val="2"/>
            <w:vAlign w:val="center"/>
          </w:tcPr>
          <w:p w14:paraId="39FB9C00">
            <w:pPr>
              <w:autoSpaceDE w:val="0"/>
              <w:autoSpaceDN w:val="0"/>
              <w:jc w:val="center"/>
              <w:rPr>
                <w:rFonts w:ascii="Times New Roman" w:hAnsi="Times New Roman"/>
                <w:color w:val="000000" w:themeColor="text1"/>
                <w:spacing w:val="-20"/>
                <w:sz w:val="18"/>
                <w:szCs w:val="18"/>
                <w14:textFill>
                  <w14:solidFill>
                    <w14:schemeClr w14:val="tx1"/>
                  </w14:solidFill>
                </w14:textFill>
              </w:rPr>
            </w:pPr>
          </w:p>
        </w:tc>
        <w:tc>
          <w:tcPr>
            <w:tcW w:w="246" w:type="pct"/>
            <w:vAlign w:val="center"/>
          </w:tcPr>
          <w:p w14:paraId="191DD0D2">
            <w:pPr>
              <w:autoSpaceDE w:val="0"/>
              <w:autoSpaceDN w:val="0"/>
              <w:jc w:val="center"/>
              <w:rPr>
                <w:rFonts w:ascii="Times New Roman" w:hAnsi="Times New Roman"/>
                <w:color w:val="000000" w:themeColor="text1"/>
                <w:spacing w:val="-20"/>
                <w:sz w:val="18"/>
                <w:szCs w:val="18"/>
                <w14:textFill>
                  <w14:solidFill>
                    <w14:schemeClr w14:val="tx1"/>
                  </w14:solidFill>
                </w14:textFill>
              </w:rPr>
            </w:pPr>
          </w:p>
        </w:tc>
        <w:tc>
          <w:tcPr>
            <w:tcW w:w="335" w:type="pct"/>
            <w:vAlign w:val="center"/>
          </w:tcPr>
          <w:p w14:paraId="3FDF1D76">
            <w:pPr>
              <w:autoSpaceDE w:val="0"/>
              <w:autoSpaceDN w:val="0"/>
              <w:jc w:val="center"/>
              <w:rPr>
                <w:rFonts w:ascii="Times New Roman" w:hAnsi="Times New Roman"/>
                <w:color w:val="000000"/>
                <w:spacing w:val="-20"/>
                <w:sz w:val="18"/>
                <w:szCs w:val="18"/>
              </w:rPr>
            </w:pPr>
          </w:p>
        </w:tc>
      </w:tr>
      <w:tr w14:paraId="17F68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61" w:type="pct"/>
            <w:gridSpan w:val="3"/>
            <w:vMerge w:val="continue"/>
            <w:vAlign w:val="center"/>
          </w:tcPr>
          <w:p w14:paraId="1F065101">
            <w:pPr>
              <w:jc w:val="center"/>
              <w:rPr>
                <w:rFonts w:ascii="Times New Roman" w:hAnsi="Times New Roman"/>
                <w:color w:val="000000"/>
                <w:sz w:val="18"/>
                <w:szCs w:val="18"/>
              </w:rPr>
            </w:pPr>
          </w:p>
        </w:tc>
        <w:tc>
          <w:tcPr>
            <w:tcW w:w="1333" w:type="pct"/>
            <w:gridSpan w:val="2"/>
            <w:vAlign w:val="center"/>
          </w:tcPr>
          <w:p w14:paraId="027B44CB">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b/>
                <w:bCs/>
                <w:color w:val="000000" w:themeColor="text1"/>
                <w:sz w:val="18"/>
                <w:szCs w:val="18"/>
                <w14:textFill>
                  <w14:solidFill>
                    <w14:schemeClr w14:val="tx1"/>
                  </w14:solidFill>
                </w14:textFill>
              </w:rPr>
              <w:t>小计</w:t>
            </w:r>
          </w:p>
        </w:tc>
        <w:tc>
          <w:tcPr>
            <w:tcW w:w="271" w:type="pct"/>
            <w:vAlign w:val="center"/>
          </w:tcPr>
          <w:p w14:paraId="3FDF79FA">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512</w:t>
            </w:r>
          </w:p>
        </w:tc>
        <w:tc>
          <w:tcPr>
            <w:tcW w:w="216" w:type="pct"/>
            <w:vAlign w:val="center"/>
          </w:tcPr>
          <w:p w14:paraId="46F6DC63">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0</w:t>
            </w:r>
          </w:p>
        </w:tc>
        <w:tc>
          <w:tcPr>
            <w:tcW w:w="216" w:type="pct"/>
            <w:vAlign w:val="center"/>
          </w:tcPr>
          <w:p w14:paraId="294FCAAB">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512</w:t>
            </w:r>
          </w:p>
        </w:tc>
        <w:tc>
          <w:tcPr>
            <w:tcW w:w="228" w:type="pct"/>
            <w:vAlign w:val="center"/>
          </w:tcPr>
          <w:p w14:paraId="12F6BEFA">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34</w:t>
            </w:r>
          </w:p>
        </w:tc>
        <w:tc>
          <w:tcPr>
            <w:tcW w:w="311" w:type="pct"/>
            <w:gridSpan w:val="2"/>
            <w:vAlign w:val="center"/>
          </w:tcPr>
          <w:p w14:paraId="1C6867F0">
            <w:pPr>
              <w:jc w:val="center"/>
              <w:rPr>
                <w:rFonts w:ascii="Times New Roman" w:hAnsi="Times New Roman"/>
                <w:color w:val="000000" w:themeColor="text1"/>
                <w:spacing w:val="-20"/>
                <w:sz w:val="18"/>
                <w:szCs w:val="18"/>
                <w14:textFill>
                  <w14:solidFill>
                    <w14:schemeClr w14:val="tx1"/>
                  </w14:solidFill>
                </w14:textFill>
              </w:rPr>
            </w:pPr>
          </w:p>
        </w:tc>
        <w:tc>
          <w:tcPr>
            <w:tcW w:w="263" w:type="pct"/>
            <w:gridSpan w:val="3"/>
            <w:vAlign w:val="center"/>
          </w:tcPr>
          <w:p w14:paraId="16A3A59F">
            <w:pPr>
              <w:jc w:val="center"/>
              <w:rPr>
                <w:rFonts w:ascii="Times New Roman" w:hAnsi="Times New Roman"/>
                <w:color w:val="000000" w:themeColor="text1"/>
                <w:spacing w:val="-20"/>
                <w:sz w:val="18"/>
                <w:szCs w:val="18"/>
                <w14:textFill>
                  <w14:solidFill>
                    <w14:schemeClr w14:val="tx1"/>
                  </w14:solidFill>
                </w14:textFill>
              </w:rPr>
            </w:pPr>
          </w:p>
        </w:tc>
        <w:tc>
          <w:tcPr>
            <w:tcW w:w="280" w:type="pct"/>
            <w:gridSpan w:val="3"/>
            <w:vAlign w:val="center"/>
          </w:tcPr>
          <w:p w14:paraId="18E96B41">
            <w:pPr>
              <w:ind w:right="280"/>
              <w:jc w:val="center"/>
              <w:rPr>
                <w:rFonts w:ascii="Times New Roman" w:hAnsi="Times New Roman"/>
                <w:color w:val="000000" w:themeColor="text1"/>
                <w:spacing w:val="-20"/>
                <w:sz w:val="18"/>
                <w:szCs w:val="18"/>
                <w14:textFill>
                  <w14:solidFill>
                    <w14:schemeClr w14:val="tx1"/>
                  </w14:solidFill>
                </w14:textFill>
              </w:rPr>
            </w:pPr>
          </w:p>
        </w:tc>
        <w:tc>
          <w:tcPr>
            <w:tcW w:w="271" w:type="pct"/>
            <w:gridSpan w:val="2"/>
            <w:vAlign w:val="center"/>
          </w:tcPr>
          <w:p w14:paraId="766B1823">
            <w:pPr>
              <w:ind w:right="280"/>
              <w:jc w:val="center"/>
              <w:rPr>
                <w:rFonts w:ascii="Times New Roman" w:hAnsi="Times New Roman"/>
                <w:color w:val="000000" w:themeColor="text1"/>
                <w:spacing w:val="-20"/>
                <w:sz w:val="18"/>
                <w:szCs w:val="18"/>
                <w14:textFill>
                  <w14:solidFill>
                    <w14:schemeClr w14:val="tx1"/>
                  </w14:solidFill>
                </w14:textFill>
              </w:rPr>
            </w:pPr>
          </w:p>
        </w:tc>
        <w:tc>
          <w:tcPr>
            <w:tcW w:w="270" w:type="pct"/>
            <w:gridSpan w:val="2"/>
            <w:vAlign w:val="center"/>
          </w:tcPr>
          <w:p w14:paraId="1B4956A2">
            <w:pPr>
              <w:autoSpaceDE w:val="0"/>
              <w:autoSpaceDN w:val="0"/>
              <w:jc w:val="center"/>
              <w:rPr>
                <w:rFonts w:ascii="Times New Roman" w:hAnsi="Times New Roman"/>
                <w:color w:val="000000" w:themeColor="text1"/>
                <w:spacing w:val="-20"/>
                <w:sz w:val="18"/>
                <w:szCs w:val="18"/>
                <w14:textFill>
                  <w14:solidFill>
                    <w14:schemeClr w14:val="tx1"/>
                  </w14:solidFill>
                </w14:textFill>
              </w:rPr>
            </w:pPr>
          </w:p>
        </w:tc>
        <w:tc>
          <w:tcPr>
            <w:tcW w:w="246" w:type="pct"/>
            <w:vAlign w:val="center"/>
          </w:tcPr>
          <w:p w14:paraId="66C0BE02">
            <w:pPr>
              <w:autoSpaceDE w:val="0"/>
              <w:autoSpaceDN w:val="0"/>
              <w:jc w:val="center"/>
              <w:rPr>
                <w:rFonts w:ascii="Times New Roman" w:hAnsi="Times New Roman"/>
                <w:color w:val="000000" w:themeColor="text1"/>
                <w:spacing w:val="-20"/>
                <w:sz w:val="18"/>
                <w:szCs w:val="18"/>
                <w14:textFill>
                  <w14:solidFill>
                    <w14:schemeClr w14:val="tx1"/>
                  </w14:solidFill>
                </w14:textFill>
              </w:rPr>
            </w:pPr>
          </w:p>
        </w:tc>
        <w:tc>
          <w:tcPr>
            <w:tcW w:w="335" w:type="pct"/>
            <w:vAlign w:val="center"/>
          </w:tcPr>
          <w:p w14:paraId="7CE88992">
            <w:pPr>
              <w:autoSpaceDE w:val="0"/>
              <w:autoSpaceDN w:val="0"/>
              <w:jc w:val="center"/>
              <w:rPr>
                <w:rFonts w:ascii="Times New Roman" w:hAnsi="Times New Roman"/>
                <w:color w:val="000000"/>
                <w:spacing w:val="-20"/>
                <w:sz w:val="18"/>
                <w:szCs w:val="18"/>
              </w:rPr>
            </w:pPr>
          </w:p>
        </w:tc>
      </w:tr>
      <w:tr w14:paraId="5EA3A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2094" w:type="pct"/>
            <w:gridSpan w:val="5"/>
            <w:vAlign w:val="center"/>
          </w:tcPr>
          <w:p w14:paraId="73730E5C">
            <w:pPr>
              <w:jc w:val="center"/>
              <w:rPr>
                <w:rFonts w:ascii="Times New Roman" w:hAnsi="Times New Roman"/>
                <w:b/>
                <w:bCs/>
                <w:color w:val="000000"/>
                <w:sz w:val="18"/>
                <w:szCs w:val="18"/>
              </w:rPr>
            </w:pPr>
            <w:r>
              <w:rPr>
                <w:rFonts w:hint="eastAsia" w:ascii="Times New Roman" w:hAnsi="Times New Roman"/>
                <w:b/>
                <w:bCs/>
                <w:color w:val="000000"/>
                <w:sz w:val="18"/>
                <w:szCs w:val="18"/>
              </w:rPr>
              <w:t>总计</w:t>
            </w:r>
          </w:p>
        </w:tc>
        <w:tc>
          <w:tcPr>
            <w:tcW w:w="271" w:type="pct"/>
            <w:vAlign w:val="center"/>
          </w:tcPr>
          <w:p w14:paraId="276CAB5E">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2572</w:t>
            </w:r>
          </w:p>
        </w:tc>
        <w:tc>
          <w:tcPr>
            <w:tcW w:w="216" w:type="pct"/>
            <w:vAlign w:val="center"/>
          </w:tcPr>
          <w:p w14:paraId="6F99C5BF">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1360</w:t>
            </w:r>
          </w:p>
        </w:tc>
        <w:tc>
          <w:tcPr>
            <w:tcW w:w="216" w:type="pct"/>
            <w:vAlign w:val="center"/>
          </w:tcPr>
          <w:p w14:paraId="216DB842">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1212</w:t>
            </w:r>
          </w:p>
        </w:tc>
        <w:tc>
          <w:tcPr>
            <w:tcW w:w="228" w:type="pct"/>
            <w:vAlign w:val="center"/>
          </w:tcPr>
          <w:p w14:paraId="61CDB18E">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149</w:t>
            </w:r>
          </w:p>
        </w:tc>
        <w:tc>
          <w:tcPr>
            <w:tcW w:w="311" w:type="pct"/>
            <w:gridSpan w:val="2"/>
            <w:vAlign w:val="center"/>
          </w:tcPr>
          <w:p w14:paraId="2F6097F4">
            <w:pPr>
              <w:jc w:val="center"/>
              <w:rPr>
                <w:rFonts w:ascii="Times New Roman" w:hAnsi="Times New Roman"/>
                <w:color w:val="000000"/>
                <w:spacing w:val="-20"/>
                <w:sz w:val="18"/>
                <w:szCs w:val="18"/>
              </w:rPr>
            </w:pPr>
          </w:p>
        </w:tc>
        <w:tc>
          <w:tcPr>
            <w:tcW w:w="263" w:type="pct"/>
            <w:gridSpan w:val="3"/>
            <w:vAlign w:val="center"/>
          </w:tcPr>
          <w:p w14:paraId="1BA6EBAB">
            <w:pPr>
              <w:jc w:val="center"/>
              <w:rPr>
                <w:rFonts w:ascii="Times New Roman" w:hAnsi="Times New Roman"/>
                <w:color w:val="000000"/>
                <w:spacing w:val="-20"/>
                <w:sz w:val="18"/>
                <w:szCs w:val="18"/>
              </w:rPr>
            </w:pPr>
          </w:p>
        </w:tc>
        <w:tc>
          <w:tcPr>
            <w:tcW w:w="280" w:type="pct"/>
            <w:gridSpan w:val="3"/>
            <w:vAlign w:val="center"/>
          </w:tcPr>
          <w:p w14:paraId="28AB8DDE">
            <w:pPr>
              <w:ind w:right="280"/>
              <w:jc w:val="center"/>
              <w:rPr>
                <w:rFonts w:ascii="Times New Roman" w:hAnsi="Times New Roman"/>
                <w:color w:val="000000"/>
                <w:spacing w:val="-20"/>
                <w:sz w:val="18"/>
                <w:szCs w:val="18"/>
              </w:rPr>
            </w:pPr>
          </w:p>
        </w:tc>
        <w:tc>
          <w:tcPr>
            <w:tcW w:w="271" w:type="pct"/>
            <w:gridSpan w:val="2"/>
            <w:vAlign w:val="center"/>
          </w:tcPr>
          <w:p w14:paraId="37FD9165">
            <w:pPr>
              <w:ind w:right="280"/>
              <w:jc w:val="center"/>
              <w:rPr>
                <w:rFonts w:ascii="Times New Roman" w:hAnsi="Times New Roman"/>
                <w:color w:val="000000"/>
                <w:spacing w:val="-20"/>
                <w:sz w:val="18"/>
                <w:szCs w:val="18"/>
              </w:rPr>
            </w:pPr>
          </w:p>
        </w:tc>
        <w:tc>
          <w:tcPr>
            <w:tcW w:w="270" w:type="pct"/>
            <w:gridSpan w:val="2"/>
            <w:vAlign w:val="center"/>
          </w:tcPr>
          <w:p w14:paraId="2CE22D1D">
            <w:pPr>
              <w:autoSpaceDE w:val="0"/>
              <w:autoSpaceDN w:val="0"/>
              <w:jc w:val="center"/>
              <w:rPr>
                <w:rFonts w:ascii="Times New Roman" w:hAnsi="Times New Roman"/>
                <w:color w:val="000000"/>
                <w:spacing w:val="-20"/>
                <w:sz w:val="18"/>
                <w:szCs w:val="18"/>
              </w:rPr>
            </w:pPr>
          </w:p>
        </w:tc>
        <w:tc>
          <w:tcPr>
            <w:tcW w:w="246" w:type="pct"/>
            <w:vAlign w:val="center"/>
          </w:tcPr>
          <w:p w14:paraId="32C57BA9">
            <w:pPr>
              <w:autoSpaceDE w:val="0"/>
              <w:autoSpaceDN w:val="0"/>
              <w:jc w:val="center"/>
              <w:rPr>
                <w:rFonts w:ascii="Times New Roman" w:hAnsi="Times New Roman"/>
                <w:color w:val="000000"/>
                <w:spacing w:val="-20"/>
                <w:sz w:val="18"/>
                <w:szCs w:val="18"/>
              </w:rPr>
            </w:pPr>
          </w:p>
        </w:tc>
        <w:tc>
          <w:tcPr>
            <w:tcW w:w="335" w:type="pct"/>
            <w:vAlign w:val="center"/>
          </w:tcPr>
          <w:p w14:paraId="00BACE72">
            <w:pPr>
              <w:autoSpaceDE w:val="0"/>
              <w:autoSpaceDN w:val="0"/>
              <w:jc w:val="center"/>
              <w:rPr>
                <w:rFonts w:ascii="Times New Roman" w:hAnsi="Times New Roman"/>
                <w:color w:val="000000"/>
                <w:spacing w:val="-20"/>
                <w:sz w:val="18"/>
                <w:szCs w:val="18"/>
              </w:rPr>
            </w:pPr>
          </w:p>
        </w:tc>
      </w:tr>
      <w:bookmarkEnd w:id="71"/>
    </w:tbl>
    <w:p w14:paraId="2DA14371">
      <w:pPr>
        <w:jc w:val="center"/>
        <w:rPr>
          <w:rFonts w:ascii="Times New Roman" w:hAnsi="Times New Roman"/>
          <w:color w:val="000000"/>
          <w:spacing w:val="-20"/>
          <w:sz w:val="18"/>
          <w:szCs w:val="18"/>
        </w:rPr>
      </w:pPr>
    </w:p>
    <w:p w14:paraId="08D0023B">
      <w:pPr>
        <w:keepNext/>
        <w:keepLines/>
        <w:spacing w:line="500" w:lineRule="exact"/>
        <w:ind w:firstLine="560" w:firstLineChars="200"/>
        <w:outlineLvl w:val="1"/>
        <w:rPr>
          <w:rFonts w:ascii="Arial" w:hAnsi="Arial" w:eastAsia="黑体"/>
          <w:b/>
          <w:bCs/>
          <w:color w:val="000000"/>
          <w:sz w:val="28"/>
          <w:szCs w:val="28"/>
        </w:rPr>
      </w:pPr>
      <w:r>
        <w:rPr>
          <w:rFonts w:hint="eastAsia" w:ascii="Arial" w:hAnsi="Arial" w:eastAsia="黑体"/>
          <w:b/>
          <w:bCs/>
          <w:color w:val="000000"/>
          <w:sz w:val="28"/>
          <w:szCs w:val="28"/>
        </w:rPr>
        <w:t>（三）课时学分分配明细</w:t>
      </w:r>
    </w:p>
    <w:p w14:paraId="6E49F8F8">
      <w:pPr>
        <w:jc w:val="center"/>
        <w:rPr>
          <w:rFonts w:ascii="Times New Roman" w:hAnsi="Times New Roman"/>
          <w:b/>
          <w:bCs/>
          <w:color w:val="000000"/>
          <w:sz w:val="24"/>
          <w:szCs w:val="24"/>
        </w:rPr>
      </w:pPr>
      <w:r>
        <w:rPr>
          <w:rFonts w:hint="eastAsia" w:ascii="Times New Roman" w:hAnsi="Times New Roman"/>
          <w:b/>
          <w:bCs/>
          <w:color w:val="000000"/>
          <w:sz w:val="24"/>
          <w:szCs w:val="24"/>
        </w:rPr>
        <w:t>表10</w:t>
      </w:r>
      <w:r>
        <w:rPr>
          <w:rFonts w:ascii="Times New Roman" w:hAnsi="Times New Roman"/>
          <w:b/>
          <w:bCs/>
          <w:color w:val="000000"/>
          <w:sz w:val="24"/>
          <w:szCs w:val="24"/>
        </w:rPr>
        <w:t xml:space="preserve"> </w:t>
      </w:r>
      <w:r>
        <w:rPr>
          <w:rFonts w:hint="eastAsia" w:ascii="Times New Roman" w:hAnsi="Times New Roman"/>
          <w:b/>
          <w:bCs/>
          <w:color w:val="000000"/>
          <w:sz w:val="24"/>
          <w:szCs w:val="24"/>
        </w:rPr>
        <w:t>学分分配明细表</w:t>
      </w:r>
    </w:p>
    <w:tbl>
      <w:tblPr>
        <w:tblStyle w:val="24"/>
        <w:tblW w:w="13894" w:type="dxa"/>
        <w:tblInd w:w="103" w:type="dxa"/>
        <w:tblLayout w:type="autofit"/>
        <w:tblCellMar>
          <w:top w:w="0" w:type="dxa"/>
          <w:left w:w="108" w:type="dxa"/>
          <w:bottom w:w="0" w:type="dxa"/>
          <w:right w:w="108" w:type="dxa"/>
        </w:tblCellMar>
      </w:tblPr>
      <w:tblGrid>
        <w:gridCol w:w="1706"/>
        <w:gridCol w:w="753"/>
        <w:gridCol w:w="523"/>
        <w:gridCol w:w="1134"/>
        <w:gridCol w:w="567"/>
        <w:gridCol w:w="425"/>
        <w:gridCol w:w="993"/>
        <w:gridCol w:w="1417"/>
        <w:gridCol w:w="1148"/>
        <w:gridCol w:w="270"/>
        <w:gridCol w:w="606"/>
        <w:gridCol w:w="386"/>
        <w:gridCol w:w="850"/>
        <w:gridCol w:w="682"/>
        <w:gridCol w:w="876"/>
        <w:gridCol w:w="1558"/>
      </w:tblGrid>
      <w:tr w14:paraId="1065A5BA">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000000" w:sz="4" w:space="0"/>
            </w:tcBorders>
            <w:shd w:val="clear" w:color="auto" w:fill="B4C6E7" w:themeFill="accent1" w:themeFillTint="66"/>
            <w:vAlign w:val="center"/>
          </w:tcPr>
          <w:p w14:paraId="1F4DEA70">
            <w:pPr>
              <w:widowControl/>
              <w:jc w:val="center"/>
              <w:rPr>
                <w:rFonts w:hint="eastAsia" w:ascii="宋体" w:hAnsi="宋体" w:cs="宋体"/>
                <w:b/>
                <w:color w:val="000000"/>
                <w:kern w:val="0"/>
                <w:sz w:val="22"/>
              </w:rPr>
            </w:pPr>
            <w:r>
              <w:rPr>
                <w:rFonts w:hint="eastAsia" w:ascii="宋体" w:hAnsi="宋体" w:cs="宋体"/>
                <w:b/>
                <w:color w:val="000000"/>
                <w:kern w:val="0"/>
                <w:sz w:val="22"/>
              </w:rPr>
              <w:t>课程类别课时学分统计表</w:t>
            </w:r>
          </w:p>
        </w:tc>
      </w:tr>
      <w:tr w14:paraId="2C13CA4B">
        <w:tblPrEx>
          <w:tblCellMar>
            <w:top w:w="0" w:type="dxa"/>
            <w:left w:w="108" w:type="dxa"/>
            <w:bottom w:w="0" w:type="dxa"/>
            <w:right w:w="108" w:type="dxa"/>
          </w:tblCellMar>
        </w:tblPrEx>
        <w:trPr>
          <w:trHeight w:val="518"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71D8962">
            <w:pPr>
              <w:widowControl/>
              <w:jc w:val="center"/>
              <w:rPr>
                <w:rFonts w:hint="eastAsia" w:ascii="宋体" w:hAnsi="宋体" w:cs="宋体"/>
                <w:color w:val="000000"/>
                <w:kern w:val="0"/>
                <w:sz w:val="22"/>
              </w:rPr>
            </w:pPr>
            <w:r>
              <w:rPr>
                <w:rFonts w:hint="eastAsia" w:ascii="宋体" w:hAnsi="宋体" w:cs="宋体"/>
                <w:color w:val="000000"/>
                <w:kern w:val="0"/>
                <w:sz w:val="22"/>
              </w:rPr>
              <w:t>课程类别</w:t>
            </w:r>
          </w:p>
        </w:tc>
        <w:tc>
          <w:tcPr>
            <w:tcW w:w="4395" w:type="dxa"/>
            <w:gridSpan w:val="6"/>
            <w:tcBorders>
              <w:top w:val="single" w:color="auto" w:sz="4" w:space="0"/>
              <w:left w:val="nil"/>
              <w:bottom w:val="single" w:color="auto" w:sz="4" w:space="0"/>
              <w:right w:val="single" w:color="auto" w:sz="4" w:space="0"/>
            </w:tcBorders>
            <w:shd w:val="clear" w:color="auto" w:fill="auto"/>
            <w:vAlign w:val="center"/>
          </w:tcPr>
          <w:p w14:paraId="2F67B821">
            <w:pPr>
              <w:widowControl/>
              <w:jc w:val="center"/>
              <w:rPr>
                <w:rFonts w:hint="eastAsia" w:ascii="宋体" w:hAnsi="宋体" w:cs="宋体"/>
                <w:color w:val="000000"/>
                <w:kern w:val="0"/>
                <w:sz w:val="22"/>
              </w:rPr>
            </w:pPr>
            <w:r>
              <w:rPr>
                <w:rFonts w:hint="eastAsia" w:ascii="宋体" w:hAnsi="宋体" w:cs="宋体"/>
                <w:color w:val="000000"/>
                <w:kern w:val="0"/>
                <w:sz w:val="22"/>
              </w:rPr>
              <w:t>必修</w:t>
            </w:r>
          </w:p>
        </w:tc>
        <w:tc>
          <w:tcPr>
            <w:tcW w:w="623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0A4CF1FF">
            <w:pPr>
              <w:widowControl/>
              <w:jc w:val="center"/>
              <w:rPr>
                <w:rFonts w:hint="eastAsia" w:ascii="宋体" w:hAnsi="宋体" w:cs="宋体"/>
                <w:color w:val="000000"/>
                <w:kern w:val="0"/>
                <w:sz w:val="22"/>
              </w:rPr>
            </w:pPr>
            <w:r>
              <w:rPr>
                <w:rFonts w:hint="eastAsia" w:ascii="宋体" w:hAnsi="宋体" w:cs="宋体"/>
                <w:color w:val="000000"/>
                <w:kern w:val="0"/>
                <w:sz w:val="22"/>
              </w:rPr>
              <w:t xml:space="preserve"> 选修 </w:t>
            </w:r>
          </w:p>
        </w:tc>
        <w:tc>
          <w:tcPr>
            <w:tcW w:w="1558" w:type="dxa"/>
            <w:vMerge w:val="restart"/>
            <w:tcBorders>
              <w:top w:val="single" w:color="auto" w:sz="4" w:space="0"/>
              <w:left w:val="single" w:color="auto" w:sz="4" w:space="0"/>
              <w:right w:val="single" w:color="000000" w:sz="4" w:space="0"/>
            </w:tcBorders>
          </w:tcPr>
          <w:p w14:paraId="54B2EED5">
            <w:pPr>
              <w:widowControl/>
              <w:jc w:val="center"/>
              <w:rPr>
                <w:rFonts w:hint="eastAsia" w:ascii="宋体" w:hAnsi="宋体" w:cs="宋体"/>
                <w:color w:val="000000"/>
                <w:kern w:val="0"/>
                <w:sz w:val="22"/>
              </w:rPr>
            </w:pPr>
          </w:p>
          <w:p w14:paraId="57C7E1F5">
            <w:pPr>
              <w:pStyle w:val="2"/>
              <w:ind w:firstLine="420"/>
              <w:rPr>
                <w:rFonts w:hint="eastAsia"/>
                <w:lang w:val="en-US"/>
              </w:rPr>
            </w:pPr>
          </w:p>
          <w:p w14:paraId="61628AAE">
            <w:pPr>
              <w:pStyle w:val="2"/>
              <w:ind w:firstLine="420"/>
              <w:rPr>
                <w:rFonts w:hint="eastAsia"/>
                <w:lang w:val="en-US"/>
              </w:rPr>
            </w:pPr>
            <w:r>
              <w:rPr>
                <w:rFonts w:hint="eastAsia"/>
                <w:lang w:val="en-US"/>
              </w:rPr>
              <w:t>合计</w:t>
            </w:r>
          </w:p>
        </w:tc>
      </w:tr>
      <w:tr w14:paraId="3817D283">
        <w:tblPrEx>
          <w:tblCellMar>
            <w:top w:w="0" w:type="dxa"/>
            <w:left w:w="108" w:type="dxa"/>
            <w:bottom w:w="0" w:type="dxa"/>
            <w:right w:w="108" w:type="dxa"/>
          </w:tblCellMar>
        </w:tblPrEx>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14:paraId="1F5842CD">
            <w:pPr>
              <w:widowControl/>
              <w:jc w:val="left"/>
              <w:rPr>
                <w:rFonts w:hint="eastAsia" w:ascii="宋体" w:hAnsi="宋体" w:cs="宋体"/>
                <w:color w:val="000000"/>
                <w:kern w:val="0"/>
                <w:sz w:val="22"/>
              </w:rPr>
            </w:pPr>
          </w:p>
        </w:tc>
        <w:tc>
          <w:tcPr>
            <w:tcW w:w="1276" w:type="dxa"/>
            <w:gridSpan w:val="2"/>
            <w:tcBorders>
              <w:top w:val="nil"/>
              <w:left w:val="nil"/>
              <w:bottom w:val="single" w:color="auto" w:sz="4" w:space="0"/>
              <w:right w:val="single" w:color="auto" w:sz="4" w:space="0"/>
            </w:tcBorders>
            <w:shd w:val="clear" w:color="auto" w:fill="auto"/>
            <w:vAlign w:val="center"/>
          </w:tcPr>
          <w:p w14:paraId="1C03BE83">
            <w:pPr>
              <w:widowControl/>
              <w:jc w:val="center"/>
              <w:rPr>
                <w:rFonts w:hint="eastAsia" w:ascii="宋体" w:hAnsi="宋体" w:cs="宋体"/>
                <w:color w:val="000000"/>
                <w:kern w:val="0"/>
                <w:sz w:val="22"/>
              </w:rPr>
            </w:pPr>
            <w:r>
              <w:rPr>
                <w:rFonts w:hint="eastAsia" w:ascii="宋体" w:hAnsi="宋体" w:cs="宋体"/>
                <w:color w:val="000000"/>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14:paraId="076F8545">
            <w:pPr>
              <w:widowControl/>
              <w:jc w:val="center"/>
              <w:rPr>
                <w:rFonts w:hint="eastAsia" w:ascii="宋体" w:hAnsi="宋体" w:cs="宋体"/>
                <w:color w:val="000000"/>
                <w:kern w:val="0"/>
                <w:sz w:val="22"/>
              </w:rPr>
            </w:pPr>
            <w:r>
              <w:rPr>
                <w:rFonts w:hint="eastAsia" w:ascii="宋体" w:hAnsi="宋体" w:cs="宋体"/>
                <w:color w:val="000000"/>
                <w:kern w:val="0"/>
                <w:sz w:val="22"/>
              </w:rPr>
              <w:t>专业   基础课</w:t>
            </w:r>
          </w:p>
        </w:tc>
        <w:tc>
          <w:tcPr>
            <w:tcW w:w="992" w:type="dxa"/>
            <w:gridSpan w:val="2"/>
            <w:tcBorders>
              <w:top w:val="nil"/>
              <w:left w:val="nil"/>
              <w:bottom w:val="single" w:color="auto" w:sz="4" w:space="0"/>
              <w:right w:val="single" w:color="auto" w:sz="4" w:space="0"/>
            </w:tcBorders>
            <w:shd w:val="clear" w:color="auto" w:fill="auto"/>
            <w:vAlign w:val="center"/>
          </w:tcPr>
          <w:p w14:paraId="420B2CAB">
            <w:pPr>
              <w:widowControl/>
              <w:jc w:val="center"/>
              <w:rPr>
                <w:rFonts w:hint="eastAsia" w:ascii="宋体" w:hAnsi="宋体" w:cs="宋体"/>
                <w:color w:val="000000"/>
                <w:kern w:val="0"/>
                <w:sz w:val="22"/>
              </w:rPr>
            </w:pPr>
            <w:r>
              <w:rPr>
                <w:rFonts w:hint="eastAsia" w:ascii="宋体" w:hAnsi="宋体" w:cs="宋体"/>
                <w:color w:val="000000"/>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14:paraId="3C1C88F1">
            <w:pPr>
              <w:widowControl/>
              <w:jc w:val="center"/>
              <w:rPr>
                <w:rFonts w:hint="eastAsia" w:ascii="宋体" w:hAnsi="宋体" w:cs="宋体"/>
                <w:color w:val="000000"/>
                <w:kern w:val="0"/>
                <w:sz w:val="22"/>
              </w:rPr>
            </w:pPr>
            <w:r>
              <w:rPr>
                <w:rFonts w:hint="eastAsia" w:ascii="宋体" w:hAnsi="宋体" w:cs="宋体"/>
                <w:color w:val="000000"/>
                <w:kern w:val="0"/>
                <w:sz w:val="22"/>
              </w:rPr>
              <w:t>实习</w:t>
            </w:r>
          </w:p>
        </w:tc>
        <w:tc>
          <w:tcPr>
            <w:tcW w:w="1417" w:type="dxa"/>
            <w:tcBorders>
              <w:top w:val="single" w:color="auto" w:sz="4" w:space="0"/>
              <w:left w:val="nil"/>
              <w:bottom w:val="single" w:color="auto" w:sz="4" w:space="0"/>
              <w:right w:val="single" w:color="auto" w:sz="4" w:space="0"/>
            </w:tcBorders>
            <w:shd w:val="clear" w:color="auto" w:fill="auto"/>
            <w:vAlign w:val="center"/>
          </w:tcPr>
          <w:p w14:paraId="08295F87">
            <w:pPr>
              <w:widowControl/>
              <w:jc w:val="center"/>
              <w:rPr>
                <w:rFonts w:hint="eastAsia" w:ascii="宋体" w:hAnsi="宋体" w:cs="宋体"/>
                <w:color w:val="000000"/>
                <w:kern w:val="0"/>
                <w:sz w:val="22"/>
              </w:rPr>
            </w:pPr>
            <w:r>
              <w:rPr>
                <w:rFonts w:hint="eastAsia" w:ascii="宋体" w:hAnsi="宋体" w:cs="宋体"/>
                <w:color w:val="000000"/>
                <w:kern w:val="0"/>
                <w:sz w:val="22"/>
              </w:rPr>
              <w:t>公共限选课</w:t>
            </w:r>
          </w:p>
        </w:tc>
        <w:tc>
          <w:tcPr>
            <w:tcW w:w="1418" w:type="dxa"/>
            <w:gridSpan w:val="2"/>
            <w:tcBorders>
              <w:top w:val="nil"/>
              <w:left w:val="nil"/>
              <w:bottom w:val="single" w:color="auto" w:sz="4" w:space="0"/>
              <w:right w:val="single" w:color="auto" w:sz="4" w:space="0"/>
            </w:tcBorders>
            <w:shd w:val="clear" w:color="auto" w:fill="auto"/>
            <w:vAlign w:val="center"/>
          </w:tcPr>
          <w:p w14:paraId="2ED0CDEB">
            <w:pPr>
              <w:widowControl/>
              <w:jc w:val="center"/>
              <w:rPr>
                <w:rFonts w:hint="eastAsia" w:ascii="宋体" w:hAnsi="宋体" w:cs="宋体"/>
                <w:color w:val="000000"/>
                <w:kern w:val="0"/>
                <w:sz w:val="22"/>
              </w:rPr>
            </w:pPr>
            <w:r>
              <w:rPr>
                <w:rFonts w:hint="eastAsia" w:ascii="宋体" w:hAnsi="宋体" w:cs="宋体"/>
                <w:color w:val="000000"/>
                <w:kern w:val="0"/>
                <w:sz w:val="22"/>
              </w:rPr>
              <w:t>公共任选课</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5D214F82">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专业限选课</w:t>
            </w:r>
          </w:p>
          <w:p w14:paraId="641896AB">
            <w:pPr>
              <w:widowControl/>
              <w:jc w:val="center"/>
              <w:rPr>
                <w:rFonts w:hint="eastAsia" w:ascii="宋体" w:hAnsi="宋体" w:cs="宋体"/>
                <w:color w:val="000000"/>
                <w:kern w:val="0"/>
                <w:sz w:val="22"/>
              </w:rPr>
            </w:pPr>
            <w:r>
              <w:rPr>
                <w:rFonts w:hint="eastAsia" w:ascii="宋体" w:hAnsi="宋体" w:cs="宋体"/>
                <w:color w:val="000000"/>
                <w:kern w:val="0"/>
                <w:sz w:val="22"/>
              </w:rPr>
              <w:t>(专业任选模块)</w:t>
            </w:r>
          </w:p>
        </w:tc>
        <w:tc>
          <w:tcPr>
            <w:tcW w:w="1558" w:type="dxa"/>
            <w:gridSpan w:val="2"/>
            <w:tcBorders>
              <w:top w:val="nil"/>
              <w:left w:val="nil"/>
              <w:bottom w:val="single" w:color="auto" w:sz="4" w:space="0"/>
              <w:right w:val="single" w:color="auto" w:sz="4" w:space="0"/>
            </w:tcBorders>
            <w:shd w:val="clear" w:color="auto" w:fill="auto"/>
            <w:vAlign w:val="center"/>
          </w:tcPr>
          <w:p w14:paraId="4EA524A1">
            <w:pPr>
              <w:widowControl/>
              <w:jc w:val="center"/>
              <w:rPr>
                <w:rFonts w:hint="eastAsia" w:ascii="宋体" w:hAnsi="宋体" w:cs="宋体"/>
                <w:color w:val="000000"/>
                <w:kern w:val="0"/>
                <w:sz w:val="22"/>
              </w:rPr>
            </w:pPr>
            <w:r>
              <w:rPr>
                <w:rFonts w:hint="eastAsia" w:ascii="宋体" w:hAnsi="宋体" w:cs="宋体"/>
                <w:color w:val="000000"/>
                <w:kern w:val="0"/>
                <w:sz w:val="22"/>
              </w:rPr>
              <w:t>　</w:t>
            </w:r>
          </w:p>
        </w:tc>
        <w:tc>
          <w:tcPr>
            <w:tcW w:w="1558" w:type="dxa"/>
            <w:vMerge w:val="continue"/>
            <w:tcBorders>
              <w:left w:val="nil"/>
              <w:bottom w:val="single" w:color="auto" w:sz="4" w:space="0"/>
              <w:right w:val="single" w:color="000000" w:sz="4" w:space="0"/>
            </w:tcBorders>
          </w:tcPr>
          <w:p w14:paraId="2A33EC5D">
            <w:pPr>
              <w:widowControl/>
              <w:jc w:val="center"/>
              <w:rPr>
                <w:rFonts w:hint="eastAsia" w:ascii="宋体" w:hAnsi="宋体" w:cs="宋体"/>
                <w:color w:val="000000"/>
                <w:kern w:val="0"/>
                <w:sz w:val="22"/>
              </w:rPr>
            </w:pPr>
          </w:p>
        </w:tc>
      </w:tr>
      <w:tr w14:paraId="0CAC55C9">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43FB12C5">
            <w:pPr>
              <w:widowControl/>
              <w:jc w:val="center"/>
              <w:rPr>
                <w:rFonts w:hint="eastAsia" w:ascii="宋体" w:hAnsi="宋体" w:cs="宋体"/>
                <w:color w:val="000000"/>
                <w:kern w:val="0"/>
                <w:sz w:val="22"/>
              </w:rPr>
            </w:pPr>
            <w:r>
              <w:rPr>
                <w:rFonts w:hint="eastAsia" w:ascii="宋体" w:hAnsi="宋体" w:cs="宋体"/>
                <w:color w:val="000000"/>
                <w:kern w:val="0"/>
                <w:sz w:val="22"/>
              </w:rPr>
              <w:t>课时</w:t>
            </w:r>
          </w:p>
        </w:tc>
        <w:tc>
          <w:tcPr>
            <w:tcW w:w="1276" w:type="dxa"/>
            <w:gridSpan w:val="2"/>
            <w:tcBorders>
              <w:top w:val="nil"/>
              <w:left w:val="nil"/>
              <w:bottom w:val="single" w:color="auto" w:sz="4" w:space="0"/>
              <w:right w:val="single" w:color="auto" w:sz="4" w:space="0"/>
            </w:tcBorders>
            <w:shd w:val="clear" w:color="auto" w:fill="auto"/>
            <w:vAlign w:val="center"/>
          </w:tcPr>
          <w:p w14:paraId="5B482456">
            <w:pPr>
              <w:widowControl/>
              <w:jc w:val="center"/>
              <w:rPr>
                <w:rFonts w:hint="eastAsia" w:ascii="宋体" w:hAnsi="宋体" w:cs="宋体"/>
                <w:color w:val="000000"/>
                <w:kern w:val="0"/>
                <w:sz w:val="22"/>
              </w:rPr>
            </w:pPr>
            <w:r>
              <w:rPr>
                <w:rFonts w:hint="eastAsia" w:ascii="宋体" w:hAnsi="宋体" w:cs="宋体"/>
                <w:color w:val="000000"/>
                <w:kern w:val="0"/>
                <w:sz w:val="22"/>
              </w:rPr>
              <w:t>844</w:t>
            </w:r>
          </w:p>
        </w:tc>
        <w:tc>
          <w:tcPr>
            <w:tcW w:w="1134" w:type="dxa"/>
            <w:tcBorders>
              <w:top w:val="nil"/>
              <w:left w:val="nil"/>
              <w:bottom w:val="single" w:color="auto" w:sz="4" w:space="0"/>
              <w:right w:val="single" w:color="auto" w:sz="4" w:space="0"/>
            </w:tcBorders>
            <w:shd w:val="clear" w:color="auto" w:fill="auto"/>
            <w:vAlign w:val="center"/>
          </w:tcPr>
          <w:p w14:paraId="438DE310">
            <w:pPr>
              <w:widowControl/>
              <w:jc w:val="center"/>
              <w:rPr>
                <w:rFonts w:hint="eastAsia" w:ascii="宋体" w:hAnsi="宋体" w:cs="宋体"/>
                <w:color w:val="000000"/>
                <w:kern w:val="0"/>
                <w:sz w:val="22"/>
              </w:rPr>
            </w:pPr>
            <w:r>
              <w:rPr>
                <w:rFonts w:hint="eastAsia" w:ascii="宋体" w:hAnsi="宋体" w:cs="宋体"/>
                <w:color w:val="000000"/>
                <w:kern w:val="0"/>
                <w:sz w:val="22"/>
              </w:rPr>
              <w:t>384</w:t>
            </w:r>
          </w:p>
        </w:tc>
        <w:tc>
          <w:tcPr>
            <w:tcW w:w="992" w:type="dxa"/>
            <w:gridSpan w:val="2"/>
            <w:tcBorders>
              <w:top w:val="nil"/>
              <w:left w:val="nil"/>
              <w:bottom w:val="single" w:color="auto" w:sz="4" w:space="0"/>
              <w:right w:val="single" w:color="auto" w:sz="4" w:space="0"/>
            </w:tcBorders>
            <w:shd w:val="clear" w:color="auto" w:fill="auto"/>
            <w:vAlign w:val="center"/>
          </w:tcPr>
          <w:p w14:paraId="13684F9C">
            <w:pPr>
              <w:widowControl/>
              <w:jc w:val="center"/>
              <w:rPr>
                <w:rFonts w:hint="eastAsia" w:ascii="宋体" w:hAnsi="宋体" w:cs="宋体"/>
                <w:color w:val="000000"/>
                <w:kern w:val="0"/>
                <w:sz w:val="22"/>
              </w:rPr>
            </w:pPr>
            <w:r>
              <w:rPr>
                <w:rFonts w:hint="eastAsia" w:ascii="宋体" w:hAnsi="宋体" w:cs="宋体"/>
                <w:color w:val="000000"/>
                <w:kern w:val="0"/>
                <w:sz w:val="22"/>
              </w:rPr>
              <w:t>384</w:t>
            </w:r>
          </w:p>
        </w:tc>
        <w:tc>
          <w:tcPr>
            <w:tcW w:w="993" w:type="dxa"/>
            <w:tcBorders>
              <w:top w:val="nil"/>
              <w:left w:val="nil"/>
              <w:bottom w:val="single" w:color="auto" w:sz="4" w:space="0"/>
              <w:right w:val="single" w:color="auto" w:sz="4" w:space="0"/>
            </w:tcBorders>
            <w:shd w:val="clear" w:color="auto" w:fill="auto"/>
            <w:vAlign w:val="center"/>
          </w:tcPr>
          <w:p w14:paraId="50DC36EC">
            <w:pPr>
              <w:widowControl/>
              <w:jc w:val="center"/>
              <w:rPr>
                <w:rFonts w:hint="eastAsia" w:ascii="宋体" w:hAnsi="宋体" w:cs="宋体"/>
                <w:color w:val="000000"/>
                <w:kern w:val="0"/>
                <w:sz w:val="22"/>
              </w:rPr>
            </w:pPr>
            <w:r>
              <w:rPr>
                <w:rFonts w:hint="eastAsia" w:ascii="宋体" w:hAnsi="宋体" w:cs="宋体"/>
                <w:color w:val="000000"/>
                <w:kern w:val="0"/>
                <w:sz w:val="22"/>
              </w:rPr>
              <w:t>512</w:t>
            </w:r>
          </w:p>
        </w:tc>
        <w:tc>
          <w:tcPr>
            <w:tcW w:w="1417" w:type="dxa"/>
            <w:tcBorders>
              <w:top w:val="single" w:color="auto" w:sz="4" w:space="0"/>
              <w:left w:val="nil"/>
              <w:bottom w:val="single" w:color="auto" w:sz="4" w:space="0"/>
              <w:right w:val="single" w:color="auto" w:sz="4" w:space="0"/>
            </w:tcBorders>
            <w:shd w:val="clear" w:color="auto" w:fill="auto"/>
            <w:vAlign w:val="center"/>
          </w:tcPr>
          <w:p w14:paraId="40EB0029">
            <w:pPr>
              <w:widowControl/>
              <w:jc w:val="center"/>
              <w:rPr>
                <w:rFonts w:hint="eastAsia" w:ascii="宋体" w:hAnsi="宋体" w:cs="宋体"/>
                <w:color w:val="000000"/>
                <w:kern w:val="0"/>
                <w:sz w:val="22"/>
              </w:rPr>
            </w:pPr>
            <w:r>
              <w:rPr>
                <w:rFonts w:hint="eastAsia" w:ascii="宋体" w:hAnsi="宋体" w:cs="宋体"/>
                <w:color w:val="000000"/>
                <w:kern w:val="0"/>
                <w:sz w:val="22"/>
              </w:rPr>
              <w:t>128</w:t>
            </w:r>
          </w:p>
        </w:tc>
        <w:tc>
          <w:tcPr>
            <w:tcW w:w="1418" w:type="dxa"/>
            <w:gridSpan w:val="2"/>
            <w:tcBorders>
              <w:top w:val="nil"/>
              <w:left w:val="nil"/>
              <w:bottom w:val="single" w:color="auto" w:sz="4" w:space="0"/>
              <w:right w:val="single" w:color="auto" w:sz="4" w:space="0"/>
            </w:tcBorders>
            <w:shd w:val="clear" w:color="auto" w:fill="auto"/>
            <w:vAlign w:val="center"/>
          </w:tcPr>
          <w:p w14:paraId="1683C13C">
            <w:pPr>
              <w:widowControl/>
              <w:jc w:val="center"/>
              <w:rPr>
                <w:rFonts w:hint="eastAsia" w:ascii="宋体" w:hAnsi="宋体" w:cs="宋体"/>
                <w:color w:val="000000"/>
                <w:kern w:val="0"/>
                <w:sz w:val="22"/>
              </w:rPr>
            </w:pPr>
            <w:r>
              <w:rPr>
                <w:rFonts w:hint="eastAsia" w:ascii="宋体" w:hAnsi="宋体" w:cs="宋体"/>
                <w:color w:val="000000"/>
                <w:kern w:val="0"/>
                <w:sz w:val="22"/>
              </w:rPr>
              <w:t>128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249AFA7D">
            <w:pPr>
              <w:widowControl/>
              <w:jc w:val="center"/>
              <w:rPr>
                <w:rFonts w:hint="eastAsia" w:ascii="宋体" w:hAnsi="宋体" w:cs="宋体"/>
                <w:color w:val="000000"/>
                <w:kern w:val="0"/>
                <w:sz w:val="22"/>
              </w:rPr>
            </w:pPr>
            <w:r>
              <w:rPr>
                <w:rFonts w:hint="eastAsia" w:ascii="宋体" w:hAnsi="宋体" w:cs="宋体"/>
                <w:color w:val="000000"/>
                <w:kern w:val="0"/>
                <w:sz w:val="22"/>
              </w:rPr>
              <w:t>192</w:t>
            </w:r>
          </w:p>
        </w:tc>
        <w:tc>
          <w:tcPr>
            <w:tcW w:w="1558" w:type="dxa"/>
            <w:gridSpan w:val="2"/>
            <w:tcBorders>
              <w:top w:val="nil"/>
              <w:left w:val="nil"/>
              <w:bottom w:val="single" w:color="auto" w:sz="4" w:space="0"/>
              <w:right w:val="single" w:color="auto" w:sz="4" w:space="0"/>
            </w:tcBorders>
            <w:shd w:val="clear" w:color="auto" w:fill="auto"/>
            <w:vAlign w:val="center"/>
          </w:tcPr>
          <w:p w14:paraId="0FA51041">
            <w:pPr>
              <w:widowControl/>
              <w:jc w:val="center"/>
              <w:rPr>
                <w:rFonts w:hint="eastAsia"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13D16AE2">
            <w:pPr>
              <w:widowControl/>
              <w:jc w:val="center"/>
              <w:rPr>
                <w:rFonts w:hint="eastAsia" w:ascii="宋体" w:hAnsi="宋体" w:cs="宋体"/>
                <w:color w:val="000000"/>
                <w:kern w:val="0"/>
                <w:sz w:val="22"/>
              </w:rPr>
            </w:pPr>
            <w:r>
              <w:rPr>
                <w:rFonts w:hint="eastAsia" w:ascii="宋体" w:hAnsi="宋体" w:cs="宋体"/>
                <w:color w:val="000000"/>
                <w:kern w:val="0"/>
                <w:sz w:val="22"/>
              </w:rPr>
              <w:t>2572</w:t>
            </w:r>
          </w:p>
        </w:tc>
      </w:tr>
      <w:tr w14:paraId="5F78C350">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14:paraId="419A88AA">
            <w:pPr>
              <w:widowControl/>
              <w:jc w:val="center"/>
              <w:rPr>
                <w:rFonts w:hint="eastAsia" w:ascii="宋体" w:hAnsi="宋体" w:cs="宋体"/>
                <w:color w:val="000000"/>
                <w:kern w:val="0"/>
                <w:sz w:val="22"/>
              </w:rPr>
            </w:pPr>
            <w:r>
              <w:rPr>
                <w:rFonts w:hint="eastAsia" w:ascii="宋体" w:hAnsi="宋体" w:cs="宋体"/>
                <w:color w:val="000000"/>
                <w:kern w:val="0"/>
                <w:sz w:val="22"/>
              </w:rPr>
              <w:t>学分</w:t>
            </w:r>
          </w:p>
        </w:tc>
        <w:tc>
          <w:tcPr>
            <w:tcW w:w="1276" w:type="dxa"/>
            <w:gridSpan w:val="2"/>
            <w:tcBorders>
              <w:top w:val="nil"/>
              <w:left w:val="nil"/>
              <w:bottom w:val="single" w:color="auto" w:sz="4" w:space="0"/>
              <w:right w:val="single" w:color="auto" w:sz="4" w:space="0"/>
            </w:tcBorders>
            <w:shd w:val="clear" w:color="auto" w:fill="auto"/>
            <w:vAlign w:val="center"/>
          </w:tcPr>
          <w:p w14:paraId="5D7D71B6">
            <w:pPr>
              <w:widowControl/>
              <w:jc w:val="center"/>
              <w:rPr>
                <w:rFonts w:hint="eastAsia" w:ascii="宋体" w:hAnsi="宋体" w:cs="宋体"/>
                <w:color w:val="000000"/>
                <w:kern w:val="0"/>
                <w:sz w:val="22"/>
              </w:rPr>
            </w:pPr>
            <w:r>
              <w:rPr>
                <w:rFonts w:hint="eastAsia" w:ascii="宋体" w:hAnsi="宋体" w:cs="宋体"/>
                <w:color w:val="000000"/>
                <w:kern w:val="0"/>
                <w:sz w:val="22"/>
              </w:rPr>
              <w:t>47</w:t>
            </w:r>
          </w:p>
        </w:tc>
        <w:tc>
          <w:tcPr>
            <w:tcW w:w="1134" w:type="dxa"/>
            <w:tcBorders>
              <w:top w:val="nil"/>
              <w:left w:val="nil"/>
              <w:bottom w:val="single" w:color="auto" w:sz="4" w:space="0"/>
              <w:right w:val="single" w:color="auto" w:sz="4" w:space="0"/>
            </w:tcBorders>
            <w:shd w:val="clear" w:color="auto" w:fill="auto"/>
            <w:vAlign w:val="center"/>
          </w:tcPr>
          <w:p w14:paraId="39F2CF49">
            <w:pPr>
              <w:widowControl/>
              <w:jc w:val="center"/>
              <w:rPr>
                <w:rFonts w:hint="eastAsia" w:ascii="宋体" w:hAnsi="宋体" w:cs="宋体"/>
                <w:color w:val="000000"/>
                <w:kern w:val="0"/>
                <w:sz w:val="22"/>
              </w:rPr>
            </w:pPr>
            <w:r>
              <w:rPr>
                <w:rFonts w:hint="eastAsia" w:ascii="宋体" w:hAnsi="宋体" w:cs="宋体"/>
                <w:color w:val="000000"/>
                <w:kern w:val="0"/>
                <w:sz w:val="22"/>
              </w:rPr>
              <w:t>24</w:t>
            </w:r>
          </w:p>
        </w:tc>
        <w:tc>
          <w:tcPr>
            <w:tcW w:w="992" w:type="dxa"/>
            <w:gridSpan w:val="2"/>
            <w:tcBorders>
              <w:top w:val="nil"/>
              <w:left w:val="nil"/>
              <w:bottom w:val="single" w:color="auto" w:sz="4" w:space="0"/>
              <w:right w:val="single" w:color="auto" w:sz="4" w:space="0"/>
            </w:tcBorders>
            <w:shd w:val="clear" w:color="auto" w:fill="auto"/>
            <w:vAlign w:val="center"/>
          </w:tcPr>
          <w:p w14:paraId="1195F0FB">
            <w:pPr>
              <w:widowControl/>
              <w:jc w:val="center"/>
              <w:rPr>
                <w:rFonts w:hint="eastAsia" w:ascii="宋体" w:hAnsi="宋体" w:cs="宋体"/>
                <w:color w:val="000000"/>
                <w:kern w:val="0"/>
                <w:sz w:val="22"/>
              </w:rPr>
            </w:pPr>
            <w:r>
              <w:rPr>
                <w:rFonts w:hint="eastAsia" w:ascii="宋体" w:hAnsi="宋体" w:cs="宋体"/>
                <w:color w:val="000000"/>
                <w:kern w:val="0"/>
                <w:sz w:val="22"/>
              </w:rPr>
              <w:t>24</w:t>
            </w:r>
          </w:p>
        </w:tc>
        <w:tc>
          <w:tcPr>
            <w:tcW w:w="993" w:type="dxa"/>
            <w:tcBorders>
              <w:top w:val="nil"/>
              <w:left w:val="nil"/>
              <w:bottom w:val="single" w:color="auto" w:sz="4" w:space="0"/>
              <w:right w:val="nil"/>
            </w:tcBorders>
            <w:shd w:val="clear" w:color="auto" w:fill="auto"/>
            <w:vAlign w:val="center"/>
          </w:tcPr>
          <w:p w14:paraId="3AD86512">
            <w:pPr>
              <w:widowControl/>
              <w:jc w:val="center"/>
              <w:rPr>
                <w:rFonts w:hint="eastAsia" w:ascii="宋体" w:hAnsi="宋体" w:cs="宋体"/>
                <w:color w:val="000000"/>
                <w:kern w:val="0"/>
                <w:sz w:val="22"/>
              </w:rPr>
            </w:pPr>
            <w:r>
              <w:rPr>
                <w:rFonts w:hint="eastAsia" w:ascii="宋体" w:hAnsi="宋体" w:cs="宋体"/>
                <w:color w:val="000000"/>
                <w:kern w:val="0"/>
                <w:sz w:val="22"/>
              </w:rPr>
              <w:t>34</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14:paraId="7FCEBE19">
            <w:pPr>
              <w:widowControl/>
              <w:jc w:val="center"/>
              <w:rPr>
                <w:rFonts w:hint="eastAsia" w:ascii="宋体" w:hAnsi="宋体" w:cs="宋体"/>
                <w:color w:val="000000"/>
                <w:kern w:val="0"/>
                <w:sz w:val="22"/>
              </w:rPr>
            </w:pPr>
            <w:r>
              <w:rPr>
                <w:rFonts w:hint="eastAsia" w:ascii="宋体" w:hAnsi="宋体" w:cs="宋体"/>
                <w:color w:val="000000"/>
                <w:kern w:val="0"/>
                <w:sz w:val="22"/>
              </w:rPr>
              <w:t>4</w:t>
            </w:r>
          </w:p>
        </w:tc>
        <w:tc>
          <w:tcPr>
            <w:tcW w:w="1418" w:type="dxa"/>
            <w:gridSpan w:val="2"/>
            <w:tcBorders>
              <w:top w:val="nil"/>
              <w:left w:val="nil"/>
              <w:bottom w:val="single" w:color="auto" w:sz="4" w:space="0"/>
              <w:right w:val="single" w:color="auto" w:sz="4" w:space="0"/>
            </w:tcBorders>
            <w:shd w:val="clear" w:color="auto" w:fill="auto"/>
            <w:vAlign w:val="center"/>
          </w:tcPr>
          <w:p w14:paraId="633E4F47">
            <w:pPr>
              <w:widowControl/>
              <w:jc w:val="center"/>
              <w:rPr>
                <w:rFonts w:hint="eastAsia" w:ascii="宋体" w:hAnsi="宋体" w:cs="宋体"/>
                <w:color w:val="000000"/>
                <w:kern w:val="0"/>
                <w:sz w:val="22"/>
              </w:rPr>
            </w:pPr>
            <w:r>
              <w:rPr>
                <w:rFonts w:hint="eastAsia" w:ascii="宋体" w:hAnsi="宋体" w:cs="宋体"/>
                <w:color w:val="000000"/>
                <w:kern w:val="0"/>
                <w:sz w:val="22"/>
              </w:rPr>
              <w:t>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782FA319">
            <w:pPr>
              <w:widowControl/>
              <w:jc w:val="center"/>
              <w:rPr>
                <w:rFonts w:hint="eastAsia" w:ascii="宋体" w:hAnsi="宋体" w:cs="宋体"/>
                <w:color w:val="000000"/>
                <w:kern w:val="0"/>
                <w:sz w:val="22"/>
              </w:rPr>
            </w:pPr>
            <w:r>
              <w:rPr>
                <w:rFonts w:hint="eastAsia" w:ascii="宋体" w:hAnsi="宋体" w:cs="宋体"/>
                <w:color w:val="000000"/>
                <w:kern w:val="0"/>
                <w:sz w:val="22"/>
              </w:rPr>
              <w:t>12</w:t>
            </w:r>
          </w:p>
        </w:tc>
        <w:tc>
          <w:tcPr>
            <w:tcW w:w="1558" w:type="dxa"/>
            <w:gridSpan w:val="2"/>
            <w:tcBorders>
              <w:top w:val="nil"/>
              <w:left w:val="nil"/>
              <w:bottom w:val="single" w:color="auto" w:sz="4" w:space="0"/>
              <w:right w:val="single" w:color="auto" w:sz="4" w:space="0"/>
            </w:tcBorders>
            <w:shd w:val="clear" w:color="auto" w:fill="auto"/>
            <w:vAlign w:val="center"/>
          </w:tcPr>
          <w:p w14:paraId="1EC8D210">
            <w:pPr>
              <w:widowControl/>
              <w:jc w:val="center"/>
              <w:rPr>
                <w:rFonts w:hint="eastAsia"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7CA98A13">
            <w:pPr>
              <w:widowControl/>
              <w:jc w:val="center"/>
              <w:rPr>
                <w:rFonts w:hint="eastAsia" w:ascii="宋体" w:hAnsi="宋体" w:cs="宋体"/>
                <w:color w:val="000000"/>
                <w:kern w:val="0"/>
                <w:sz w:val="22"/>
              </w:rPr>
            </w:pPr>
            <w:r>
              <w:rPr>
                <w:rFonts w:hint="eastAsia" w:ascii="宋体" w:hAnsi="宋体" w:cs="宋体"/>
                <w:color w:val="000000"/>
                <w:kern w:val="0"/>
                <w:sz w:val="22"/>
              </w:rPr>
              <w:t>149</w:t>
            </w:r>
          </w:p>
        </w:tc>
      </w:tr>
      <w:tr w14:paraId="27F6FAE1">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554F442E">
            <w:pPr>
              <w:widowControl/>
              <w:jc w:val="center"/>
              <w:rPr>
                <w:rFonts w:hint="eastAsia" w:ascii="宋体" w:hAnsi="宋体" w:cs="宋体"/>
                <w:color w:val="000000"/>
                <w:kern w:val="0"/>
                <w:sz w:val="22"/>
              </w:rPr>
            </w:pPr>
            <w:r>
              <w:rPr>
                <w:rFonts w:hint="eastAsia" w:ascii="宋体" w:hAnsi="宋体" w:cs="宋体"/>
                <w:color w:val="000000"/>
                <w:kern w:val="0"/>
                <w:sz w:val="22"/>
              </w:rPr>
              <w:t>学分比例</w:t>
            </w:r>
          </w:p>
        </w:tc>
        <w:tc>
          <w:tcPr>
            <w:tcW w:w="1276" w:type="dxa"/>
            <w:gridSpan w:val="2"/>
            <w:tcBorders>
              <w:top w:val="nil"/>
              <w:left w:val="nil"/>
              <w:bottom w:val="single" w:color="auto" w:sz="4" w:space="0"/>
              <w:right w:val="single" w:color="auto" w:sz="4" w:space="0"/>
            </w:tcBorders>
            <w:shd w:val="clear" w:color="auto" w:fill="auto"/>
            <w:vAlign w:val="center"/>
          </w:tcPr>
          <w:p w14:paraId="05723414">
            <w:pPr>
              <w:widowControl/>
              <w:jc w:val="center"/>
              <w:rPr>
                <w:rFonts w:hint="eastAsia" w:ascii="宋体" w:hAnsi="宋体" w:cs="宋体"/>
                <w:color w:val="000000"/>
                <w:kern w:val="0"/>
                <w:sz w:val="22"/>
              </w:rPr>
            </w:pPr>
            <w:r>
              <w:rPr>
                <w:rFonts w:hint="eastAsia" w:ascii="宋体" w:hAnsi="宋体" w:cs="宋体"/>
                <w:color w:val="000000"/>
                <w:kern w:val="0"/>
                <w:sz w:val="22"/>
              </w:rPr>
              <w:t>31%</w:t>
            </w:r>
          </w:p>
        </w:tc>
        <w:tc>
          <w:tcPr>
            <w:tcW w:w="1134" w:type="dxa"/>
            <w:tcBorders>
              <w:top w:val="nil"/>
              <w:left w:val="nil"/>
              <w:bottom w:val="single" w:color="auto" w:sz="4" w:space="0"/>
              <w:right w:val="single" w:color="auto" w:sz="4" w:space="0"/>
            </w:tcBorders>
            <w:shd w:val="clear" w:color="auto" w:fill="auto"/>
            <w:vAlign w:val="center"/>
          </w:tcPr>
          <w:p w14:paraId="40DE1F50">
            <w:pPr>
              <w:widowControl/>
              <w:jc w:val="center"/>
              <w:rPr>
                <w:rFonts w:hint="eastAsia" w:ascii="宋体" w:hAnsi="宋体" w:cs="宋体"/>
                <w:color w:val="000000"/>
                <w:kern w:val="0"/>
                <w:sz w:val="22"/>
              </w:rPr>
            </w:pPr>
            <w:r>
              <w:rPr>
                <w:rFonts w:hint="eastAsia" w:ascii="宋体" w:hAnsi="宋体" w:cs="宋体"/>
                <w:color w:val="000000"/>
                <w:kern w:val="0"/>
                <w:sz w:val="22"/>
              </w:rPr>
              <w:t>16%</w:t>
            </w:r>
          </w:p>
        </w:tc>
        <w:tc>
          <w:tcPr>
            <w:tcW w:w="992" w:type="dxa"/>
            <w:gridSpan w:val="2"/>
            <w:tcBorders>
              <w:top w:val="nil"/>
              <w:left w:val="nil"/>
              <w:bottom w:val="single" w:color="auto" w:sz="4" w:space="0"/>
              <w:right w:val="single" w:color="auto" w:sz="4" w:space="0"/>
            </w:tcBorders>
            <w:shd w:val="clear" w:color="auto" w:fill="auto"/>
            <w:vAlign w:val="center"/>
          </w:tcPr>
          <w:p w14:paraId="4DFAA1E2">
            <w:pPr>
              <w:widowControl/>
              <w:jc w:val="center"/>
              <w:rPr>
                <w:rFonts w:hint="eastAsia" w:ascii="宋体" w:hAnsi="宋体" w:cs="宋体"/>
                <w:color w:val="000000"/>
                <w:kern w:val="0"/>
                <w:sz w:val="22"/>
              </w:rPr>
            </w:pPr>
            <w:r>
              <w:rPr>
                <w:rFonts w:hint="eastAsia" w:ascii="宋体" w:hAnsi="宋体" w:cs="宋体"/>
                <w:color w:val="000000"/>
                <w:kern w:val="0"/>
                <w:sz w:val="22"/>
              </w:rPr>
              <w:t>16%</w:t>
            </w:r>
          </w:p>
        </w:tc>
        <w:tc>
          <w:tcPr>
            <w:tcW w:w="993" w:type="dxa"/>
            <w:tcBorders>
              <w:top w:val="nil"/>
              <w:left w:val="nil"/>
              <w:bottom w:val="single" w:color="auto" w:sz="4" w:space="0"/>
              <w:right w:val="single" w:color="auto" w:sz="4" w:space="0"/>
            </w:tcBorders>
            <w:shd w:val="clear" w:color="auto" w:fill="auto"/>
            <w:vAlign w:val="center"/>
          </w:tcPr>
          <w:p w14:paraId="70468A99">
            <w:pPr>
              <w:widowControl/>
              <w:jc w:val="center"/>
              <w:rPr>
                <w:rFonts w:hint="eastAsia" w:ascii="宋体" w:hAnsi="宋体" w:cs="宋体"/>
                <w:color w:val="000000"/>
                <w:kern w:val="0"/>
                <w:sz w:val="22"/>
              </w:rPr>
            </w:pPr>
            <w:r>
              <w:rPr>
                <w:rFonts w:hint="eastAsia" w:ascii="宋体" w:hAnsi="宋体" w:cs="宋体"/>
                <w:color w:val="000000"/>
                <w:kern w:val="0"/>
                <w:sz w:val="22"/>
              </w:rPr>
              <w:t>23%</w:t>
            </w:r>
          </w:p>
        </w:tc>
        <w:tc>
          <w:tcPr>
            <w:tcW w:w="1417" w:type="dxa"/>
            <w:tcBorders>
              <w:top w:val="single" w:color="auto" w:sz="4" w:space="0"/>
              <w:left w:val="nil"/>
              <w:bottom w:val="single" w:color="auto" w:sz="4" w:space="0"/>
              <w:right w:val="single" w:color="auto" w:sz="4" w:space="0"/>
            </w:tcBorders>
            <w:shd w:val="clear" w:color="auto" w:fill="auto"/>
            <w:vAlign w:val="center"/>
          </w:tcPr>
          <w:p w14:paraId="68BB5E06">
            <w:pPr>
              <w:widowControl/>
              <w:jc w:val="center"/>
              <w:rPr>
                <w:rFonts w:hint="eastAsia" w:ascii="宋体" w:hAnsi="宋体" w:cs="宋体"/>
                <w:color w:val="000000"/>
                <w:kern w:val="0"/>
                <w:sz w:val="22"/>
              </w:rPr>
            </w:pPr>
            <w:r>
              <w:rPr>
                <w:rFonts w:hint="eastAsia" w:ascii="宋体" w:hAnsi="宋体" w:cs="宋体"/>
                <w:color w:val="000000"/>
                <w:kern w:val="0"/>
                <w:sz w:val="22"/>
              </w:rPr>
              <w:t>3%</w:t>
            </w:r>
          </w:p>
        </w:tc>
        <w:tc>
          <w:tcPr>
            <w:tcW w:w="1418" w:type="dxa"/>
            <w:gridSpan w:val="2"/>
            <w:tcBorders>
              <w:top w:val="nil"/>
              <w:left w:val="nil"/>
              <w:bottom w:val="single" w:color="auto" w:sz="4" w:space="0"/>
              <w:right w:val="single" w:color="auto" w:sz="4" w:space="0"/>
            </w:tcBorders>
            <w:shd w:val="clear" w:color="auto" w:fill="auto"/>
            <w:vAlign w:val="center"/>
          </w:tcPr>
          <w:p w14:paraId="647F6CCA">
            <w:pPr>
              <w:widowControl/>
              <w:jc w:val="center"/>
              <w:rPr>
                <w:rFonts w:hint="eastAsia" w:ascii="宋体" w:hAnsi="宋体" w:cs="宋体"/>
                <w:color w:val="000000"/>
                <w:kern w:val="0"/>
                <w:sz w:val="22"/>
              </w:rPr>
            </w:pPr>
            <w:r>
              <w:rPr>
                <w:rFonts w:hint="eastAsia" w:ascii="宋体" w:hAnsi="宋体" w:cs="宋体"/>
                <w:color w:val="000000"/>
                <w:kern w:val="0"/>
                <w:sz w:val="22"/>
              </w:rPr>
              <w:t>3%</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6785506F">
            <w:pPr>
              <w:widowControl/>
              <w:jc w:val="center"/>
              <w:rPr>
                <w:rFonts w:hint="eastAsia" w:ascii="宋体" w:hAnsi="宋体" w:cs="宋体"/>
                <w:color w:val="000000"/>
                <w:kern w:val="0"/>
                <w:sz w:val="22"/>
              </w:rPr>
            </w:pPr>
            <w:r>
              <w:rPr>
                <w:rFonts w:hint="eastAsia" w:ascii="宋体" w:hAnsi="宋体" w:cs="宋体"/>
                <w:color w:val="000000"/>
                <w:kern w:val="0"/>
                <w:sz w:val="22"/>
              </w:rPr>
              <w:t>8%</w:t>
            </w:r>
          </w:p>
        </w:tc>
        <w:tc>
          <w:tcPr>
            <w:tcW w:w="1558" w:type="dxa"/>
            <w:gridSpan w:val="2"/>
            <w:tcBorders>
              <w:top w:val="nil"/>
              <w:left w:val="nil"/>
              <w:bottom w:val="single" w:color="auto" w:sz="4" w:space="0"/>
              <w:right w:val="single" w:color="auto" w:sz="4" w:space="0"/>
            </w:tcBorders>
            <w:shd w:val="clear" w:color="auto" w:fill="auto"/>
            <w:vAlign w:val="center"/>
          </w:tcPr>
          <w:p w14:paraId="36AD9DC9">
            <w:pPr>
              <w:widowControl/>
              <w:jc w:val="center"/>
              <w:rPr>
                <w:rFonts w:hint="eastAsia"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4E8AAB63">
            <w:pPr>
              <w:widowControl/>
              <w:jc w:val="center"/>
              <w:rPr>
                <w:rFonts w:hint="eastAsia" w:ascii="宋体" w:hAnsi="宋体" w:cs="宋体"/>
                <w:color w:val="000000"/>
                <w:kern w:val="0"/>
                <w:sz w:val="22"/>
              </w:rPr>
            </w:pPr>
          </w:p>
        </w:tc>
      </w:tr>
      <w:tr w14:paraId="566AB257">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59D9BDB1">
            <w:pPr>
              <w:widowControl/>
              <w:jc w:val="center"/>
              <w:rPr>
                <w:rFonts w:hint="eastAsia" w:ascii="宋体" w:hAnsi="宋体" w:cs="宋体"/>
                <w:color w:val="000000"/>
                <w:kern w:val="0"/>
                <w:sz w:val="22"/>
              </w:rPr>
            </w:pPr>
            <w:r>
              <w:rPr>
                <w:rFonts w:hint="eastAsia" w:ascii="宋体" w:hAnsi="宋体" w:cs="宋体"/>
                <w:color w:val="000000"/>
                <w:kern w:val="0"/>
                <w:sz w:val="22"/>
              </w:rPr>
              <w:t>公共基础课</w:t>
            </w:r>
          </w:p>
          <w:p w14:paraId="1D33C0CB">
            <w:pPr>
              <w:widowControl/>
              <w:jc w:val="center"/>
              <w:rPr>
                <w:rFonts w:hint="eastAsia" w:ascii="宋体" w:hAnsi="宋体" w:cs="宋体"/>
                <w:color w:val="000000"/>
                <w:kern w:val="0"/>
                <w:sz w:val="22"/>
              </w:rPr>
            </w:pPr>
            <w:r>
              <w:rPr>
                <w:rFonts w:hint="eastAsia" w:ascii="宋体" w:hAnsi="宋体" w:cs="宋体"/>
                <w:color w:val="000000"/>
                <w:kern w:val="0"/>
                <w:sz w:val="22"/>
              </w:rPr>
              <w:t>课时</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3B5859C1">
            <w:pPr>
              <w:widowControl/>
              <w:jc w:val="center"/>
              <w:rPr>
                <w:rFonts w:hint="eastAsia" w:ascii="宋体" w:hAnsi="宋体" w:cs="宋体"/>
                <w:color w:val="000000"/>
                <w:kern w:val="0"/>
                <w:sz w:val="22"/>
              </w:rPr>
            </w:pPr>
            <w:r>
              <w:rPr>
                <w:rFonts w:hint="eastAsia" w:ascii="宋体" w:hAnsi="宋体" w:cs="宋体"/>
                <w:color w:val="000000"/>
                <w:kern w:val="0"/>
                <w:sz w:val="22"/>
              </w:rPr>
              <w:t>844</w:t>
            </w:r>
          </w:p>
        </w:tc>
        <w:tc>
          <w:tcPr>
            <w:tcW w:w="992" w:type="dxa"/>
            <w:gridSpan w:val="2"/>
            <w:tcBorders>
              <w:top w:val="nil"/>
              <w:left w:val="nil"/>
              <w:bottom w:val="single" w:color="auto" w:sz="4" w:space="0"/>
              <w:right w:val="single" w:color="auto" w:sz="4" w:space="0"/>
            </w:tcBorders>
            <w:shd w:val="clear" w:color="auto" w:fill="auto"/>
            <w:vAlign w:val="center"/>
          </w:tcPr>
          <w:p w14:paraId="683FDAA1">
            <w:pPr>
              <w:widowControl/>
              <w:jc w:val="center"/>
              <w:rPr>
                <w:rFonts w:hint="eastAsia" w:ascii="宋体" w:hAnsi="宋体" w:cs="宋体"/>
                <w:color w:val="000000"/>
                <w:kern w:val="0"/>
                <w:sz w:val="22"/>
              </w:rPr>
            </w:pPr>
            <w:r>
              <w:rPr>
                <w:rFonts w:hint="eastAsia" w:ascii="宋体" w:hAnsi="宋体" w:cs="宋体"/>
                <w:color w:val="000000"/>
                <w:kern w:val="0"/>
                <w:sz w:val="22"/>
              </w:rPr>
              <w:t>公共课比例</w:t>
            </w:r>
          </w:p>
        </w:tc>
        <w:tc>
          <w:tcPr>
            <w:tcW w:w="993" w:type="dxa"/>
            <w:tcBorders>
              <w:top w:val="nil"/>
              <w:left w:val="nil"/>
              <w:bottom w:val="single" w:color="auto" w:sz="4" w:space="0"/>
              <w:right w:val="single" w:color="auto" w:sz="4" w:space="0"/>
            </w:tcBorders>
            <w:shd w:val="clear" w:color="auto" w:fill="auto"/>
            <w:vAlign w:val="center"/>
          </w:tcPr>
          <w:p w14:paraId="16C06301">
            <w:pPr>
              <w:widowControl/>
              <w:jc w:val="center"/>
              <w:rPr>
                <w:rFonts w:hint="eastAsia" w:ascii="宋体" w:hAnsi="宋体" w:cs="宋体"/>
                <w:color w:val="000000"/>
                <w:kern w:val="0"/>
                <w:sz w:val="22"/>
              </w:rPr>
            </w:pPr>
            <w:r>
              <w:rPr>
                <w:rFonts w:hint="eastAsia" w:ascii="宋体" w:hAnsi="宋体" w:cs="宋体"/>
                <w:color w:val="000000"/>
                <w:kern w:val="0"/>
                <w:sz w:val="22"/>
              </w:rPr>
              <w:t>33%</w:t>
            </w:r>
          </w:p>
        </w:tc>
        <w:tc>
          <w:tcPr>
            <w:tcW w:w="2835" w:type="dxa"/>
            <w:gridSpan w:val="3"/>
            <w:tcBorders>
              <w:top w:val="single" w:color="auto" w:sz="4" w:space="0"/>
              <w:left w:val="nil"/>
              <w:bottom w:val="single" w:color="auto" w:sz="4" w:space="0"/>
              <w:right w:val="single" w:color="000000" w:sz="4" w:space="0"/>
            </w:tcBorders>
            <w:shd w:val="clear" w:color="auto" w:fill="auto"/>
            <w:vAlign w:val="center"/>
          </w:tcPr>
          <w:p w14:paraId="47E5962A">
            <w:pPr>
              <w:widowControl/>
              <w:jc w:val="center"/>
              <w:rPr>
                <w:rFonts w:hint="eastAsia" w:ascii="宋体" w:hAnsi="宋体" w:cs="宋体"/>
                <w:color w:val="000000"/>
                <w:kern w:val="0"/>
                <w:sz w:val="22"/>
              </w:rPr>
            </w:pPr>
            <w:r>
              <w:rPr>
                <w:rFonts w:hint="eastAsia" w:ascii="宋体" w:hAnsi="宋体" w:cs="宋体"/>
                <w:color w:val="000000"/>
                <w:kern w:val="0"/>
                <w:sz w:val="22"/>
              </w:rPr>
              <w:t>专业课时</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4DC7C32E">
            <w:pPr>
              <w:widowControl/>
              <w:jc w:val="center"/>
              <w:rPr>
                <w:rFonts w:hint="eastAsia" w:ascii="宋体" w:hAnsi="宋体" w:cs="宋体"/>
                <w:color w:val="000000"/>
                <w:kern w:val="0"/>
                <w:sz w:val="22"/>
              </w:rPr>
            </w:pPr>
            <w:r>
              <w:rPr>
                <w:rFonts w:hint="eastAsia" w:ascii="宋体" w:hAnsi="宋体" w:cs="宋体"/>
                <w:color w:val="000000"/>
                <w:kern w:val="0"/>
                <w:sz w:val="22"/>
              </w:rPr>
              <w:t>960</w:t>
            </w:r>
          </w:p>
        </w:tc>
        <w:tc>
          <w:tcPr>
            <w:tcW w:w="1558" w:type="dxa"/>
            <w:gridSpan w:val="2"/>
            <w:tcBorders>
              <w:top w:val="nil"/>
              <w:left w:val="nil"/>
              <w:bottom w:val="single" w:color="auto" w:sz="4" w:space="0"/>
              <w:right w:val="single" w:color="auto" w:sz="4" w:space="0"/>
            </w:tcBorders>
            <w:shd w:val="clear" w:color="auto" w:fill="auto"/>
            <w:vAlign w:val="center"/>
          </w:tcPr>
          <w:p w14:paraId="097ED47D">
            <w:pPr>
              <w:widowControl/>
              <w:jc w:val="left"/>
              <w:rPr>
                <w:rFonts w:hint="eastAsia" w:ascii="宋体" w:hAnsi="宋体" w:cs="宋体"/>
                <w:color w:val="000000"/>
                <w:kern w:val="0"/>
                <w:sz w:val="22"/>
              </w:rPr>
            </w:pPr>
            <w:r>
              <w:rPr>
                <w:rFonts w:hint="eastAsia" w:ascii="宋体" w:hAnsi="宋体" w:cs="宋体"/>
                <w:color w:val="000000"/>
                <w:kern w:val="0"/>
                <w:sz w:val="22"/>
              </w:rPr>
              <w:t>专业课比例</w:t>
            </w:r>
          </w:p>
        </w:tc>
        <w:tc>
          <w:tcPr>
            <w:tcW w:w="1558" w:type="dxa"/>
            <w:tcBorders>
              <w:top w:val="nil"/>
              <w:left w:val="nil"/>
              <w:bottom w:val="single" w:color="auto" w:sz="4" w:space="0"/>
              <w:right w:val="single" w:color="auto" w:sz="4" w:space="0"/>
            </w:tcBorders>
          </w:tcPr>
          <w:p w14:paraId="582F3054">
            <w:pPr>
              <w:widowControl/>
              <w:jc w:val="left"/>
              <w:rPr>
                <w:rFonts w:hint="eastAsia" w:ascii="宋体" w:hAnsi="宋体" w:cs="宋体"/>
                <w:color w:val="000000"/>
                <w:kern w:val="0"/>
                <w:sz w:val="22"/>
              </w:rPr>
            </w:pPr>
            <w:r>
              <w:rPr>
                <w:rFonts w:hint="eastAsia" w:ascii="宋体" w:hAnsi="宋体" w:cs="宋体"/>
                <w:color w:val="000000"/>
                <w:kern w:val="0"/>
                <w:sz w:val="22"/>
              </w:rPr>
              <w:t>37%</w:t>
            </w:r>
          </w:p>
        </w:tc>
      </w:tr>
      <w:tr w14:paraId="06BDD9EF">
        <w:tblPrEx>
          <w:tblCellMar>
            <w:top w:w="0" w:type="dxa"/>
            <w:left w:w="108" w:type="dxa"/>
            <w:bottom w:w="0" w:type="dxa"/>
            <w:right w:w="108" w:type="dxa"/>
          </w:tblCellMar>
        </w:tblPrEx>
        <w:trPr>
          <w:trHeight w:val="54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5B0E4A04">
            <w:pPr>
              <w:widowControl/>
              <w:jc w:val="center"/>
              <w:rPr>
                <w:rFonts w:hint="eastAsia" w:ascii="宋体" w:hAnsi="宋体" w:cs="宋体"/>
                <w:color w:val="000000"/>
                <w:kern w:val="0"/>
                <w:sz w:val="22"/>
              </w:rPr>
            </w:pPr>
            <w:r>
              <w:rPr>
                <w:rFonts w:hint="eastAsia" w:ascii="宋体" w:hAnsi="宋体" w:cs="宋体"/>
                <w:color w:val="000000"/>
                <w:kern w:val="0"/>
                <w:sz w:val="22"/>
              </w:rPr>
              <w:t>总课时数、理论/实践课时数</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AE3325C">
            <w:pPr>
              <w:widowControl/>
              <w:jc w:val="center"/>
              <w:rPr>
                <w:rFonts w:hint="eastAsia" w:ascii="宋体" w:hAnsi="宋体" w:cs="宋体"/>
                <w:color w:val="000000"/>
                <w:kern w:val="0"/>
                <w:sz w:val="22"/>
              </w:rPr>
            </w:pPr>
            <w:r>
              <w:rPr>
                <w:rFonts w:hint="eastAsia" w:ascii="宋体" w:hAnsi="宋体" w:cs="宋体"/>
                <w:color w:val="000000"/>
                <w:kern w:val="0"/>
                <w:sz w:val="22"/>
              </w:rPr>
              <w:t>总课时数</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3BBD487">
            <w:pPr>
              <w:widowControl/>
              <w:jc w:val="center"/>
              <w:rPr>
                <w:rFonts w:hint="eastAsia" w:ascii="宋体" w:hAnsi="宋体" w:cs="宋体"/>
                <w:color w:val="000000"/>
                <w:kern w:val="0"/>
                <w:sz w:val="22"/>
              </w:rPr>
            </w:pPr>
            <w:r>
              <w:rPr>
                <w:rFonts w:hint="eastAsia" w:ascii="宋体" w:hAnsi="宋体" w:cs="宋体"/>
                <w:color w:val="000000"/>
                <w:kern w:val="0"/>
                <w:sz w:val="22"/>
              </w:rPr>
              <w:t>　2572</w:t>
            </w: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9F7DB00">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w:t>
            </w:r>
          </w:p>
          <w:p w14:paraId="2339903F">
            <w:pPr>
              <w:widowControl/>
              <w:jc w:val="center"/>
              <w:rPr>
                <w:rFonts w:hint="eastAsia" w:ascii="宋体" w:hAnsi="宋体" w:cs="宋体"/>
                <w:color w:val="000000"/>
                <w:kern w:val="0"/>
                <w:sz w:val="22"/>
              </w:rPr>
            </w:pPr>
            <w:r>
              <w:rPr>
                <w:rFonts w:hint="eastAsia" w:ascii="宋体" w:hAnsi="宋体" w:cs="宋体"/>
                <w:color w:val="000000"/>
                <w:kern w:val="0"/>
                <w:sz w:val="22"/>
              </w:rPr>
              <w:t>课时数</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AA0566D">
            <w:pPr>
              <w:widowControl/>
              <w:jc w:val="center"/>
              <w:rPr>
                <w:rFonts w:hint="eastAsia" w:ascii="宋体" w:hAnsi="宋体" w:cs="宋体"/>
                <w:color w:val="000000"/>
                <w:kern w:val="0"/>
                <w:sz w:val="22"/>
              </w:rPr>
            </w:pPr>
            <w:r>
              <w:rPr>
                <w:rFonts w:hint="eastAsia" w:ascii="宋体" w:hAnsi="宋体" w:cs="宋体"/>
                <w:color w:val="000000"/>
                <w:kern w:val="0"/>
                <w:sz w:val="22"/>
              </w:rPr>
              <w:t>1360</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7667F3B">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实践</w:t>
            </w:r>
          </w:p>
          <w:p w14:paraId="66230E2D">
            <w:pPr>
              <w:widowControl/>
              <w:jc w:val="center"/>
              <w:rPr>
                <w:rFonts w:hint="eastAsia" w:ascii="宋体" w:hAnsi="宋体" w:cs="宋体"/>
                <w:color w:val="000000"/>
                <w:kern w:val="0"/>
                <w:sz w:val="22"/>
              </w:rPr>
            </w:pPr>
            <w:r>
              <w:rPr>
                <w:rFonts w:hint="eastAsia" w:ascii="宋体" w:hAnsi="宋体" w:cs="宋体"/>
                <w:color w:val="000000"/>
                <w:kern w:val="0"/>
                <w:sz w:val="22"/>
              </w:rPr>
              <w:t>课时数</w:t>
            </w:r>
          </w:p>
        </w:tc>
        <w:tc>
          <w:tcPr>
            <w:tcW w:w="31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D36BBAB">
            <w:pPr>
              <w:widowControl/>
              <w:jc w:val="center"/>
              <w:rPr>
                <w:rFonts w:hint="eastAsia" w:ascii="宋体" w:hAnsi="宋体" w:cs="宋体"/>
                <w:color w:val="000000"/>
                <w:kern w:val="0"/>
                <w:sz w:val="22"/>
              </w:rPr>
            </w:pPr>
            <w:r>
              <w:rPr>
                <w:rFonts w:hint="eastAsia" w:ascii="宋体" w:hAnsi="宋体" w:cs="宋体"/>
                <w:color w:val="000000"/>
                <w:kern w:val="0"/>
                <w:sz w:val="22"/>
              </w:rPr>
              <w:t>1212</w:t>
            </w:r>
          </w:p>
        </w:tc>
      </w:tr>
      <w:tr w14:paraId="34460210">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122B3E2F">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理论/实践</w:t>
            </w:r>
          </w:p>
          <w:p w14:paraId="2046ADDB">
            <w:pPr>
              <w:widowControl/>
              <w:jc w:val="center"/>
              <w:rPr>
                <w:rFonts w:hint="eastAsia" w:ascii="宋体" w:hAnsi="宋体" w:cs="宋体"/>
                <w:color w:val="000000"/>
                <w:kern w:val="0"/>
                <w:sz w:val="22"/>
              </w:rPr>
            </w:pPr>
            <w:r>
              <w:rPr>
                <w:rFonts w:hint="eastAsia" w:ascii="宋体" w:hAnsi="宋体" w:cs="宋体"/>
                <w:color w:val="000000"/>
                <w:kern w:val="0"/>
                <w:sz w:val="22"/>
              </w:rPr>
              <w:t>课时比例</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667B34C6">
            <w:pPr>
              <w:widowControl/>
              <w:jc w:val="center"/>
              <w:rPr>
                <w:rFonts w:hint="eastAsia" w:ascii="宋体" w:hAnsi="宋体" w:cs="宋体"/>
                <w:color w:val="000000"/>
                <w:kern w:val="0"/>
                <w:sz w:val="22"/>
              </w:rPr>
            </w:pPr>
            <w:r>
              <w:rPr>
                <w:rFonts w:hint="eastAsia" w:ascii="宋体" w:hAnsi="宋体" w:cs="宋体"/>
                <w:color w:val="000000"/>
                <w:kern w:val="0"/>
                <w:sz w:val="22"/>
              </w:rPr>
              <w:t>理论课时比例</w:t>
            </w:r>
          </w:p>
        </w:tc>
        <w:tc>
          <w:tcPr>
            <w:tcW w:w="1985" w:type="dxa"/>
            <w:gridSpan w:val="3"/>
            <w:tcBorders>
              <w:top w:val="nil"/>
              <w:left w:val="nil"/>
              <w:bottom w:val="single" w:color="auto" w:sz="4" w:space="0"/>
              <w:right w:val="single" w:color="auto" w:sz="4" w:space="0"/>
            </w:tcBorders>
            <w:shd w:val="clear" w:color="auto" w:fill="auto"/>
            <w:vAlign w:val="center"/>
          </w:tcPr>
          <w:p w14:paraId="4635F661">
            <w:pPr>
              <w:widowControl/>
              <w:jc w:val="center"/>
              <w:rPr>
                <w:rFonts w:hint="eastAsia" w:ascii="宋体" w:hAnsi="宋体" w:cs="宋体"/>
                <w:color w:val="000000"/>
                <w:kern w:val="0"/>
                <w:sz w:val="22"/>
              </w:rPr>
            </w:pPr>
            <w:r>
              <w:rPr>
                <w:rFonts w:hint="eastAsia" w:ascii="宋体" w:hAnsi="宋体" w:cs="宋体"/>
                <w:color w:val="000000"/>
                <w:kern w:val="0"/>
                <w:sz w:val="22"/>
              </w:rPr>
              <w:t>53%　</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14:paraId="1EF79F3D">
            <w:pPr>
              <w:widowControl/>
              <w:jc w:val="center"/>
              <w:rPr>
                <w:rFonts w:hint="eastAsia" w:ascii="宋体" w:hAnsi="宋体" w:cs="宋体"/>
                <w:color w:val="000000"/>
                <w:kern w:val="0"/>
                <w:sz w:val="22"/>
              </w:rPr>
            </w:pPr>
            <w:r>
              <w:rPr>
                <w:rFonts w:hint="eastAsia" w:ascii="宋体" w:hAnsi="宋体" w:cs="宋体"/>
                <w:color w:val="000000"/>
                <w:kern w:val="0"/>
                <w:sz w:val="22"/>
              </w:rPr>
              <w:t>实践课时比例</w:t>
            </w:r>
          </w:p>
        </w:tc>
        <w:tc>
          <w:tcPr>
            <w:tcW w:w="4958" w:type="dxa"/>
            <w:gridSpan w:val="6"/>
            <w:tcBorders>
              <w:top w:val="single" w:color="auto" w:sz="4" w:space="0"/>
              <w:left w:val="nil"/>
              <w:bottom w:val="single" w:color="auto" w:sz="4" w:space="0"/>
              <w:right w:val="single" w:color="auto" w:sz="4" w:space="0"/>
            </w:tcBorders>
            <w:shd w:val="clear" w:color="auto" w:fill="auto"/>
            <w:vAlign w:val="center"/>
          </w:tcPr>
          <w:p w14:paraId="659FCBF7">
            <w:pPr>
              <w:widowControl/>
              <w:jc w:val="center"/>
              <w:rPr>
                <w:rFonts w:hint="eastAsia" w:ascii="宋体" w:hAnsi="宋体" w:cs="宋体"/>
                <w:color w:val="000000"/>
                <w:kern w:val="0"/>
                <w:sz w:val="22"/>
              </w:rPr>
            </w:pPr>
            <w:r>
              <w:rPr>
                <w:rFonts w:hint="eastAsia" w:ascii="宋体" w:hAnsi="宋体" w:cs="宋体"/>
                <w:color w:val="000000"/>
                <w:kern w:val="0"/>
                <w:sz w:val="22"/>
              </w:rPr>
              <w:t>47%</w:t>
            </w:r>
          </w:p>
        </w:tc>
      </w:tr>
      <w:tr w14:paraId="7A9B0C42">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auto" w:sz="4" w:space="0"/>
            </w:tcBorders>
            <w:shd w:val="clear" w:color="auto" w:fill="B4C6E7" w:themeFill="accent1" w:themeFillTint="66"/>
            <w:noWrap/>
            <w:vAlign w:val="center"/>
          </w:tcPr>
          <w:p w14:paraId="7B806E24">
            <w:pPr>
              <w:widowControl/>
              <w:jc w:val="center"/>
              <w:rPr>
                <w:rFonts w:hint="eastAsia" w:ascii="宋体" w:hAnsi="宋体" w:cs="宋体"/>
                <w:b/>
                <w:color w:val="000000"/>
                <w:kern w:val="0"/>
                <w:sz w:val="22"/>
              </w:rPr>
            </w:pPr>
            <w:r>
              <w:rPr>
                <w:rFonts w:hint="eastAsia" w:ascii="宋体" w:hAnsi="宋体" w:cs="宋体"/>
                <w:b/>
                <w:color w:val="000000"/>
                <w:kern w:val="0"/>
                <w:sz w:val="22"/>
              </w:rPr>
              <w:t>培养方案学分统计表</w:t>
            </w:r>
          </w:p>
        </w:tc>
      </w:tr>
      <w:tr w14:paraId="7E524149">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DE8895C">
            <w:pPr>
              <w:widowControl/>
              <w:jc w:val="center"/>
              <w:rPr>
                <w:rFonts w:hint="eastAsia" w:ascii="宋体" w:hAnsi="宋体" w:cs="宋体"/>
                <w:color w:val="000000"/>
                <w:kern w:val="0"/>
                <w:sz w:val="22"/>
              </w:rPr>
            </w:pPr>
            <w:r>
              <w:rPr>
                <w:rFonts w:hint="eastAsia" w:ascii="宋体" w:hAnsi="宋体" w:cs="宋体"/>
                <w:color w:val="000000"/>
                <w:kern w:val="0"/>
                <w:sz w:val="22"/>
              </w:rPr>
              <w:t>学分类别</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1BC779C1">
            <w:pPr>
              <w:widowControl/>
              <w:jc w:val="center"/>
              <w:rPr>
                <w:rFonts w:hint="eastAsia" w:ascii="宋体" w:hAnsi="宋体" w:cs="宋体"/>
                <w:color w:val="000000"/>
                <w:kern w:val="0"/>
                <w:sz w:val="22"/>
              </w:rPr>
            </w:pPr>
            <w:r>
              <w:rPr>
                <w:rFonts w:hint="eastAsia" w:ascii="宋体" w:hAnsi="宋体" w:cs="宋体"/>
                <w:color w:val="000000"/>
                <w:kern w:val="0"/>
                <w:sz w:val="22"/>
              </w:rPr>
              <w:t>学分</w:t>
            </w:r>
            <w:r>
              <w:rPr>
                <w:rFonts w:ascii="Times New Roman" w:hAnsi="Times New Roman"/>
                <w:color w:val="000000"/>
                <w:kern w:val="0"/>
                <w:sz w:val="22"/>
              </w:rPr>
              <w:t xml:space="preserve"> </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0DC1FC8">
            <w:pPr>
              <w:widowControl/>
              <w:jc w:val="center"/>
              <w:rPr>
                <w:rFonts w:hint="eastAsia" w:ascii="宋体" w:hAnsi="宋体" w:cs="宋体"/>
                <w:color w:val="000000"/>
                <w:kern w:val="0"/>
                <w:sz w:val="22"/>
              </w:rPr>
            </w:pPr>
            <w:r>
              <w:rPr>
                <w:rFonts w:hint="eastAsia" w:ascii="宋体" w:hAnsi="宋体" w:cs="宋体"/>
                <w:color w:val="000000"/>
                <w:kern w:val="0"/>
                <w:sz w:val="22"/>
              </w:rPr>
              <w:t>占总学分比例</w:t>
            </w:r>
          </w:p>
        </w:tc>
        <w:tc>
          <w:tcPr>
            <w:tcW w:w="1558" w:type="dxa"/>
            <w:tcBorders>
              <w:top w:val="single" w:color="auto" w:sz="4" w:space="0"/>
              <w:left w:val="nil"/>
              <w:bottom w:val="single" w:color="auto" w:sz="4" w:space="0"/>
              <w:right w:val="single" w:color="auto" w:sz="4" w:space="0"/>
            </w:tcBorders>
          </w:tcPr>
          <w:p w14:paraId="7857837C">
            <w:pPr>
              <w:widowControl/>
              <w:jc w:val="center"/>
              <w:rPr>
                <w:rFonts w:hint="eastAsia" w:ascii="宋体" w:hAnsi="宋体" w:cs="宋体"/>
                <w:color w:val="000000"/>
                <w:kern w:val="0"/>
                <w:sz w:val="22"/>
              </w:rPr>
            </w:pPr>
            <w:r>
              <w:rPr>
                <w:rFonts w:hint="eastAsia" w:ascii="宋体" w:hAnsi="宋体" w:cs="宋体"/>
                <w:color w:val="000000"/>
                <w:kern w:val="0"/>
                <w:sz w:val="22"/>
              </w:rPr>
              <w:t>备注</w:t>
            </w:r>
          </w:p>
        </w:tc>
      </w:tr>
      <w:tr w14:paraId="3EE47808">
        <w:tblPrEx>
          <w:tblCellMar>
            <w:top w:w="0" w:type="dxa"/>
            <w:left w:w="108" w:type="dxa"/>
            <w:bottom w:w="0" w:type="dxa"/>
            <w:right w:w="108" w:type="dxa"/>
          </w:tblCellMar>
        </w:tblPrEx>
        <w:trPr>
          <w:trHeight w:val="630" w:hRule="atLeast"/>
        </w:trPr>
        <w:tc>
          <w:tcPr>
            <w:tcW w:w="468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0F5D0605">
            <w:pPr>
              <w:widowControl/>
              <w:jc w:val="center"/>
              <w:rPr>
                <w:rFonts w:hint="eastAsia" w:ascii="宋体" w:hAnsi="宋体" w:cs="宋体"/>
                <w:color w:val="000000"/>
                <w:kern w:val="0"/>
                <w:sz w:val="22"/>
              </w:rPr>
            </w:pPr>
            <w:r>
              <w:rPr>
                <w:rFonts w:hint="eastAsia" w:ascii="宋体" w:hAnsi="宋体" w:cs="宋体"/>
                <w:color w:val="000000"/>
                <w:kern w:val="0"/>
                <w:sz w:val="22"/>
              </w:rPr>
              <w:t>公共课（含必修、限选、任选）</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4CE74EFC">
            <w:pPr>
              <w:widowControl/>
              <w:jc w:val="center"/>
              <w:rPr>
                <w:rFonts w:hint="eastAsia" w:ascii="宋体" w:hAnsi="宋体" w:cs="宋体"/>
                <w:color w:val="000000"/>
                <w:kern w:val="0"/>
                <w:sz w:val="22"/>
              </w:rPr>
            </w:pPr>
            <w:r>
              <w:rPr>
                <w:rFonts w:hint="eastAsia" w:ascii="宋体" w:hAnsi="宋体" w:cs="宋体"/>
                <w:color w:val="000000"/>
                <w:kern w:val="0"/>
                <w:sz w:val="22"/>
              </w:rPr>
              <w:t>55</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0648F71C">
            <w:pPr>
              <w:widowControl/>
              <w:jc w:val="center"/>
              <w:rPr>
                <w:rFonts w:hint="eastAsia" w:ascii="宋体" w:hAnsi="宋体" w:cs="宋体"/>
                <w:color w:val="000000"/>
                <w:kern w:val="0"/>
                <w:sz w:val="22"/>
              </w:rPr>
            </w:pPr>
            <w:r>
              <w:rPr>
                <w:rFonts w:hint="eastAsia" w:ascii="宋体" w:hAnsi="宋体" w:cs="宋体"/>
                <w:color w:val="000000"/>
                <w:kern w:val="0"/>
                <w:sz w:val="22"/>
              </w:rPr>
              <w:t>37%</w:t>
            </w:r>
          </w:p>
        </w:tc>
        <w:tc>
          <w:tcPr>
            <w:tcW w:w="1558" w:type="dxa"/>
            <w:tcBorders>
              <w:top w:val="single" w:color="auto" w:sz="4" w:space="0"/>
              <w:left w:val="nil"/>
              <w:bottom w:val="single" w:color="auto" w:sz="4" w:space="0"/>
              <w:right w:val="single" w:color="auto" w:sz="4" w:space="0"/>
            </w:tcBorders>
          </w:tcPr>
          <w:p w14:paraId="48EB16FF">
            <w:pPr>
              <w:widowControl/>
              <w:jc w:val="center"/>
              <w:rPr>
                <w:rFonts w:hint="eastAsia" w:ascii="宋体" w:hAnsi="宋体" w:cs="宋体"/>
                <w:color w:val="000000"/>
                <w:kern w:val="0"/>
                <w:sz w:val="22"/>
              </w:rPr>
            </w:pPr>
          </w:p>
        </w:tc>
      </w:tr>
      <w:tr w14:paraId="4F23EF69">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42A893EE">
            <w:pPr>
              <w:widowControl/>
              <w:jc w:val="center"/>
              <w:rPr>
                <w:rFonts w:hint="eastAsia" w:ascii="宋体" w:hAnsi="宋体" w:cs="宋体"/>
                <w:color w:val="000000"/>
                <w:kern w:val="0"/>
                <w:sz w:val="22"/>
              </w:rPr>
            </w:pPr>
            <w:r>
              <w:rPr>
                <w:rFonts w:hint="eastAsia" w:ascii="宋体" w:hAnsi="宋体" w:cs="宋体"/>
                <w:color w:val="000000"/>
                <w:kern w:val="0"/>
                <w:sz w:val="22"/>
              </w:rPr>
              <w:t>专业课程教学(含课程实践)</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407A97FA">
            <w:pPr>
              <w:widowControl/>
              <w:jc w:val="center"/>
              <w:rPr>
                <w:rFonts w:hint="eastAsia" w:ascii="宋体" w:hAnsi="宋体" w:cs="宋体"/>
                <w:color w:val="000000"/>
                <w:kern w:val="0"/>
                <w:sz w:val="22"/>
              </w:rPr>
            </w:pPr>
            <w:r>
              <w:rPr>
                <w:rFonts w:hint="eastAsia" w:ascii="宋体" w:hAnsi="宋体" w:cs="宋体"/>
                <w:color w:val="000000"/>
                <w:kern w:val="0"/>
                <w:sz w:val="22"/>
              </w:rPr>
              <w:t>60</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4F589B3B">
            <w:pPr>
              <w:widowControl/>
              <w:jc w:val="center"/>
              <w:rPr>
                <w:rFonts w:hint="eastAsia" w:ascii="宋体" w:hAnsi="宋体" w:cs="宋体"/>
                <w:color w:val="000000"/>
                <w:kern w:val="0"/>
                <w:sz w:val="22"/>
              </w:rPr>
            </w:pPr>
            <w:r>
              <w:rPr>
                <w:rFonts w:hint="eastAsia" w:ascii="宋体" w:hAnsi="宋体" w:cs="宋体"/>
                <w:color w:val="000000"/>
                <w:kern w:val="0"/>
                <w:sz w:val="22"/>
              </w:rPr>
              <w:t>40%</w:t>
            </w:r>
          </w:p>
        </w:tc>
        <w:tc>
          <w:tcPr>
            <w:tcW w:w="1558" w:type="dxa"/>
            <w:tcBorders>
              <w:top w:val="single" w:color="auto" w:sz="4" w:space="0"/>
              <w:left w:val="nil"/>
              <w:bottom w:val="single" w:color="auto" w:sz="4" w:space="0"/>
              <w:right w:val="single" w:color="auto" w:sz="4" w:space="0"/>
            </w:tcBorders>
          </w:tcPr>
          <w:p w14:paraId="62CFA804">
            <w:pPr>
              <w:widowControl/>
              <w:jc w:val="center"/>
              <w:rPr>
                <w:rFonts w:hint="eastAsia" w:ascii="宋体" w:hAnsi="宋体" w:cs="宋体"/>
                <w:color w:val="000000"/>
                <w:kern w:val="0"/>
                <w:sz w:val="22"/>
              </w:rPr>
            </w:pPr>
          </w:p>
        </w:tc>
      </w:tr>
      <w:tr w14:paraId="5E0C345B">
        <w:tblPrEx>
          <w:tblCellMar>
            <w:top w:w="0" w:type="dxa"/>
            <w:left w:w="108" w:type="dxa"/>
            <w:bottom w:w="0" w:type="dxa"/>
            <w:right w:w="108" w:type="dxa"/>
          </w:tblCellMar>
        </w:tblPrEx>
        <w:trPr>
          <w:trHeight w:val="518" w:hRule="atLeast"/>
        </w:trPr>
        <w:tc>
          <w:tcPr>
            <w:tcW w:w="24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ADE62C3">
            <w:pPr>
              <w:widowControl/>
              <w:jc w:val="center"/>
              <w:rPr>
                <w:rFonts w:hint="eastAsia" w:ascii="宋体" w:hAnsi="宋体" w:cs="宋体"/>
                <w:color w:val="000000"/>
                <w:kern w:val="0"/>
                <w:sz w:val="22"/>
              </w:rPr>
            </w:pPr>
            <w:r>
              <w:rPr>
                <w:rFonts w:hint="eastAsia" w:ascii="宋体" w:hAnsi="宋体" w:cs="宋体"/>
                <w:color w:val="000000"/>
                <w:kern w:val="0"/>
                <w:sz w:val="22"/>
              </w:rPr>
              <w:t>实践教学</w:t>
            </w: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79133E38">
            <w:pPr>
              <w:widowControl/>
              <w:jc w:val="center"/>
              <w:rPr>
                <w:rFonts w:hint="eastAsia" w:ascii="宋体" w:hAnsi="宋体" w:cs="宋体"/>
                <w:color w:val="000000"/>
                <w:kern w:val="0"/>
                <w:sz w:val="22"/>
              </w:rPr>
            </w:pPr>
            <w:r>
              <w:rPr>
                <w:rFonts w:hint="eastAsia" w:ascii="宋体" w:hAnsi="宋体" w:cs="宋体"/>
                <w:color w:val="000000"/>
                <w:kern w:val="0"/>
                <w:sz w:val="22"/>
              </w:rPr>
              <w:t>公共实践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66CE7400">
            <w:pPr>
              <w:widowControl/>
              <w:jc w:val="center"/>
              <w:rPr>
                <w:rFonts w:hint="eastAsia" w:ascii="宋体" w:hAnsi="宋体" w:cs="宋体"/>
                <w:color w:val="000000"/>
                <w:kern w:val="0"/>
                <w:sz w:val="22"/>
              </w:rPr>
            </w:pPr>
            <w:r>
              <w:rPr>
                <w:rFonts w:hint="eastAsia" w:ascii="宋体" w:hAnsi="宋体" w:cs="宋体"/>
                <w:color w:val="000000"/>
                <w:kern w:val="0"/>
                <w:sz w:val="22"/>
              </w:rPr>
              <w:t>　8</w:t>
            </w:r>
          </w:p>
        </w:tc>
        <w:tc>
          <w:tcPr>
            <w:tcW w:w="8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79D74DF">
            <w:pPr>
              <w:widowControl/>
              <w:jc w:val="center"/>
              <w:rPr>
                <w:rFonts w:hint="eastAsia" w:ascii="宋体" w:hAnsi="宋体" w:cs="宋体"/>
                <w:color w:val="000000"/>
                <w:kern w:val="0"/>
                <w:sz w:val="22"/>
              </w:rPr>
            </w:pPr>
            <w:r>
              <w:rPr>
                <w:rFonts w:hint="eastAsia" w:ascii="宋体" w:hAnsi="宋体" w:cs="宋体"/>
                <w:color w:val="000000"/>
                <w:kern w:val="0"/>
                <w:sz w:val="22"/>
              </w:rPr>
              <w:t>34</w:t>
            </w: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E043290">
            <w:pPr>
              <w:widowControl/>
              <w:jc w:val="center"/>
              <w:rPr>
                <w:rFonts w:hint="eastAsia" w:ascii="宋体" w:hAnsi="宋体" w:cs="宋体"/>
                <w:color w:val="000000"/>
                <w:kern w:val="0"/>
                <w:sz w:val="22"/>
              </w:rPr>
            </w:pPr>
            <w:r>
              <w:rPr>
                <w:rFonts w:hint="eastAsia" w:ascii="宋体" w:hAnsi="宋体" w:cs="宋体"/>
                <w:color w:val="000000"/>
                <w:kern w:val="0"/>
                <w:sz w:val="22"/>
              </w:rPr>
              <w:t>5%</w:t>
            </w:r>
          </w:p>
        </w:tc>
        <w:tc>
          <w:tcPr>
            <w:tcW w:w="876" w:type="dxa"/>
            <w:vMerge w:val="restart"/>
            <w:tcBorders>
              <w:top w:val="nil"/>
              <w:left w:val="single" w:color="auto" w:sz="4" w:space="0"/>
              <w:bottom w:val="single" w:color="auto" w:sz="4" w:space="0"/>
              <w:right w:val="single" w:color="auto" w:sz="4" w:space="0"/>
            </w:tcBorders>
            <w:shd w:val="clear" w:color="auto" w:fill="auto"/>
            <w:noWrap/>
            <w:vAlign w:val="center"/>
          </w:tcPr>
          <w:p w14:paraId="5E1D45F0">
            <w:pPr>
              <w:widowControl/>
              <w:jc w:val="center"/>
              <w:rPr>
                <w:rFonts w:hint="eastAsia" w:ascii="宋体" w:hAnsi="宋体" w:cs="宋体"/>
                <w:color w:val="000000"/>
                <w:kern w:val="0"/>
                <w:sz w:val="22"/>
              </w:rPr>
            </w:pPr>
            <w:r>
              <w:rPr>
                <w:rFonts w:hint="eastAsia" w:ascii="宋体" w:hAnsi="宋体" w:cs="宋体"/>
                <w:color w:val="000000"/>
                <w:kern w:val="0"/>
                <w:sz w:val="22"/>
              </w:rPr>
              <w:t>22%</w:t>
            </w:r>
          </w:p>
        </w:tc>
        <w:tc>
          <w:tcPr>
            <w:tcW w:w="1558" w:type="dxa"/>
            <w:tcBorders>
              <w:top w:val="nil"/>
              <w:left w:val="single" w:color="auto" w:sz="4" w:space="0"/>
              <w:bottom w:val="single" w:color="auto" w:sz="4" w:space="0"/>
              <w:right w:val="single" w:color="auto" w:sz="4" w:space="0"/>
            </w:tcBorders>
          </w:tcPr>
          <w:p w14:paraId="02B91D78">
            <w:pPr>
              <w:widowControl/>
              <w:jc w:val="center"/>
              <w:rPr>
                <w:rFonts w:hint="eastAsia" w:ascii="宋体" w:hAnsi="宋体" w:cs="宋体"/>
                <w:color w:val="000000"/>
                <w:kern w:val="0"/>
                <w:sz w:val="22"/>
              </w:rPr>
            </w:pPr>
          </w:p>
        </w:tc>
      </w:tr>
      <w:tr w14:paraId="6B47E035">
        <w:tblPrEx>
          <w:tblCellMar>
            <w:top w:w="0" w:type="dxa"/>
            <w:left w:w="108" w:type="dxa"/>
            <w:bottom w:w="0" w:type="dxa"/>
            <w:right w:w="108" w:type="dxa"/>
          </w:tblCellMar>
        </w:tblPrEx>
        <w:trPr>
          <w:trHeight w:val="518" w:hRule="atLeast"/>
        </w:trPr>
        <w:tc>
          <w:tcPr>
            <w:tcW w:w="2459" w:type="dxa"/>
            <w:gridSpan w:val="2"/>
            <w:vMerge w:val="continue"/>
            <w:tcBorders>
              <w:top w:val="single" w:color="auto" w:sz="4" w:space="0"/>
              <w:left w:val="single" w:color="auto" w:sz="4" w:space="0"/>
              <w:bottom w:val="single" w:color="auto" w:sz="4" w:space="0"/>
              <w:right w:val="single" w:color="auto" w:sz="4" w:space="0"/>
            </w:tcBorders>
            <w:vAlign w:val="center"/>
          </w:tcPr>
          <w:p w14:paraId="68A6AD48">
            <w:pPr>
              <w:widowControl/>
              <w:jc w:val="left"/>
              <w:rPr>
                <w:rFonts w:hint="eastAsia" w:ascii="宋体" w:hAnsi="宋体" w:cs="宋体"/>
                <w:color w:val="000000"/>
                <w:kern w:val="0"/>
                <w:sz w:val="22"/>
              </w:rPr>
            </w:pP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255BAFE0">
            <w:pPr>
              <w:widowControl/>
              <w:jc w:val="center"/>
              <w:rPr>
                <w:rFonts w:hint="eastAsia" w:ascii="宋体" w:hAnsi="宋体" w:cs="宋体"/>
                <w:color w:val="000000"/>
                <w:kern w:val="0"/>
                <w:sz w:val="22"/>
              </w:rPr>
            </w:pPr>
            <w:r>
              <w:rPr>
                <w:rFonts w:hint="eastAsia" w:ascii="宋体" w:hAnsi="宋体" w:cs="宋体"/>
                <w:color w:val="000000"/>
                <w:kern w:val="0"/>
                <w:sz w:val="22"/>
              </w:rPr>
              <w:t>专业实践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2B99863B">
            <w:pPr>
              <w:widowControl/>
              <w:jc w:val="center"/>
              <w:rPr>
                <w:rFonts w:hint="eastAsia" w:ascii="宋体" w:hAnsi="宋体" w:cs="宋体"/>
                <w:color w:val="000000"/>
                <w:kern w:val="0"/>
                <w:sz w:val="22"/>
              </w:rPr>
            </w:pPr>
            <w:r>
              <w:rPr>
                <w:rFonts w:hint="eastAsia" w:ascii="宋体" w:hAnsi="宋体" w:cs="宋体"/>
                <w:color w:val="000000"/>
                <w:kern w:val="0"/>
                <w:sz w:val="22"/>
              </w:rPr>
              <w:t>　26</w:t>
            </w:r>
          </w:p>
        </w:tc>
        <w:tc>
          <w:tcPr>
            <w:tcW w:w="876" w:type="dxa"/>
            <w:gridSpan w:val="2"/>
            <w:vMerge w:val="continue"/>
            <w:tcBorders>
              <w:top w:val="single" w:color="auto" w:sz="4" w:space="0"/>
              <w:left w:val="single" w:color="auto" w:sz="4" w:space="0"/>
              <w:bottom w:val="single" w:color="auto" w:sz="4" w:space="0"/>
              <w:right w:val="single" w:color="auto" w:sz="4" w:space="0"/>
            </w:tcBorders>
            <w:vAlign w:val="center"/>
          </w:tcPr>
          <w:p w14:paraId="02683AE4">
            <w:pPr>
              <w:widowControl/>
              <w:jc w:val="left"/>
              <w:rPr>
                <w:rFonts w:hint="eastAsia"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70B7D0A">
            <w:pPr>
              <w:widowControl/>
              <w:jc w:val="center"/>
              <w:rPr>
                <w:rFonts w:hint="eastAsia" w:ascii="宋体" w:hAnsi="宋体" w:cs="宋体"/>
                <w:color w:val="000000"/>
                <w:kern w:val="0"/>
                <w:sz w:val="22"/>
              </w:rPr>
            </w:pPr>
            <w:r>
              <w:rPr>
                <w:rFonts w:hint="eastAsia" w:ascii="宋体" w:hAnsi="宋体" w:cs="宋体"/>
                <w:color w:val="000000"/>
                <w:kern w:val="0"/>
                <w:sz w:val="22"/>
              </w:rPr>
              <w:t>17%</w:t>
            </w:r>
          </w:p>
        </w:tc>
        <w:tc>
          <w:tcPr>
            <w:tcW w:w="876" w:type="dxa"/>
            <w:vMerge w:val="continue"/>
            <w:tcBorders>
              <w:top w:val="nil"/>
              <w:left w:val="single" w:color="auto" w:sz="4" w:space="0"/>
              <w:bottom w:val="single" w:color="auto" w:sz="4" w:space="0"/>
              <w:right w:val="single" w:color="auto" w:sz="4" w:space="0"/>
            </w:tcBorders>
            <w:vAlign w:val="center"/>
          </w:tcPr>
          <w:p w14:paraId="2A55DA99">
            <w:pPr>
              <w:widowControl/>
              <w:jc w:val="left"/>
              <w:rPr>
                <w:rFonts w:hint="eastAsia"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14:paraId="7D6E9208">
            <w:pPr>
              <w:widowControl/>
              <w:jc w:val="left"/>
              <w:rPr>
                <w:rFonts w:hint="eastAsia" w:ascii="宋体" w:hAnsi="宋体" w:cs="宋体"/>
                <w:color w:val="000000"/>
                <w:kern w:val="0"/>
                <w:sz w:val="22"/>
              </w:rPr>
            </w:pPr>
          </w:p>
        </w:tc>
      </w:tr>
      <w:tr w14:paraId="142A9BC3">
        <w:tblPrEx>
          <w:tblCellMar>
            <w:top w:w="0" w:type="dxa"/>
            <w:left w:w="108" w:type="dxa"/>
            <w:bottom w:w="0" w:type="dxa"/>
            <w:right w:w="108" w:type="dxa"/>
          </w:tblCellMar>
        </w:tblPrEx>
        <w:trPr>
          <w:trHeight w:val="60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F9332DB">
            <w:pPr>
              <w:widowControl/>
              <w:jc w:val="center"/>
              <w:rPr>
                <w:rFonts w:hint="eastAsia" w:ascii="宋体" w:hAnsi="宋体" w:cs="宋体"/>
                <w:color w:val="000000"/>
                <w:kern w:val="0"/>
                <w:sz w:val="22"/>
              </w:rPr>
            </w:pPr>
            <w:r>
              <w:rPr>
                <w:rFonts w:hint="eastAsia" w:ascii="宋体" w:hAnsi="宋体" w:cs="宋体"/>
                <w:color w:val="000000"/>
                <w:kern w:val="0"/>
                <w:sz w:val="22"/>
              </w:rPr>
              <w:t>必修课（含军事训练、实训实习）</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50027A22">
            <w:pPr>
              <w:widowControl/>
              <w:jc w:val="center"/>
              <w:rPr>
                <w:rFonts w:hint="eastAsia" w:ascii="宋体" w:hAnsi="宋体" w:cs="宋体"/>
                <w:color w:val="000000"/>
                <w:kern w:val="0"/>
                <w:sz w:val="22"/>
              </w:rPr>
            </w:pPr>
            <w:r>
              <w:rPr>
                <w:rFonts w:hint="eastAsia" w:ascii="宋体" w:hAnsi="宋体" w:cs="宋体"/>
                <w:color w:val="000000"/>
                <w:kern w:val="0"/>
                <w:sz w:val="22"/>
              </w:rPr>
              <w:t>129</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5E8F0EF1">
            <w:pPr>
              <w:widowControl/>
              <w:jc w:val="center"/>
              <w:rPr>
                <w:rFonts w:hint="eastAsia" w:ascii="宋体" w:hAnsi="宋体" w:cs="宋体"/>
                <w:color w:val="000000"/>
                <w:kern w:val="0"/>
                <w:sz w:val="22"/>
              </w:rPr>
            </w:pPr>
            <w:r>
              <w:rPr>
                <w:rFonts w:hint="eastAsia" w:ascii="宋体" w:hAnsi="宋体" w:cs="宋体"/>
                <w:color w:val="000000"/>
                <w:kern w:val="0"/>
                <w:sz w:val="22"/>
              </w:rPr>
              <w:t>87%</w:t>
            </w:r>
          </w:p>
        </w:tc>
        <w:tc>
          <w:tcPr>
            <w:tcW w:w="1558" w:type="dxa"/>
            <w:tcBorders>
              <w:top w:val="single" w:color="auto" w:sz="4" w:space="0"/>
              <w:left w:val="nil"/>
              <w:bottom w:val="single" w:color="auto" w:sz="4" w:space="0"/>
              <w:right w:val="single" w:color="auto" w:sz="4" w:space="0"/>
            </w:tcBorders>
          </w:tcPr>
          <w:p w14:paraId="08D35BB6">
            <w:pPr>
              <w:widowControl/>
              <w:jc w:val="center"/>
              <w:rPr>
                <w:rFonts w:hint="eastAsia" w:ascii="宋体" w:hAnsi="宋体" w:cs="宋体"/>
                <w:color w:val="000000"/>
                <w:kern w:val="0"/>
                <w:sz w:val="22"/>
              </w:rPr>
            </w:pPr>
          </w:p>
        </w:tc>
      </w:tr>
      <w:tr w14:paraId="5A3B4E73">
        <w:tblPrEx>
          <w:tblCellMar>
            <w:top w:w="0" w:type="dxa"/>
            <w:left w:w="108" w:type="dxa"/>
            <w:bottom w:w="0" w:type="dxa"/>
            <w:right w:w="108" w:type="dxa"/>
          </w:tblCellMar>
        </w:tblPrEx>
        <w:trPr>
          <w:trHeight w:val="99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570B9BA">
            <w:pPr>
              <w:widowControl/>
              <w:jc w:val="left"/>
              <w:rPr>
                <w:rFonts w:hint="eastAsia" w:ascii="宋体" w:hAnsi="宋体" w:cs="宋体"/>
                <w:color w:val="000000"/>
                <w:kern w:val="0"/>
                <w:sz w:val="22"/>
              </w:rPr>
            </w:pPr>
            <w:r>
              <w:rPr>
                <w:rFonts w:hint="eastAsia" w:ascii="宋体" w:hAnsi="宋体" w:cs="宋体"/>
                <w:color w:val="000000"/>
                <w:kern w:val="0"/>
                <w:sz w:val="22"/>
              </w:rPr>
              <w:t>选修课（含公共限选、公共任选</w:t>
            </w:r>
            <w:r>
              <w:rPr>
                <w:rFonts w:hint="eastAsia" w:ascii="宋体" w:hAnsi="宋体" w:cs="宋体"/>
                <w:kern w:val="0"/>
                <w:sz w:val="22"/>
              </w:rPr>
              <w:t>、专业任选模块）</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43ADFCCD">
            <w:pPr>
              <w:widowControl/>
              <w:jc w:val="center"/>
              <w:rPr>
                <w:rFonts w:hint="eastAsia" w:ascii="宋体" w:hAnsi="宋体" w:cs="宋体"/>
                <w:color w:val="000000"/>
                <w:kern w:val="0"/>
                <w:sz w:val="22"/>
              </w:rPr>
            </w:pPr>
            <w:r>
              <w:rPr>
                <w:rFonts w:hint="eastAsia" w:ascii="宋体" w:hAnsi="宋体" w:cs="宋体"/>
                <w:color w:val="000000"/>
                <w:kern w:val="0"/>
                <w:sz w:val="22"/>
              </w:rPr>
              <w:t>20</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41EDCC7E">
            <w:pPr>
              <w:widowControl/>
              <w:jc w:val="center"/>
              <w:rPr>
                <w:rFonts w:hint="eastAsia" w:ascii="宋体" w:hAnsi="宋体" w:cs="宋体"/>
                <w:color w:val="000000"/>
                <w:kern w:val="0"/>
                <w:sz w:val="22"/>
              </w:rPr>
            </w:pPr>
            <w:r>
              <w:rPr>
                <w:rFonts w:hint="eastAsia" w:ascii="宋体" w:hAnsi="宋体" w:cs="宋体"/>
                <w:color w:val="000000"/>
                <w:kern w:val="0"/>
                <w:sz w:val="22"/>
              </w:rPr>
              <w:t>13%</w:t>
            </w:r>
          </w:p>
        </w:tc>
        <w:tc>
          <w:tcPr>
            <w:tcW w:w="1558" w:type="dxa"/>
            <w:tcBorders>
              <w:top w:val="single" w:color="auto" w:sz="4" w:space="0"/>
              <w:left w:val="nil"/>
              <w:bottom w:val="single" w:color="auto" w:sz="4" w:space="0"/>
              <w:right w:val="single" w:color="auto" w:sz="4" w:space="0"/>
            </w:tcBorders>
          </w:tcPr>
          <w:p w14:paraId="07D2D0B0">
            <w:pPr>
              <w:widowControl/>
              <w:jc w:val="center"/>
              <w:rPr>
                <w:rFonts w:hint="eastAsia" w:ascii="宋体" w:hAnsi="宋体" w:cs="宋体"/>
                <w:color w:val="000000"/>
                <w:kern w:val="0"/>
                <w:sz w:val="22"/>
              </w:rPr>
            </w:pPr>
          </w:p>
        </w:tc>
      </w:tr>
      <w:tr w14:paraId="60FE8EAF">
        <w:tblPrEx>
          <w:tblCellMar>
            <w:top w:w="0" w:type="dxa"/>
            <w:left w:w="108" w:type="dxa"/>
            <w:bottom w:w="0" w:type="dxa"/>
            <w:right w:w="108" w:type="dxa"/>
          </w:tblCellMar>
        </w:tblPrEx>
        <w:trPr>
          <w:trHeight w:val="435"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C6AD10F">
            <w:pPr>
              <w:widowControl/>
              <w:jc w:val="center"/>
              <w:rPr>
                <w:rFonts w:hint="eastAsia" w:ascii="宋体" w:hAnsi="宋体" w:cs="宋体"/>
                <w:color w:val="000000"/>
                <w:kern w:val="0"/>
                <w:sz w:val="22"/>
              </w:rPr>
            </w:pPr>
            <w:r>
              <w:rPr>
                <w:rFonts w:hint="eastAsia" w:ascii="宋体" w:hAnsi="宋体" w:cs="宋体"/>
                <w:color w:val="000000"/>
                <w:kern w:val="0"/>
                <w:sz w:val="22"/>
              </w:rPr>
              <w:t>总</w:t>
            </w:r>
            <w:r>
              <w:rPr>
                <w:rFonts w:ascii="Times New Roman" w:hAnsi="Times New Roman"/>
                <w:color w:val="000000"/>
                <w:kern w:val="0"/>
                <w:sz w:val="22"/>
              </w:rPr>
              <w:t xml:space="preserve">           </w:t>
            </w:r>
            <w:r>
              <w:rPr>
                <w:rFonts w:hint="eastAsia" w:ascii="宋体" w:hAnsi="宋体" w:cs="宋体"/>
                <w:color w:val="000000"/>
                <w:kern w:val="0"/>
                <w:sz w:val="22"/>
              </w:rPr>
              <w:t>计</w:t>
            </w:r>
          </w:p>
        </w:tc>
        <w:tc>
          <w:tcPr>
            <w:tcW w:w="7653" w:type="dxa"/>
            <w:gridSpan w:val="10"/>
            <w:tcBorders>
              <w:top w:val="single" w:color="auto" w:sz="4" w:space="0"/>
              <w:left w:val="nil"/>
              <w:bottom w:val="single" w:color="auto" w:sz="4" w:space="0"/>
              <w:right w:val="single" w:color="000000" w:sz="4" w:space="0"/>
            </w:tcBorders>
            <w:shd w:val="clear" w:color="auto" w:fill="auto"/>
            <w:noWrap/>
            <w:vAlign w:val="center"/>
          </w:tcPr>
          <w:p w14:paraId="7FC83FF4">
            <w:pPr>
              <w:widowControl/>
              <w:jc w:val="center"/>
              <w:rPr>
                <w:rFonts w:hint="eastAsia" w:ascii="宋体" w:hAnsi="宋体" w:cs="宋体"/>
                <w:color w:val="000000"/>
                <w:kern w:val="0"/>
                <w:sz w:val="22"/>
              </w:rPr>
            </w:pPr>
            <w:r>
              <w:rPr>
                <w:rFonts w:hint="eastAsia" w:ascii="宋体" w:hAnsi="宋体" w:cs="宋体"/>
                <w:color w:val="000000"/>
                <w:kern w:val="0"/>
                <w:sz w:val="22"/>
              </w:rPr>
              <w:t>149</w:t>
            </w:r>
          </w:p>
        </w:tc>
        <w:tc>
          <w:tcPr>
            <w:tcW w:w="1558" w:type="dxa"/>
            <w:tcBorders>
              <w:top w:val="single" w:color="auto" w:sz="4" w:space="0"/>
              <w:left w:val="nil"/>
              <w:bottom w:val="single" w:color="auto" w:sz="4" w:space="0"/>
              <w:right w:val="single" w:color="000000" w:sz="4" w:space="0"/>
            </w:tcBorders>
          </w:tcPr>
          <w:p w14:paraId="4C7AA308">
            <w:pPr>
              <w:widowControl/>
              <w:jc w:val="center"/>
              <w:rPr>
                <w:rFonts w:hint="eastAsia" w:ascii="宋体" w:hAnsi="宋体" w:cs="宋体"/>
                <w:color w:val="000000"/>
                <w:kern w:val="0"/>
                <w:sz w:val="22"/>
              </w:rPr>
            </w:pPr>
          </w:p>
        </w:tc>
      </w:tr>
    </w:tbl>
    <w:p w14:paraId="5158150E">
      <w:pPr>
        <w:rPr>
          <w:b/>
          <w:bCs/>
          <w:kern w:val="44"/>
        </w:rPr>
      </w:pPr>
    </w:p>
    <w:p w14:paraId="2D61B060">
      <w:pPr>
        <w:jc w:val="center"/>
        <w:rPr>
          <w:rFonts w:hint="eastAsia" w:ascii="Arial" w:hAnsi="Arial" w:eastAsia="黑体"/>
          <w:b/>
          <w:bCs/>
          <w:color w:val="000000"/>
          <w:sz w:val="28"/>
          <w:szCs w:val="28"/>
          <w:lang w:eastAsia="zh-CN"/>
        </w:rPr>
      </w:pPr>
    </w:p>
    <w:p w14:paraId="452D6296">
      <w:pPr>
        <w:pStyle w:val="2"/>
        <w:rPr>
          <w:rFonts w:hint="eastAsia"/>
          <w:lang w:eastAsia="zh-CN"/>
        </w:rPr>
        <w:sectPr>
          <w:pgSz w:w="16838" w:h="11906" w:orient="landscape"/>
          <w:pgMar w:top="1797" w:right="1440" w:bottom="1797" w:left="1440" w:header="851" w:footer="992" w:gutter="0"/>
          <w:cols w:space="425" w:num="1"/>
          <w:docGrid w:type="linesAndChars" w:linePitch="312" w:charSpace="0"/>
        </w:sectPr>
      </w:pPr>
    </w:p>
    <w:p w14:paraId="59617523">
      <w:pPr>
        <w:keepNext/>
        <w:keepLines/>
        <w:spacing w:line="500" w:lineRule="exact"/>
        <w:ind w:firstLine="643" w:firstLineChars="200"/>
        <w:outlineLvl w:val="0"/>
        <w:rPr>
          <w:rFonts w:eastAsia="黑体"/>
          <w:b/>
          <w:bCs/>
          <w:color w:val="000000"/>
          <w:kern w:val="44"/>
          <w:sz w:val="32"/>
          <w:szCs w:val="30"/>
        </w:rPr>
      </w:pPr>
      <w:bookmarkStart w:id="72" w:name="_Toc46303726"/>
      <w:r>
        <w:rPr>
          <w:rFonts w:hint="eastAsia" w:eastAsia="黑体"/>
          <w:b/>
          <w:bCs/>
          <w:color w:val="000000"/>
          <w:kern w:val="44"/>
          <w:sz w:val="32"/>
          <w:szCs w:val="30"/>
        </w:rPr>
        <w:t>八、实施保障</w:t>
      </w:r>
      <w:bookmarkEnd w:id="72"/>
    </w:p>
    <w:p w14:paraId="40196E3C">
      <w:pPr>
        <w:keepNext/>
        <w:keepLines/>
        <w:spacing w:line="500" w:lineRule="exact"/>
        <w:ind w:firstLine="562" w:firstLineChars="200"/>
        <w:outlineLvl w:val="1"/>
        <w:rPr>
          <w:rFonts w:ascii="Arial" w:hAnsi="Arial" w:eastAsia="黑体"/>
          <w:b/>
          <w:bCs/>
          <w:color w:val="000000"/>
          <w:sz w:val="28"/>
          <w:szCs w:val="28"/>
        </w:rPr>
      </w:pPr>
      <w:bookmarkStart w:id="73" w:name="_Toc46303727"/>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bookmarkEnd w:id="73"/>
    </w:p>
    <w:p w14:paraId="7F1DD748">
      <w:pPr>
        <w:pStyle w:val="67"/>
        <w:numPr>
          <w:ilvl w:val="0"/>
          <w:numId w:val="4"/>
        </w:numPr>
        <w:ind w:firstLineChars="0"/>
        <w:rPr>
          <w:rFonts w:hint="eastAsia" w:ascii="黑体" w:hAnsi="黑体" w:eastAsia="黑体"/>
          <w:b/>
          <w:sz w:val="24"/>
          <w:szCs w:val="24"/>
        </w:rPr>
      </w:pPr>
      <w:r>
        <w:rPr>
          <w:rFonts w:hint="eastAsia" w:ascii="黑体" w:hAnsi="黑体" w:eastAsia="黑体"/>
          <w:b/>
          <w:sz w:val="24"/>
          <w:szCs w:val="24"/>
        </w:rPr>
        <w:t>基本情况</w:t>
      </w:r>
    </w:p>
    <w:p w14:paraId="090AEFDD">
      <w:pPr>
        <w:spacing w:line="360" w:lineRule="auto"/>
        <w:ind w:firstLine="480" w:firstLineChars="200"/>
        <w:rPr>
          <w:rFonts w:hint="eastAsia" w:ascii="黑体" w:hAnsi="黑体" w:eastAsia="黑体"/>
          <w:b/>
          <w:sz w:val="28"/>
        </w:rPr>
      </w:pPr>
      <w:r>
        <w:rPr>
          <w:rFonts w:hint="eastAsia" w:ascii="宋体" w:hAnsi="宋体"/>
          <w:bCs/>
          <w:sz w:val="24"/>
          <w:szCs w:val="24"/>
        </w:rPr>
        <w:t xml:space="preserve">我院现配物流管理专业现有专业教师5名，其中、硕士1人、讲师4人，副教授1人，兼职教师2人。职称结构合理，具备培养专科生的师资力量。他们长期从事教学实践活动，对物流管理的基本理论有较深入的研究，在这些教师中，他们除具有理论知识以外，还具有丰富的实践经验，固而完全可以胜任物流专业的教学任务。 </w:t>
      </w:r>
      <w:r>
        <w:rPr>
          <w:rFonts w:hint="eastAsia"/>
          <w:sz w:val="24"/>
        </w:rPr>
        <w:t xml:space="preserve"> </w:t>
      </w:r>
    </w:p>
    <w:p w14:paraId="2F6100C1">
      <w:pPr>
        <w:spacing w:line="360" w:lineRule="auto"/>
        <w:ind w:firstLine="482" w:firstLineChars="200"/>
        <w:rPr>
          <w:rFonts w:hint="eastAsia" w:ascii="黑体" w:hAnsi="黑体" w:eastAsia="黑体"/>
          <w:b/>
          <w:sz w:val="24"/>
          <w:szCs w:val="24"/>
        </w:rPr>
      </w:pPr>
      <w:r>
        <w:rPr>
          <w:rFonts w:hint="eastAsia" w:ascii="黑体" w:hAnsi="黑体" w:eastAsia="黑体"/>
          <w:b/>
          <w:sz w:val="24"/>
          <w:szCs w:val="24"/>
        </w:rPr>
        <w:t>2.兼职教师</w:t>
      </w:r>
    </w:p>
    <w:p w14:paraId="2CA80B29">
      <w:pPr>
        <w:spacing w:line="360" w:lineRule="auto"/>
        <w:ind w:firstLine="480" w:firstLineChars="200"/>
        <w:rPr>
          <w:rFonts w:hint="eastAsia" w:ascii="宋体" w:hAnsi="宋体"/>
          <w:sz w:val="24"/>
          <w:szCs w:val="24"/>
        </w:rPr>
      </w:pPr>
      <w:bookmarkStart w:id="74" w:name="_Toc46303728"/>
      <w:r>
        <w:rPr>
          <w:rFonts w:hint="eastAsia" w:ascii="宋体" w:hAnsi="宋体"/>
          <w:bCs/>
          <w:sz w:val="24"/>
          <w:szCs w:val="24"/>
        </w:rPr>
        <w:t>主要从邮政、快递等相关企业聘任，具备良好的思想政治素质、职业道德和工匠</w:t>
      </w:r>
      <w:r>
        <w:rPr>
          <w:rFonts w:hint="eastAsia" w:ascii="宋体" w:hAnsi="宋体"/>
          <w:sz w:val="24"/>
          <w:szCs w:val="24"/>
        </w:rPr>
        <w:t>精神，</w:t>
      </w:r>
      <w:r>
        <w:rPr>
          <w:rFonts w:hint="eastAsia" w:ascii="宋体" w:hAnsi="宋体"/>
          <w:bCs/>
          <w:sz w:val="24"/>
          <w:szCs w:val="24"/>
        </w:rPr>
        <w:t>具有扎实的物流专业知识和丰富的的实际工作经验，具有中级及以</w:t>
      </w:r>
      <w:r>
        <w:rPr>
          <w:rFonts w:hint="eastAsia" w:ascii="宋体" w:hAnsi="宋体"/>
          <w:sz w:val="24"/>
          <w:szCs w:val="24"/>
        </w:rPr>
        <w:t>上相关专业职称，能承担专业课程教学、实习实训指导和学生职业发展规划指导等教学任务。</w:t>
      </w:r>
    </w:p>
    <w:p w14:paraId="66415DDD">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bookmarkEnd w:id="74"/>
    </w:p>
    <w:p w14:paraId="71F864A8">
      <w:pPr>
        <w:ind w:firstLine="482" w:firstLineChars="200"/>
        <w:rPr>
          <w:rFonts w:hint="eastAsia" w:ascii="黑体" w:hAnsi="黑体" w:eastAsia="黑体"/>
          <w:b/>
          <w:sz w:val="24"/>
          <w:szCs w:val="24"/>
        </w:rPr>
      </w:pPr>
      <w:bookmarkStart w:id="75" w:name="_Toc405393407"/>
      <w:bookmarkStart w:id="76" w:name="_Toc407697923"/>
      <w:bookmarkStart w:id="77" w:name="_Toc407696165"/>
      <w:r>
        <w:rPr>
          <w:rFonts w:hint="eastAsia" w:ascii="黑体" w:hAnsi="黑体" w:eastAsia="黑体"/>
          <w:b/>
          <w:sz w:val="24"/>
          <w:szCs w:val="24"/>
        </w:rPr>
        <w:t>1.专业教室基本条件</w:t>
      </w:r>
    </w:p>
    <w:p w14:paraId="0C05AF1A">
      <w:pPr>
        <w:spacing w:line="360" w:lineRule="auto"/>
        <w:ind w:firstLine="480" w:firstLineChars="200"/>
        <w:rPr>
          <w:rFonts w:hint="eastAsia"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14:paraId="5CFA3A0A">
      <w:pPr>
        <w:ind w:firstLine="482" w:firstLineChars="200"/>
        <w:rPr>
          <w:rFonts w:hint="eastAsia" w:ascii="黑体" w:hAnsi="黑体" w:eastAsia="黑体"/>
          <w:b/>
          <w:sz w:val="24"/>
          <w:szCs w:val="24"/>
        </w:rPr>
      </w:pPr>
      <w:r>
        <w:rPr>
          <w:rFonts w:hint="eastAsia" w:ascii="黑体" w:hAnsi="黑体" w:eastAsia="黑体"/>
          <w:b/>
          <w:sz w:val="24"/>
          <w:szCs w:val="24"/>
        </w:rPr>
        <w:t>2.校内实践教学条件</w:t>
      </w:r>
      <w:bookmarkEnd w:id="75"/>
      <w:bookmarkEnd w:id="76"/>
      <w:bookmarkEnd w:id="77"/>
    </w:p>
    <w:p w14:paraId="11F4E1A2">
      <w:pPr>
        <w:spacing w:line="500" w:lineRule="exact"/>
        <w:ind w:firstLine="480" w:firstLineChars="200"/>
        <w:rPr>
          <w:rFonts w:hint="eastAsia" w:ascii="宋体" w:hAnsi="宋体"/>
          <w:sz w:val="24"/>
          <w:szCs w:val="24"/>
        </w:rPr>
      </w:pPr>
      <w:r>
        <w:rPr>
          <w:rFonts w:ascii="宋体" w:hAnsi="宋体"/>
          <w:sz w:val="24"/>
          <w:szCs w:val="24"/>
        </w:rPr>
        <w:t>（1）</w:t>
      </w:r>
      <w:r>
        <w:rPr>
          <w:rFonts w:hint="eastAsia" w:ascii="宋体" w:hAnsi="宋体"/>
          <w:sz w:val="24"/>
          <w:szCs w:val="24"/>
        </w:rPr>
        <w:t>校内实训室</w:t>
      </w:r>
    </w:p>
    <w:p w14:paraId="03BE60A6">
      <w:pPr>
        <w:spacing w:line="500" w:lineRule="exact"/>
        <w:ind w:firstLine="480" w:firstLineChars="200"/>
        <w:rPr>
          <w:rFonts w:hint="eastAsia" w:ascii="宋体" w:hAnsi="宋体"/>
          <w:sz w:val="24"/>
          <w:szCs w:val="24"/>
        </w:rPr>
      </w:pPr>
      <w:r>
        <w:rPr>
          <w:rFonts w:hint="eastAsia" w:ascii="宋体" w:hAnsi="宋体"/>
          <w:sz w:val="24"/>
          <w:szCs w:val="24"/>
        </w:rPr>
        <w:t xml:space="preserve">校内拥有物流实训室。以物流系统为核心，已建成物流硬件实验室，软件实验室、ERP模拟实验室、语音室等实训中心。每个实训室均配备了服务器、不间断电源、交换机等网络设备，还配有60台高配置品牌客户机，拥有先进的多媒体教学设施。局域网主干线路连接都用千兆带宽的线路，百兆连接到学生电脑桌面。教学中能保证每位学生都有一台性能良好的台式电脑进行课堂实操。其中物流硬件实训室内部货架、地牛等基本设施设备完善，集成了条形码设备、RF技术、电子拣选技术等先进物流设备，服务于物流专业课程教学，并我校物流大赛和实践课程提供了实训场地。智慧物流实训中心是京东、中通联合院校共同打造的产教融合运营基地，校内建设物流综合实训仓为学生提供多种实操运营模式，提供兼职、就业、创业平台。依托京东、中通的品牌赋能，京东金融、京东商城、京东物流、中通快递共同参与校园馆人才培养，为学生提供实习就业机会及广阔发展空间，为企业发展准备人才。除此之外，实训仓将京东、中通文化融入校园，给学生带来智能、便捷、舒适的物流、快递服务体验。 </w:t>
      </w:r>
    </w:p>
    <w:p w14:paraId="718EAAF0">
      <w:pPr>
        <w:spacing w:line="500" w:lineRule="exact"/>
        <w:ind w:firstLine="482" w:firstLineChars="200"/>
        <w:jc w:val="center"/>
        <w:rPr>
          <w:rFonts w:hint="eastAsia"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11</w:t>
      </w:r>
      <w:r>
        <w:rPr>
          <w:rFonts w:hint="eastAsia" w:ascii="宋体" w:hAnsi="宋体"/>
          <w:b/>
          <w:color w:val="000000"/>
          <w:sz w:val="24"/>
          <w:szCs w:val="24"/>
        </w:rPr>
        <w:t xml:space="preserve">   实训室功能表</w:t>
      </w:r>
    </w:p>
    <w:tbl>
      <w:tblPr>
        <w:tblStyle w:val="24"/>
        <w:tblW w:w="11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913"/>
        <w:gridCol w:w="1489"/>
        <w:gridCol w:w="1560"/>
        <w:gridCol w:w="1560"/>
        <w:gridCol w:w="1770"/>
        <w:gridCol w:w="2268"/>
      </w:tblGrid>
      <w:tr w14:paraId="0CD8A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2F550E31">
            <w:pPr>
              <w:jc w:val="center"/>
              <w:rPr>
                <w:rFonts w:hint="eastAsia" w:ascii="宋体" w:hAnsi="宋体"/>
                <w:b/>
                <w:bCs/>
                <w:sz w:val="18"/>
                <w:szCs w:val="18"/>
              </w:rPr>
            </w:pPr>
            <w:r>
              <w:rPr>
                <w:rFonts w:hint="eastAsia" w:ascii="宋体" w:hAnsi="宋体"/>
                <w:b/>
                <w:bCs/>
                <w:sz w:val="18"/>
                <w:szCs w:val="18"/>
              </w:rPr>
              <w:t>序号</w:t>
            </w:r>
          </w:p>
        </w:tc>
        <w:tc>
          <w:tcPr>
            <w:tcW w:w="1913" w:type="dxa"/>
            <w:shd w:val="clear" w:color="auto" w:fill="auto"/>
            <w:vAlign w:val="center"/>
          </w:tcPr>
          <w:p w14:paraId="5236F49A">
            <w:pPr>
              <w:jc w:val="center"/>
              <w:rPr>
                <w:rFonts w:hint="eastAsia" w:ascii="宋体" w:hAnsi="宋体"/>
                <w:b/>
                <w:bCs/>
                <w:sz w:val="18"/>
                <w:szCs w:val="18"/>
              </w:rPr>
            </w:pPr>
            <w:r>
              <w:rPr>
                <w:rFonts w:hint="eastAsia" w:ascii="宋体" w:hAnsi="宋体"/>
                <w:b/>
                <w:bCs/>
                <w:sz w:val="18"/>
                <w:szCs w:val="18"/>
              </w:rPr>
              <w:t>校内实训室名称</w:t>
            </w:r>
          </w:p>
        </w:tc>
        <w:tc>
          <w:tcPr>
            <w:tcW w:w="1489" w:type="dxa"/>
            <w:shd w:val="clear" w:color="auto" w:fill="auto"/>
            <w:vAlign w:val="center"/>
          </w:tcPr>
          <w:p w14:paraId="4D9762E4">
            <w:pPr>
              <w:jc w:val="center"/>
              <w:rPr>
                <w:rFonts w:hint="eastAsia" w:ascii="宋体" w:hAnsi="宋体"/>
                <w:b/>
                <w:bCs/>
                <w:sz w:val="18"/>
                <w:szCs w:val="18"/>
              </w:rPr>
            </w:pPr>
            <w:r>
              <w:rPr>
                <w:rFonts w:hint="eastAsia" w:ascii="宋体" w:hAnsi="宋体"/>
                <w:b/>
                <w:bCs/>
                <w:sz w:val="18"/>
                <w:szCs w:val="18"/>
              </w:rPr>
              <w:t>主要设备</w:t>
            </w:r>
          </w:p>
        </w:tc>
        <w:tc>
          <w:tcPr>
            <w:tcW w:w="1560" w:type="dxa"/>
          </w:tcPr>
          <w:p w14:paraId="0686E3FF">
            <w:pPr>
              <w:jc w:val="center"/>
              <w:rPr>
                <w:rFonts w:hint="eastAsia" w:ascii="宋体" w:hAnsi="宋体"/>
                <w:b/>
                <w:bCs/>
                <w:sz w:val="18"/>
                <w:szCs w:val="18"/>
              </w:rPr>
            </w:pPr>
            <w:r>
              <w:rPr>
                <w:rFonts w:hint="eastAsia" w:ascii="宋体" w:hAnsi="宋体"/>
                <w:b/>
                <w:bCs/>
                <w:sz w:val="18"/>
                <w:szCs w:val="18"/>
              </w:rPr>
              <w:t>数量（人/工位）</w:t>
            </w:r>
          </w:p>
        </w:tc>
        <w:tc>
          <w:tcPr>
            <w:tcW w:w="1560" w:type="dxa"/>
            <w:shd w:val="clear" w:color="auto" w:fill="auto"/>
            <w:vAlign w:val="center"/>
          </w:tcPr>
          <w:p w14:paraId="7BC7E190">
            <w:pPr>
              <w:jc w:val="center"/>
              <w:rPr>
                <w:rFonts w:hint="eastAsia" w:ascii="宋体" w:hAnsi="宋体"/>
                <w:b/>
                <w:bCs/>
                <w:sz w:val="18"/>
                <w:szCs w:val="18"/>
              </w:rPr>
            </w:pPr>
            <w:r>
              <w:rPr>
                <w:rFonts w:hint="eastAsia" w:ascii="宋体" w:hAnsi="宋体"/>
                <w:b/>
                <w:bCs/>
                <w:sz w:val="18"/>
                <w:szCs w:val="18"/>
              </w:rPr>
              <w:t>主要功能</w:t>
            </w:r>
          </w:p>
        </w:tc>
        <w:tc>
          <w:tcPr>
            <w:tcW w:w="1770" w:type="dxa"/>
            <w:shd w:val="clear" w:color="auto" w:fill="auto"/>
            <w:vAlign w:val="center"/>
          </w:tcPr>
          <w:p w14:paraId="5D765A3C">
            <w:pPr>
              <w:jc w:val="center"/>
              <w:rPr>
                <w:rFonts w:hint="eastAsia" w:ascii="宋体" w:hAnsi="宋体"/>
                <w:b/>
                <w:bCs/>
                <w:sz w:val="18"/>
                <w:szCs w:val="18"/>
              </w:rPr>
            </w:pPr>
            <w:r>
              <w:rPr>
                <w:rFonts w:hint="eastAsia" w:ascii="宋体" w:hAnsi="宋体"/>
                <w:b/>
                <w:bCs/>
                <w:sz w:val="18"/>
                <w:szCs w:val="18"/>
              </w:rPr>
              <w:t>适用课程</w:t>
            </w:r>
          </w:p>
        </w:tc>
        <w:tc>
          <w:tcPr>
            <w:tcW w:w="2268" w:type="dxa"/>
            <w:shd w:val="clear" w:color="auto" w:fill="auto"/>
            <w:vAlign w:val="center"/>
          </w:tcPr>
          <w:p w14:paraId="5606460F">
            <w:pPr>
              <w:jc w:val="center"/>
              <w:rPr>
                <w:rFonts w:hint="eastAsia" w:ascii="宋体" w:hAnsi="宋体"/>
                <w:b/>
                <w:bCs/>
                <w:sz w:val="18"/>
                <w:szCs w:val="18"/>
              </w:rPr>
            </w:pPr>
            <w:r>
              <w:rPr>
                <w:rFonts w:hint="eastAsia" w:ascii="宋体" w:hAnsi="宋体"/>
                <w:b/>
                <w:bCs/>
                <w:sz w:val="18"/>
                <w:szCs w:val="18"/>
              </w:rPr>
              <w:t>适用范围（职业鉴定项目）</w:t>
            </w:r>
          </w:p>
        </w:tc>
      </w:tr>
      <w:tr w14:paraId="1F77C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shd w:val="clear" w:color="auto" w:fill="auto"/>
            <w:vAlign w:val="center"/>
          </w:tcPr>
          <w:p w14:paraId="1CF977E9">
            <w:pPr>
              <w:jc w:val="center"/>
              <w:rPr>
                <w:rFonts w:hint="eastAsia" w:ascii="宋体" w:hAnsi="宋体"/>
                <w:b/>
                <w:bCs/>
                <w:sz w:val="18"/>
                <w:szCs w:val="18"/>
              </w:rPr>
            </w:pPr>
            <w:r>
              <w:rPr>
                <w:rFonts w:hint="eastAsia" w:ascii="宋体" w:hAnsi="宋体"/>
                <w:b/>
                <w:bCs/>
                <w:sz w:val="18"/>
                <w:szCs w:val="18"/>
              </w:rPr>
              <w:t>1</w:t>
            </w:r>
          </w:p>
        </w:tc>
        <w:tc>
          <w:tcPr>
            <w:tcW w:w="1913" w:type="dxa"/>
            <w:shd w:val="clear" w:color="auto" w:fill="auto"/>
          </w:tcPr>
          <w:p w14:paraId="252DA791">
            <w:pPr>
              <w:rPr>
                <w:rFonts w:hint="eastAsia" w:ascii="宋体" w:hAnsi="宋体"/>
                <w:b w:val="0"/>
                <w:bCs w:val="0"/>
                <w:sz w:val="18"/>
                <w:szCs w:val="18"/>
              </w:rPr>
            </w:pPr>
            <w:r>
              <w:rPr>
                <w:rFonts w:hint="eastAsia" w:ascii="宋体" w:hAnsi="宋体"/>
                <w:b w:val="0"/>
                <w:bCs w:val="0"/>
                <w:sz w:val="18"/>
                <w:szCs w:val="18"/>
              </w:rPr>
              <w:t>云创科技产业园</w:t>
            </w:r>
          </w:p>
        </w:tc>
        <w:tc>
          <w:tcPr>
            <w:tcW w:w="1489" w:type="dxa"/>
            <w:shd w:val="clear" w:color="auto" w:fill="auto"/>
          </w:tcPr>
          <w:p w14:paraId="38544BE6">
            <w:pPr>
              <w:rPr>
                <w:rFonts w:hint="eastAsia" w:ascii="宋体" w:hAnsi="宋体"/>
                <w:b w:val="0"/>
                <w:bCs w:val="0"/>
                <w:sz w:val="18"/>
                <w:szCs w:val="18"/>
              </w:rPr>
            </w:pPr>
            <w:r>
              <w:rPr>
                <w:rFonts w:hint="eastAsia" w:ascii="宋体" w:hAnsi="宋体"/>
                <w:b w:val="0"/>
                <w:bCs w:val="0"/>
                <w:sz w:val="18"/>
                <w:szCs w:val="18"/>
              </w:rPr>
              <w:t>高配置电脑，光纤</w:t>
            </w:r>
          </w:p>
        </w:tc>
        <w:tc>
          <w:tcPr>
            <w:tcW w:w="1560" w:type="dxa"/>
          </w:tcPr>
          <w:p w14:paraId="3D97241E">
            <w:pPr>
              <w:rPr>
                <w:rFonts w:hint="eastAsia" w:ascii="宋体" w:hAnsi="宋体"/>
                <w:b w:val="0"/>
                <w:bCs w:val="0"/>
                <w:sz w:val="18"/>
                <w:szCs w:val="18"/>
              </w:rPr>
            </w:pPr>
            <w:r>
              <w:rPr>
                <w:rFonts w:hint="eastAsia" w:ascii="宋体" w:hAnsi="宋体"/>
                <w:b w:val="0"/>
                <w:bCs w:val="0"/>
                <w:sz w:val="18"/>
                <w:szCs w:val="18"/>
              </w:rPr>
              <w:t>2000</w:t>
            </w:r>
          </w:p>
        </w:tc>
        <w:tc>
          <w:tcPr>
            <w:tcW w:w="1560" w:type="dxa"/>
            <w:shd w:val="clear" w:color="auto" w:fill="auto"/>
          </w:tcPr>
          <w:p w14:paraId="7C80FA2C">
            <w:pPr>
              <w:rPr>
                <w:rFonts w:hint="eastAsia" w:ascii="宋体" w:hAnsi="宋体"/>
                <w:b w:val="0"/>
                <w:bCs w:val="0"/>
                <w:sz w:val="18"/>
                <w:szCs w:val="18"/>
              </w:rPr>
            </w:pPr>
            <w:r>
              <w:rPr>
                <w:rFonts w:hint="eastAsia" w:ascii="宋体" w:hAnsi="宋体"/>
                <w:b w:val="0"/>
                <w:bCs w:val="0"/>
                <w:sz w:val="18"/>
                <w:szCs w:val="18"/>
              </w:rPr>
              <w:t>实现客服，智慧店铺搭建</w:t>
            </w:r>
          </w:p>
        </w:tc>
        <w:tc>
          <w:tcPr>
            <w:tcW w:w="1770" w:type="dxa"/>
            <w:shd w:val="clear" w:color="auto" w:fill="auto"/>
          </w:tcPr>
          <w:p w14:paraId="4FEB79C2">
            <w:pPr>
              <w:rPr>
                <w:rFonts w:hint="eastAsia" w:ascii="宋体" w:hAnsi="宋体"/>
                <w:b w:val="0"/>
                <w:bCs w:val="0"/>
                <w:sz w:val="18"/>
                <w:szCs w:val="18"/>
              </w:rPr>
            </w:pPr>
            <w:r>
              <w:rPr>
                <w:rFonts w:hint="eastAsia" w:ascii="宋体" w:hAnsi="宋体"/>
                <w:b w:val="0"/>
                <w:bCs w:val="0"/>
                <w:sz w:val="18"/>
                <w:szCs w:val="18"/>
              </w:rPr>
              <w:t>企业管理、智慧搭建</w:t>
            </w:r>
          </w:p>
        </w:tc>
        <w:tc>
          <w:tcPr>
            <w:tcW w:w="2268" w:type="dxa"/>
            <w:shd w:val="clear" w:color="auto" w:fill="auto"/>
          </w:tcPr>
          <w:p w14:paraId="00B1067F">
            <w:pPr>
              <w:rPr>
                <w:rFonts w:hint="eastAsia" w:ascii="宋体" w:hAnsi="宋体"/>
                <w:b w:val="0"/>
                <w:bCs w:val="0"/>
                <w:sz w:val="18"/>
                <w:szCs w:val="18"/>
              </w:rPr>
            </w:pPr>
            <w:r>
              <w:rPr>
                <w:rFonts w:hint="eastAsia" w:ascii="宋体" w:hAnsi="宋体"/>
                <w:b w:val="0"/>
                <w:bCs w:val="0"/>
                <w:sz w:val="18"/>
                <w:szCs w:val="18"/>
              </w:rPr>
              <w:t>1+X物流管理</w:t>
            </w:r>
          </w:p>
        </w:tc>
      </w:tr>
    </w:tbl>
    <w:p w14:paraId="0B9BDD89">
      <w:pPr>
        <w:spacing w:line="500" w:lineRule="exact"/>
        <w:ind w:firstLine="480" w:firstLineChars="200"/>
        <w:rPr>
          <w:rFonts w:hint="eastAsia" w:ascii="宋体" w:hAnsi="宋体"/>
          <w:sz w:val="24"/>
          <w:szCs w:val="24"/>
        </w:rPr>
      </w:pPr>
      <w:r>
        <w:rPr>
          <w:rFonts w:ascii="宋体" w:hAnsi="宋体"/>
          <w:sz w:val="24"/>
          <w:szCs w:val="24"/>
        </w:rPr>
        <w:t>（2）</w:t>
      </w:r>
      <w:r>
        <w:rPr>
          <w:rFonts w:hint="eastAsia" w:ascii="宋体" w:hAnsi="宋体"/>
          <w:sz w:val="24"/>
          <w:szCs w:val="24"/>
        </w:rPr>
        <w:t>校内实训基地</w:t>
      </w:r>
    </w:p>
    <w:p w14:paraId="47E2F66E">
      <w:pPr>
        <w:spacing w:line="500" w:lineRule="exact"/>
        <w:ind w:firstLine="480" w:firstLineChars="200"/>
        <w:rPr>
          <w:rFonts w:hint="eastAsia" w:ascii="宋体" w:hAnsi="宋体"/>
          <w:sz w:val="24"/>
          <w:szCs w:val="24"/>
        </w:rPr>
      </w:pPr>
      <w:r>
        <w:rPr>
          <w:rFonts w:hint="eastAsia" w:ascii="宋体" w:hAnsi="宋体"/>
          <w:sz w:val="24"/>
          <w:szCs w:val="24"/>
        </w:rPr>
        <w:t>物流综合实训仓是开展校企合作产教融合的载体，企业为院校引入京东真实业务并建设京东校园综合体，综合体包括线上电商平台(校园京派购)和线下实体。通过为院校学生群体提供全方位的电商线上线下服务，赢取线上和线下流量的商业模式。物流综合实训仓以学生为主体，企业参与管理运营为学校的教育教学、学生的实习实训、创新创业以及职业院校服务地方产业经济提供有效支 撑与保障，每个校园馆可以容纳学生参与电商实践活动，同时大数据分析结果以及实践经验可以面向全校师生开放，作为第一手学习资源为专业建设提供实践平台、数据支持和商业模型建设与研究的依据。未来三年实训中心将进一步升级改造，计划物流综合实训仓占地 2000 平米左右，作为校企合作创新载体，将融入最新业务体系，引入企业真实工作场景和业务流程，打造具备“品质服务、教育教学、实习实训、创业创新，服务产业、服务经济”高水平产教融合运营基地；为服务地方产业经济提供支撑与保障。物流综合实训仓（综合体）是京东联合院校共同打造的一站式双创综合平台，为广大学生提供创新创业基地及人才孵化中心。物流综合实训仓项目运营成熟后，根据项目运营情况相应跟进建设其他校园物流综合实训仓特色店：帮扶在校大学生或本校应届生自主创业，鼓励学生拓展营销本校地方特色产品与原创品牌产品（不局限创新产品等），京东将提供相关平台与品牌支持，并优化校园馆便利升级为校园区特色店；定期举行各院校校园馆特色店交流互动，搭建以特色店为媒介的比赛活动，作为院校特点加以宣传，做到“一校一品一代言”。物流综合实训仓诚信驿站：校园馆诚信驿站是物流综合实训仓增值项目，项目由校方提供贫困优异的学生负责运营与维护，学生可获得相应勤工助学金，帮助学生顺利完成学业，同时增加实践技能快速成长。物流综合实训仓运营师/管理师：学生在物流综合实训仓便利店并由指导老师带领下参与店铺实际运营与营销比赛，京东将提供线上及线下相关培训与指导，根据学生实践运营进行考核，符合结业的学生颁发相关认定的职业资格证书，双方共同培养具有真实实践运营与店铺管理双技能人才，对表现优异的学生提供实习就业岗位。</w:t>
      </w:r>
    </w:p>
    <w:p w14:paraId="18779C58">
      <w:pPr>
        <w:ind w:firstLine="482" w:firstLineChars="200"/>
        <w:rPr>
          <w:rFonts w:hint="eastAsia" w:ascii="黑体" w:hAnsi="黑体" w:eastAsia="黑体"/>
          <w:b/>
          <w:sz w:val="24"/>
          <w:szCs w:val="24"/>
        </w:rPr>
      </w:pPr>
      <w:bookmarkStart w:id="78" w:name="_Toc405393408"/>
      <w:bookmarkStart w:id="79" w:name="_Toc407697924"/>
      <w:bookmarkStart w:id="80" w:name="_Toc407696166"/>
      <w:r>
        <w:rPr>
          <w:rFonts w:hint="eastAsia" w:ascii="黑体" w:hAnsi="黑体" w:eastAsia="黑体"/>
          <w:b/>
          <w:sz w:val="24"/>
          <w:szCs w:val="24"/>
        </w:rPr>
        <w:t>3.校外实践教学条件</w:t>
      </w:r>
      <w:bookmarkEnd w:id="78"/>
      <w:bookmarkEnd w:id="79"/>
      <w:bookmarkEnd w:id="80"/>
    </w:p>
    <w:p w14:paraId="698F9233">
      <w:pPr>
        <w:spacing w:line="500" w:lineRule="exact"/>
        <w:ind w:firstLine="480" w:firstLineChars="200"/>
        <w:rPr>
          <w:sz w:val="24"/>
        </w:rPr>
      </w:pPr>
      <w:bookmarkStart w:id="81" w:name="_Toc407697925"/>
      <w:bookmarkStart w:id="82" w:name="_Toc405393409"/>
      <w:bookmarkStart w:id="83" w:name="_Toc407696167"/>
      <w:r>
        <w:rPr>
          <w:rFonts w:hint="eastAsia"/>
          <w:sz w:val="24"/>
        </w:rPr>
        <w:t>通过校企合作，与6家企业签订合作协议，建成稳定的校外实训基地，描述部分基地情况。</w:t>
      </w:r>
      <w:r>
        <w:rPr>
          <w:rFonts w:hint="eastAsia" w:ascii="宋体" w:hAnsi="宋体"/>
          <w:sz w:val="24"/>
          <w:szCs w:val="24"/>
        </w:rPr>
        <w:t>校外在加强校内实训基地建设的同时，物流管理专业还与圆通、荣达，邮政等单位签订协议，建立了稳定的校外实训基地，现有长期稳定的校外实训基地达到6个。这些实训基地运行良好，满足了学生专业实训和半年顶岗实习的需要。</w:t>
      </w:r>
    </w:p>
    <w:p w14:paraId="66A3AC30">
      <w:pPr>
        <w:ind w:firstLine="482" w:firstLineChars="200"/>
        <w:rPr>
          <w:rFonts w:hint="eastAsia" w:ascii="黑体" w:hAnsi="黑体" w:eastAsia="黑体"/>
          <w:b/>
          <w:sz w:val="24"/>
          <w:szCs w:val="24"/>
        </w:rPr>
      </w:pPr>
      <w:r>
        <w:rPr>
          <w:rFonts w:hint="eastAsia" w:ascii="黑体" w:hAnsi="黑体" w:eastAsia="黑体"/>
          <w:b/>
          <w:sz w:val="24"/>
          <w:szCs w:val="24"/>
        </w:rPr>
        <w:t>4.信息化资源</w:t>
      </w:r>
      <w:bookmarkEnd w:id="81"/>
      <w:bookmarkEnd w:id="82"/>
      <w:bookmarkEnd w:id="83"/>
    </w:p>
    <w:p w14:paraId="2B3A4C9F">
      <w:pPr>
        <w:spacing w:line="500" w:lineRule="exact"/>
        <w:ind w:firstLine="480" w:firstLineChars="200"/>
        <w:rPr>
          <w:rFonts w:hint="eastAsia" w:ascii="宋体" w:hAnsi="宋体" w:cs="宋体"/>
          <w:sz w:val="24"/>
          <w:szCs w:val="24"/>
        </w:rPr>
      </w:pPr>
      <w:bookmarkStart w:id="84" w:name="_Toc46303729"/>
      <w:r>
        <w:rPr>
          <w:rFonts w:hint="eastAsia" w:ascii="宋体" w:hAnsi="宋体" w:cs="宋体"/>
          <w:sz w:val="24"/>
          <w:szCs w:val="24"/>
        </w:rPr>
        <w:t>物流管理专业课程建设基础扎实，重点突出。强化核心课程和专业特色课，突出能力型课程，加强课程之间的融会贯通，增强知识的系统性。科学的课程体系和先进的教学内容不仅为学生提供专业所必需的完整知识结构，同时也能满足学生自身发展的需要，是提高人才培养质量的重要保证。</w:t>
      </w:r>
    </w:p>
    <w:p w14:paraId="50B6F5FC">
      <w:pPr>
        <w:spacing w:line="500" w:lineRule="exact"/>
        <w:ind w:firstLine="480" w:firstLineChars="200"/>
        <w:rPr>
          <w:rFonts w:hint="eastAsia" w:ascii="宋体" w:hAnsi="宋体" w:cs="宋体"/>
          <w:sz w:val="24"/>
          <w:szCs w:val="24"/>
        </w:rPr>
      </w:pPr>
      <w:r>
        <w:rPr>
          <w:rFonts w:hint="eastAsia" w:ascii="宋体" w:hAnsi="宋体" w:cs="宋体"/>
          <w:sz w:val="24"/>
          <w:szCs w:val="24"/>
        </w:rPr>
        <w:t>物流管理专业是综合型、应用型学科，培养复合型、应用型人才。为使学生完整的、系统的掌握教学内容，满足学生个性化发展，设置了下列课程类型：公共必修课、公共选修课、专业基础必修课、专业核心课、专业拓展与实践课程。</w:t>
      </w:r>
    </w:p>
    <w:p w14:paraId="6D3D9181">
      <w:pPr>
        <w:spacing w:line="500" w:lineRule="exact"/>
        <w:ind w:firstLine="480" w:firstLineChars="200"/>
        <w:rPr>
          <w:rFonts w:hint="eastAsia" w:ascii="宋体" w:hAnsi="宋体" w:cs="宋体"/>
          <w:sz w:val="24"/>
          <w:szCs w:val="24"/>
        </w:rPr>
      </w:pPr>
      <w:r>
        <w:rPr>
          <w:rFonts w:hint="eastAsia" w:ascii="宋体" w:hAnsi="宋体" w:cs="宋体"/>
          <w:sz w:val="24"/>
          <w:szCs w:val="24"/>
        </w:rPr>
        <w:t>公共必修课由学校向学生统一开设，旨在加强学生的思想道德、文化、科学和身心健康等基本素质教育。如大学英语、军事理论与训练、体育、思想品德修养与法律基础等课程。</w:t>
      </w:r>
    </w:p>
    <w:p w14:paraId="41ED38D1">
      <w:pPr>
        <w:spacing w:line="500" w:lineRule="exact"/>
        <w:ind w:firstLine="480" w:firstLineChars="200"/>
        <w:rPr>
          <w:rFonts w:hint="eastAsia" w:ascii="宋体" w:hAnsi="宋体" w:cs="宋体"/>
          <w:sz w:val="24"/>
          <w:szCs w:val="24"/>
        </w:rPr>
      </w:pPr>
      <w:r>
        <w:rPr>
          <w:rFonts w:hint="eastAsia" w:ascii="宋体" w:hAnsi="宋体" w:cs="宋体"/>
          <w:sz w:val="24"/>
          <w:szCs w:val="24"/>
        </w:rPr>
        <w:t>专业课由专业基础必修课、专业核心课、专业拓展与实践课程构成。专业基础必修课为商务基础、运输管理实务、仓储配送实务、物流信息技术、物流成本管理、物流企业管理、第三方物流，专业拓展与实践课程包括国际物流实务、供应链管理、采购管理、智能门店搭建与运营、物流管理综合实训课程。通过上述课程体系的构建，充分整合了学校的各种资源，尽可能的满足学生个性化的学习要求，为培养高水平技能应用型人才提供了保障。</w:t>
      </w:r>
    </w:p>
    <w:p w14:paraId="2D500EC5">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bookmarkEnd w:id="84"/>
    </w:p>
    <w:p w14:paraId="0E083259">
      <w:pPr>
        <w:spacing w:line="500" w:lineRule="exact"/>
        <w:ind w:firstLine="482" w:firstLineChars="200"/>
        <w:rPr>
          <w:rFonts w:hint="eastAsia" w:ascii="黑体" w:hAnsi="黑体" w:eastAsia="黑体"/>
          <w:b/>
          <w:sz w:val="24"/>
          <w:szCs w:val="24"/>
        </w:rPr>
      </w:pPr>
      <w:r>
        <w:rPr>
          <w:rFonts w:ascii="黑体" w:hAnsi="黑体" w:eastAsia="黑体"/>
          <w:b/>
          <w:sz w:val="24"/>
          <w:szCs w:val="24"/>
        </w:rPr>
        <w:t>1.</w:t>
      </w:r>
      <w:r>
        <w:rPr>
          <w:rFonts w:hint="eastAsia" w:ascii="黑体" w:hAnsi="黑体" w:eastAsia="黑体"/>
          <w:b/>
          <w:sz w:val="24"/>
          <w:szCs w:val="24"/>
        </w:rPr>
        <w:t>教材使用及开发情况</w:t>
      </w:r>
    </w:p>
    <w:p w14:paraId="5E9E8228">
      <w:pPr>
        <w:spacing w:line="500" w:lineRule="exact"/>
        <w:ind w:firstLine="480" w:firstLineChars="200"/>
        <w:rPr>
          <w:rFonts w:ascii="宋体" w:hAnsi="宋体"/>
          <w:sz w:val="24"/>
          <w:szCs w:val="24"/>
        </w:rPr>
      </w:pPr>
      <w:r>
        <w:rPr>
          <w:rFonts w:hint="eastAsia" w:ascii="宋体" w:hAnsi="宋体"/>
          <w:sz w:val="24"/>
          <w:szCs w:val="24"/>
        </w:rPr>
        <w:t>根据教育部、山东省教育厅的相关规定与通知，我校物流管理专业在教材选择方面，全部选用省以上十三五、十四五规划教材，选用率达到了100%。选择的教材通常紧跟行业发展趋势，及时纳入新技术、新方法和新政策等内容，确保学生所学知识与实际工作需求紧密对接。这种前沿性和实用性有助于学生毕业后快速适应工作岗位，提升就业竞争力。同时，</w:t>
      </w:r>
      <w:r>
        <w:rPr>
          <w:rFonts w:ascii="宋体" w:hAnsi="宋体"/>
          <w:sz w:val="24"/>
          <w:szCs w:val="24"/>
        </w:rPr>
        <w:t>教材注重理论与实践的结合，不仅详细阐述理论知识，还包含丰富的案例分析、实训项目和模拟操作等内容。这种教学方式有助于学生将所学知识应用于实际情境中，增强解决问题的能力和实践操作能力。</w:t>
      </w:r>
    </w:p>
    <w:p w14:paraId="4EB2D600">
      <w:pPr>
        <w:spacing w:line="500" w:lineRule="exact"/>
        <w:ind w:firstLine="480" w:firstLineChars="200"/>
        <w:rPr>
          <w:rFonts w:hint="eastAsia"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在学生实训教材选择方面，我们结合我校校企合作的情况，积极制定新型活页式、工作手册式教材，相关新型活页式、工作手册式教材有：孙超超老师负责编写的《网店客服》实训教材、王冲老师编写的《网店美工》实训教材、朱小丹老师负责编写的《直播营销》实训教材、于立虎老师负责编写的《商务基础》实训教材、王娇龙老师负责编写的《电商运营》实训教材、李思奇老师负责编写的《外贸单证英语》实训教材等。在使用省以上规划教材和新型活页式、工作手册式及校企合作开发教材方面均已达标。</w:t>
      </w:r>
    </w:p>
    <w:p w14:paraId="1E03292B">
      <w:pPr>
        <w:spacing w:line="500" w:lineRule="exact"/>
        <w:ind w:firstLine="482" w:firstLineChars="200"/>
        <w:rPr>
          <w:rFonts w:hint="eastAsia" w:ascii="黑体" w:hAnsi="黑体" w:eastAsia="黑体"/>
          <w:b/>
          <w:sz w:val="24"/>
          <w:szCs w:val="24"/>
        </w:rPr>
      </w:pPr>
      <w:r>
        <w:rPr>
          <w:rFonts w:ascii="黑体" w:hAnsi="黑体" w:eastAsia="黑体"/>
          <w:b/>
          <w:sz w:val="24"/>
          <w:szCs w:val="24"/>
        </w:rPr>
        <w:t>2.</w:t>
      </w:r>
      <w:r>
        <w:rPr>
          <w:rFonts w:hint="eastAsia" w:ascii="黑体" w:hAnsi="黑体" w:eastAsia="黑体"/>
          <w:b/>
          <w:sz w:val="24"/>
          <w:szCs w:val="24"/>
        </w:rPr>
        <w:t>图书</w:t>
      </w:r>
    </w:p>
    <w:p w14:paraId="191E9657">
      <w:pPr>
        <w:spacing w:line="360" w:lineRule="auto"/>
        <w:ind w:firstLine="480" w:firstLineChars="200"/>
        <w:rPr>
          <w:rFonts w:hint="eastAsia" w:ascii="宋体" w:hAnsi="宋体" w:eastAsia="华文宋体"/>
          <w:sz w:val="24"/>
          <w:szCs w:val="24"/>
        </w:rPr>
      </w:pPr>
      <w:r>
        <w:rPr>
          <w:rFonts w:hint="eastAsia" w:ascii="宋体" w:hAnsi="宋体"/>
          <w:sz w:val="24"/>
          <w:szCs w:val="24"/>
        </w:rPr>
        <w:t>图书文献配备能满足人才培养、专业建设、教科研等工作的需要，方便师生查询、借阅。专业类图书文献主要包括：有关物流管理技术、方法、思维以及实务操作类图书，经济、管理、营销和文化类文献等。</w:t>
      </w:r>
    </w:p>
    <w:p w14:paraId="624A4404">
      <w:pPr>
        <w:spacing w:line="500" w:lineRule="exact"/>
        <w:ind w:firstLine="482"/>
        <w:rPr>
          <w:rFonts w:hint="eastAsia" w:ascii="黑体" w:hAnsi="黑体" w:eastAsia="黑体"/>
          <w:b/>
          <w:sz w:val="24"/>
          <w:szCs w:val="24"/>
        </w:rPr>
      </w:pPr>
      <w:r>
        <w:rPr>
          <w:rFonts w:hint="eastAsia" w:ascii="黑体" w:hAnsi="黑体" w:eastAsia="黑体"/>
          <w:b/>
          <w:sz w:val="24"/>
          <w:szCs w:val="24"/>
        </w:rPr>
        <w:t>3.数字化教学资源建设与使用情况</w:t>
      </w:r>
    </w:p>
    <w:p w14:paraId="22ACE7BD">
      <w:pPr>
        <w:spacing w:line="360" w:lineRule="auto"/>
        <w:ind w:firstLine="480" w:firstLineChars="200"/>
        <w:rPr>
          <w:rFonts w:hint="eastAsia" w:ascii="宋体" w:hAnsi="宋体" w:cs="宋体"/>
          <w:sz w:val="24"/>
          <w:szCs w:val="24"/>
        </w:rPr>
      </w:pPr>
      <w:r>
        <w:rPr>
          <w:rFonts w:hint="eastAsia" w:ascii="宋体" w:hAnsi="宋体" w:cs="宋体"/>
          <w:sz w:val="24"/>
          <w:szCs w:val="24"/>
        </w:rPr>
        <w:t>物流管理专业建设、配备与本专业有关的音频视频素材、教学可见、数字化教学案例库、虚拟仿真软件、数字教材等专业教学资源库，应用种类丰富、形式多样、使用便捷、动态更新，能满足教学要求。</w:t>
      </w:r>
    </w:p>
    <w:p w14:paraId="5525E58A">
      <w:pPr>
        <w:pStyle w:val="2"/>
        <w:ind w:firstLine="420"/>
        <w:rPr>
          <w:rFonts w:hint="eastAsia"/>
          <w:lang w:val="en-US"/>
        </w:rPr>
      </w:pPr>
    </w:p>
    <w:p w14:paraId="093CD5C1">
      <w:pPr>
        <w:keepNext/>
        <w:keepLines/>
        <w:spacing w:line="500" w:lineRule="exact"/>
        <w:ind w:firstLine="562" w:firstLineChars="200"/>
        <w:outlineLvl w:val="1"/>
        <w:rPr>
          <w:rFonts w:ascii="Arial" w:hAnsi="Arial" w:eastAsia="黑体"/>
          <w:b/>
          <w:bCs/>
          <w:color w:val="000000"/>
          <w:sz w:val="28"/>
          <w:szCs w:val="28"/>
        </w:rPr>
      </w:pPr>
      <w:bookmarkStart w:id="85" w:name="_Toc46303730"/>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bookmarkEnd w:id="85"/>
    </w:p>
    <w:p w14:paraId="42BF5026">
      <w:pPr>
        <w:spacing w:line="500" w:lineRule="exact"/>
        <w:ind w:firstLine="480" w:firstLineChars="200"/>
        <w:rPr>
          <w:rFonts w:hint="eastAsia" w:ascii="宋体" w:hAnsi="宋体" w:cs="宋体"/>
          <w:sz w:val="24"/>
          <w:szCs w:val="24"/>
        </w:rPr>
      </w:pPr>
      <w:r>
        <w:rPr>
          <w:rFonts w:hint="eastAsia" w:ascii="宋体" w:hAnsi="宋体" w:cs="宋体"/>
          <w:sz w:val="24"/>
          <w:szCs w:val="24"/>
        </w:rPr>
        <w:t>我校物流管理专业在课堂教学方面，采用项目、情景、模块化教学，并广泛运用多种教学方法。</w:t>
      </w:r>
    </w:p>
    <w:p w14:paraId="708469E3">
      <w:pPr>
        <w:spacing w:line="500" w:lineRule="exact"/>
        <w:ind w:firstLine="480" w:firstLineChars="200"/>
        <w:rPr>
          <w:rFonts w:hint="eastAsia" w:ascii="宋体" w:hAnsi="宋体" w:cs="宋体"/>
          <w:sz w:val="24"/>
          <w:szCs w:val="24"/>
        </w:rPr>
      </w:pPr>
      <w:r>
        <w:rPr>
          <w:rFonts w:hint="eastAsia" w:ascii="宋体" w:hAnsi="宋体" w:cs="宋体"/>
          <w:sz w:val="24"/>
          <w:szCs w:val="24"/>
        </w:rPr>
        <w:t>模块化教学方面采用“宽基础、活模块”教育模式，通过模块课程间灵活合理的搭配，首先培养学生宽泛的基础人文素质、基础从业能力，进而培养其合格的专门职业能力。</w:t>
      </w:r>
    </w:p>
    <w:p w14:paraId="7090D68E">
      <w:pPr>
        <w:spacing w:line="500" w:lineRule="exact"/>
        <w:ind w:firstLine="480" w:firstLineChars="200"/>
        <w:rPr>
          <w:rFonts w:hint="eastAsia" w:ascii="宋体" w:hAnsi="宋体" w:cs="宋体"/>
          <w:sz w:val="24"/>
          <w:szCs w:val="24"/>
        </w:rPr>
      </w:pPr>
      <w:r>
        <w:rPr>
          <w:rFonts w:hint="eastAsia" w:ascii="宋体" w:hAnsi="宋体" w:cs="宋体"/>
          <w:sz w:val="24"/>
          <w:szCs w:val="24"/>
        </w:rPr>
        <w:t>项目化教学及情景化教学方面，通过实施一个完整的项目、设置相应的情景、而进行的教学活动，其目的是在课堂教学中把理论与实践教学有机地结合起来，充分发掘学生的创造潜能，提高学生解决实际问题的综合能力。</w:t>
      </w:r>
    </w:p>
    <w:p w14:paraId="59F5E0DE">
      <w:pPr>
        <w:spacing w:line="500" w:lineRule="exact"/>
        <w:ind w:firstLine="480" w:firstLineChars="200"/>
        <w:rPr>
          <w:rFonts w:hint="eastAsia" w:ascii="宋体" w:hAnsi="宋体" w:cs="宋体"/>
          <w:sz w:val="24"/>
          <w:szCs w:val="24"/>
        </w:rPr>
      </w:pPr>
      <w:r>
        <w:rPr>
          <w:rFonts w:hint="eastAsia" w:ascii="宋体" w:hAnsi="宋体" w:cs="宋体"/>
          <w:sz w:val="24"/>
          <w:szCs w:val="24"/>
        </w:rPr>
        <w:t>我校物流管理专业在项目、情景、模块化教学，广泛运用多种教学方法均已达标。</w:t>
      </w:r>
    </w:p>
    <w:p w14:paraId="081A94AC">
      <w:pPr>
        <w:spacing w:line="500" w:lineRule="exact"/>
        <w:ind w:firstLine="482" w:firstLineChars="200"/>
        <w:rPr>
          <w:rFonts w:hint="eastAsia" w:ascii="黑体" w:hAnsi="黑体" w:eastAsia="黑体"/>
          <w:b/>
          <w:sz w:val="24"/>
          <w:szCs w:val="24"/>
        </w:rPr>
      </w:pPr>
      <w:r>
        <w:rPr>
          <w:rFonts w:hint="eastAsia" w:ascii="黑体" w:hAnsi="黑体" w:eastAsia="黑体"/>
          <w:b/>
          <w:sz w:val="24"/>
          <w:szCs w:val="24"/>
        </w:rPr>
        <w:t>1</w:t>
      </w:r>
      <w:r>
        <w:rPr>
          <w:rFonts w:ascii="黑体" w:hAnsi="黑体" w:eastAsia="黑体"/>
          <w:b/>
          <w:sz w:val="24"/>
          <w:szCs w:val="24"/>
        </w:rPr>
        <w:t>.</w:t>
      </w:r>
      <w:r>
        <w:rPr>
          <w:rFonts w:hint="eastAsia" w:ascii="黑体" w:hAnsi="黑体" w:eastAsia="黑体"/>
          <w:b/>
          <w:sz w:val="24"/>
          <w:szCs w:val="24"/>
        </w:rPr>
        <w:t xml:space="preserve"> 教学模式</w:t>
      </w:r>
    </w:p>
    <w:p w14:paraId="0EDAB728">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以物流操作的具体工作过程为主，实施项目教学。以真实的物流工作过程为导向设计课程内容，将课程学习内容与工作过程中各环节相对应，形成若干教学项目，每个项目又分若干任务，建立了基于工作过程的课程教学内容体系，将理论知识与实践技能紧密衔接、将学生的职业教育与职业资格证书相衔接，便学生在完成职业教育的同时又获得了必备的职业资格证书，最终以学生的学习过程考核和课程的终结性考试为主要的评价体系。充分利用现有的教学条件，实现理实一体化教学。通过校内的物流实训室、物流软件及校外实训基地等教学条件.将物流管理的教学内容通过物流软件、校内外实训基地来完成.真正实现理实一体化。</w:t>
      </w:r>
    </w:p>
    <w:p w14:paraId="767D5220">
      <w:pPr>
        <w:spacing w:line="500" w:lineRule="exact"/>
        <w:ind w:firstLine="482" w:firstLineChars="200"/>
        <w:rPr>
          <w:rFonts w:hint="eastAsia" w:ascii="宋体" w:hAnsi="宋体" w:cs="宋体"/>
          <w:kern w:val="0"/>
          <w:sz w:val="24"/>
          <w:szCs w:val="24"/>
        </w:rPr>
      </w:pPr>
      <w:r>
        <w:rPr>
          <w:rFonts w:hint="eastAsia" w:ascii="黑体" w:hAnsi="黑体" w:eastAsia="黑体"/>
          <w:b/>
          <w:sz w:val="24"/>
          <w:szCs w:val="24"/>
        </w:rPr>
        <w:t>2</w:t>
      </w:r>
      <w:r>
        <w:rPr>
          <w:rFonts w:ascii="黑体" w:hAnsi="黑体" w:eastAsia="黑体"/>
          <w:b/>
          <w:sz w:val="24"/>
          <w:szCs w:val="24"/>
        </w:rPr>
        <w:t>.</w:t>
      </w:r>
      <w:r>
        <w:rPr>
          <w:rFonts w:hint="eastAsia" w:ascii="黑体" w:hAnsi="黑体" w:eastAsia="黑体"/>
          <w:b/>
          <w:sz w:val="24"/>
          <w:szCs w:val="24"/>
        </w:rPr>
        <w:t>教学方法手段</w:t>
      </w:r>
    </w:p>
    <w:p w14:paraId="18A1CC3F">
      <w:pPr>
        <w:spacing w:line="500" w:lineRule="exact"/>
        <w:ind w:firstLine="480" w:firstLineChars="200"/>
        <w:rPr>
          <w:rFonts w:hint="eastAsia" w:ascii="宋体" w:hAnsi="宋体" w:cs="宋体"/>
          <w:kern w:val="0"/>
          <w:sz w:val="24"/>
          <w:szCs w:val="24"/>
        </w:rPr>
      </w:pPr>
      <w:r>
        <w:rPr>
          <w:rFonts w:hint="eastAsia" w:ascii="宋体" w:hAnsi="宋体" w:cs="宋体"/>
          <w:kern w:val="0"/>
          <w:sz w:val="24"/>
          <w:szCs w:val="24"/>
        </w:rPr>
        <w:t>（1）教学方法</w:t>
      </w:r>
    </w:p>
    <w:p w14:paraId="047528F4">
      <w:pPr>
        <w:spacing w:line="500" w:lineRule="exact"/>
        <w:ind w:firstLine="480" w:firstLineChars="200"/>
        <w:rPr>
          <w:rFonts w:hint="eastAsia" w:ascii="宋体" w:hAnsi="宋体" w:cs="宋体"/>
          <w:sz w:val="24"/>
          <w:szCs w:val="24"/>
        </w:rPr>
      </w:pPr>
      <w:r>
        <w:rPr>
          <w:rFonts w:hint="eastAsia" w:ascii="宋体" w:hAnsi="宋体" w:cs="宋体"/>
          <w:kern w:val="0"/>
          <w:sz w:val="24"/>
          <w:szCs w:val="24"/>
        </w:rPr>
        <w:tab/>
      </w:r>
      <w:r>
        <w:rPr>
          <w:rFonts w:hint="eastAsia" w:ascii="宋体" w:hAnsi="宋体" w:cs="宋体"/>
          <w:sz w:val="24"/>
          <w:szCs w:val="24"/>
        </w:rPr>
        <w:t>任课教师不断更新教学理念和教学方法，结合本课程内容和所教授的学生特点，总结出了一套适合本课程的教学方法，如任务驱动教学法、情境教学法、现场教学法等。</w:t>
      </w:r>
    </w:p>
    <w:p w14:paraId="1421439E">
      <w:pPr>
        <w:spacing w:line="500" w:lineRule="exact"/>
        <w:ind w:firstLine="480" w:firstLineChars="200"/>
        <w:rPr>
          <w:rFonts w:hint="eastAsia" w:ascii="宋体" w:hAnsi="宋体" w:cs="宋体"/>
          <w:sz w:val="24"/>
          <w:szCs w:val="24"/>
        </w:rPr>
      </w:pPr>
      <w:r>
        <w:rPr>
          <w:rFonts w:hint="eastAsia" w:ascii="宋体" w:hAnsi="宋体" w:cs="宋体"/>
          <w:sz w:val="24"/>
          <w:szCs w:val="24"/>
        </w:rPr>
        <w:t>任务驱动教学法:根据物流管理的具体项目，教师进行任务展示、任务告知、项目实施和项目评价来完成以"学生为主体，教、学、做、评"的任务驱动教学法，提高学生对知识的掌握与运用的能力。</w:t>
      </w:r>
    </w:p>
    <w:p w14:paraId="07C3BC6D">
      <w:pPr>
        <w:spacing w:line="500" w:lineRule="exact"/>
        <w:ind w:firstLine="480" w:firstLineChars="200"/>
        <w:rPr>
          <w:rFonts w:hint="eastAsia" w:ascii="宋体" w:hAnsi="宋体" w:cs="宋体"/>
          <w:sz w:val="24"/>
          <w:szCs w:val="24"/>
        </w:rPr>
      </w:pPr>
      <w:r>
        <w:rPr>
          <w:rFonts w:hint="eastAsia" w:ascii="宋体" w:hAnsi="宋体" w:cs="宋体"/>
          <w:sz w:val="24"/>
          <w:szCs w:val="24"/>
        </w:rPr>
        <w:t>情境教学法:根据物流管理课程的相关教学内容，通过物流实训室的物流管理软件，让学生扮演不同的岗位，共同来完成教学任务，如货物的执行，等内容可以采用情境教学法，使学生模拟真实的工作环境来来完成教学内容，既增加了学生的学习兴趣也锻炼了学生的职业素养。</w:t>
      </w:r>
    </w:p>
    <w:p w14:paraId="7074E443">
      <w:pPr>
        <w:spacing w:line="500" w:lineRule="exact"/>
        <w:ind w:firstLine="480" w:firstLineChars="200"/>
        <w:rPr>
          <w:rFonts w:hint="eastAsia" w:ascii="宋体" w:hAnsi="宋体" w:cs="宋体"/>
          <w:sz w:val="24"/>
          <w:szCs w:val="24"/>
        </w:rPr>
      </w:pPr>
      <w:r>
        <w:rPr>
          <w:rFonts w:hint="eastAsia" w:ascii="宋体" w:hAnsi="宋体" w:cs="宋体"/>
          <w:sz w:val="24"/>
          <w:szCs w:val="24"/>
        </w:rPr>
        <w:t>现场教学法:根据管理的课程实践性较强的特点，如货物的配装与配载可以采用现场教学法，即有理论知识的传授也有直接的操作，能生动形象的完成相关的教学任务，真正实现理实一体的教学过程。</w:t>
      </w:r>
    </w:p>
    <w:p w14:paraId="0B15E999">
      <w:pPr>
        <w:spacing w:line="500" w:lineRule="exact"/>
        <w:ind w:firstLine="480" w:firstLineChars="200"/>
        <w:rPr>
          <w:rFonts w:hint="eastAsia" w:ascii="宋体" w:hAnsi="宋体" w:cs="宋体"/>
          <w:sz w:val="24"/>
          <w:szCs w:val="24"/>
        </w:rPr>
      </w:pPr>
      <w:r>
        <w:rPr>
          <w:rFonts w:hint="eastAsia" w:ascii="宋体" w:hAnsi="宋体" w:cs="宋体"/>
          <w:sz w:val="24"/>
          <w:szCs w:val="24"/>
        </w:rPr>
        <w:t>上述各种教学方法既可独立采用，也可共同使用，提高了学生的学习兴趣、由原来的被动学习转化为主动学习，取得良好的教学效果</w:t>
      </w:r>
    </w:p>
    <w:p w14:paraId="504CCDE9">
      <w:pPr>
        <w:pStyle w:val="67"/>
        <w:numPr>
          <w:ilvl w:val="0"/>
          <w:numId w:val="5"/>
        </w:numPr>
        <w:spacing w:line="500" w:lineRule="exact"/>
        <w:ind w:firstLineChars="0"/>
        <w:rPr>
          <w:rFonts w:hint="eastAsia" w:ascii="宋体" w:hAnsi="宋体" w:cs="宋体"/>
          <w:kern w:val="0"/>
          <w:sz w:val="24"/>
          <w:szCs w:val="24"/>
        </w:rPr>
      </w:pPr>
      <w:r>
        <w:rPr>
          <w:rFonts w:hint="eastAsia" w:ascii="宋体" w:hAnsi="宋体" w:cs="宋体"/>
          <w:kern w:val="0"/>
          <w:sz w:val="24"/>
          <w:szCs w:val="24"/>
        </w:rPr>
        <w:t>教学手段</w:t>
      </w:r>
    </w:p>
    <w:p w14:paraId="0C93D5A7">
      <w:pPr>
        <w:spacing w:line="500" w:lineRule="exact"/>
        <w:ind w:firstLine="480" w:firstLineChars="200"/>
        <w:rPr>
          <w:rFonts w:hint="eastAsia" w:ascii="宋体" w:hAnsi="宋体" w:cs="宋体"/>
          <w:sz w:val="24"/>
          <w:szCs w:val="24"/>
        </w:rPr>
      </w:pPr>
      <w:r>
        <w:rPr>
          <w:rFonts w:hint="eastAsia" w:ascii="宋体" w:hAnsi="宋体" w:cs="宋体"/>
          <w:sz w:val="24"/>
          <w:szCs w:val="24"/>
        </w:rPr>
        <w:t>多媒体教学手段的应用。根据物流管理课程的特点，多媒体教学手段能够展现课程内容。课程组充分运用现代教学技术手段，利用多媒体课件、音频资料、视频资料、图片资料等开展教学，设计出生动新颖感性的课堂教学内容。扩大了课堂信息量，增强了课堂师生、生生互动，提高了课堂实效。</w:t>
      </w:r>
    </w:p>
    <w:p w14:paraId="1C2212E8">
      <w:pPr>
        <w:spacing w:line="500" w:lineRule="exact"/>
        <w:ind w:firstLine="480" w:firstLineChars="200"/>
        <w:rPr>
          <w:rFonts w:hint="eastAsia" w:ascii="宋体" w:hAnsi="宋体" w:cs="宋体"/>
          <w:sz w:val="24"/>
          <w:szCs w:val="24"/>
        </w:rPr>
      </w:pPr>
      <w:r>
        <w:rPr>
          <w:rFonts w:hint="eastAsia" w:ascii="宋体" w:hAnsi="宋体" w:cs="宋体"/>
          <w:sz w:val="24"/>
          <w:szCs w:val="24"/>
        </w:rPr>
        <w:t>远程教学平台的利用。充分利用国家骨干院校重点专业建设的优势，充分利用学院远程教学产台，让学生通过远程教学平台提供的教学资源开展自主学习和实践教学的认知，还可以利用远程教育获得更多外部信息，从而真正实现教学过程的优化与创新。</w:t>
      </w:r>
    </w:p>
    <w:p w14:paraId="6E3A9EAC">
      <w:pPr>
        <w:keepNext/>
        <w:keepLines/>
        <w:spacing w:line="500" w:lineRule="exact"/>
        <w:outlineLvl w:val="1"/>
        <w:rPr>
          <w:rFonts w:ascii="Arial" w:hAnsi="Arial" w:eastAsia="黑体"/>
          <w:b/>
          <w:bCs/>
          <w:color w:val="000000"/>
          <w:sz w:val="28"/>
          <w:szCs w:val="28"/>
        </w:rPr>
      </w:pPr>
      <w:r>
        <w:rPr>
          <w:rFonts w:hint="eastAsia" w:ascii="Arial" w:hAnsi="Arial" w:eastAsia="黑体"/>
          <w:b/>
          <w:bCs/>
          <w:color w:val="000000"/>
          <w:sz w:val="28"/>
          <w:szCs w:val="28"/>
        </w:rPr>
        <w:t>（五）考核评价</w:t>
      </w:r>
    </w:p>
    <w:p w14:paraId="0F81632F">
      <w:pPr>
        <w:spacing w:line="500" w:lineRule="exact"/>
        <w:ind w:firstLine="482" w:firstLineChars="200"/>
        <w:rPr>
          <w:rFonts w:hint="eastAsia" w:ascii="黑体" w:hAnsi="黑体" w:eastAsia="黑体" w:cs="宋体"/>
          <w:b/>
          <w:color w:val="000000"/>
          <w:sz w:val="24"/>
          <w:szCs w:val="24"/>
        </w:rPr>
      </w:pPr>
      <w:bookmarkStart w:id="86" w:name="_Toc257887141"/>
      <w:r>
        <w:rPr>
          <w:rFonts w:hint="eastAsia" w:ascii="黑体" w:hAnsi="黑体" w:eastAsia="黑体" w:cs="宋体"/>
          <w:b/>
          <w:color w:val="000000"/>
          <w:sz w:val="24"/>
          <w:szCs w:val="24"/>
        </w:rPr>
        <w:t>1.课程考核</w:t>
      </w:r>
      <w:bookmarkEnd w:id="86"/>
    </w:p>
    <w:p w14:paraId="51707477">
      <w:pPr>
        <w:spacing w:line="500" w:lineRule="exact"/>
        <w:ind w:firstLine="480" w:firstLineChars="200"/>
        <w:rPr>
          <w:rFonts w:hint="eastAsia" w:ascii="Times New Roman" w:hAnsi="宋体"/>
          <w:sz w:val="24"/>
          <w:szCs w:val="24"/>
        </w:rPr>
      </w:pPr>
      <w:bookmarkStart w:id="87" w:name="_Toc257887142"/>
      <w:r>
        <w:rPr>
          <w:rFonts w:hint="eastAsia" w:ascii="Times New Roman" w:hAnsi="宋体"/>
          <w:sz w:val="24"/>
          <w:szCs w:val="24"/>
        </w:rPr>
        <w:t>提倡考试模式创新和改革，过程考核与期末考试有机结合。公共学习领域课程和人文素质拓展学习领域课程的过程考核比例占</w:t>
      </w:r>
      <w:r>
        <w:rPr>
          <w:rFonts w:ascii="Times New Roman" w:hAnsi="宋体"/>
          <w:sz w:val="24"/>
          <w:szCs w:val="24"/>
        </w:rPr>
        <w:t>50</w:t>
      </w:r>
      <w:r>
        <w:rPr>
          <w:rFonts w:hint="eastAsia" w:ascii="Times New Roman" w:hAnsi="宋体"/>
          <w:sz w:val="24"/>
          <w:szCs w:val="24"/>
        </w:rPr>
        <w:t>分，其中学生考勤</w:t>
      </w:r>
      <w:r>
        <w:rPr>
          <w:rFonts w:ascii="Times New Roman" w:hAnsi="宋体"/>
          <w:sz w:val="24"/>
          <w:szCs w:val="24"/>
        </w:rPr>
        <w:t>15</w:t>
      </w:r>
      <w:r>
        <w:rPr>
          <w:rFonts w:hint="eastAsia" w:ascii="Times New Roman" w:hAnsi="宋体"/>
          <w:sz w:val="24"/>
          <w:szCs w:val="24"/>
        </w:rPr>
        <w:t>分，教学表现（教学纪律、学习综合表现、作业完成等）占</w:t>
      </w:r>
      <w:r>
        <w:rPr>
          <w:rFonts w:ascii="Times New Roman" w:hAnsi="宋体"/>
          <w:sz w:val="24"/>
          <w:szCs w:val="24"/>
        </w:rPr>
        <w:t>35</w:t>
      </w:r>
      <w:r>
        <w:rPr>
          <w:rFonts w:hint="eastAsia" w:ascii="Times New Roman" w:hAnsi="宋体"/>
          <w:sz w:val="24"/>
          <w:szCs w:val="24"/>
        </w:rPr>
        <w:t>分；专业学习领域的课程的过程考核比例占</w:t>
      </w:r>
      <w:r>
        <w:rPr>
          <w:rFonts w:ascii="Times New Roman" w:hAnsi="宋体"/>
          <w:sz w:val="24"/>
          <w:szCs w:val="24"/>
        </w:rPr>
        <w:t>60</w:t>
      </w:r>
      <w:r>
        <w:rPr>
          <w:rFonts w:hint="eastAsia" w:ascii="Times New Roman" w:hAnsi="宋体"/>
          <w:sz w:val="24"/>
          <w:szCs w:val="24"/>
        </w:rPr>
        <w:t>分，学生考勤</w:t>
      </w:r>
      <w:r>
        <w:rPr>
          <w:rFonts w:ascii="Times New Roman" w:hAnsi="宋体"/>
          <w:sz w:val="24"/>
          <w:szCs w:val="24"/>
        </w:rPr>
        <w:t>20</w:t>
      </w:r>
      <w:r>
        <w:rPr>
          <w:rFonts w:hint="eastAsia" w:ascii="Times New Roman" w:hAnsi="宋体"/>
          <w:sz w:val="24"/>
          <w:szCs w:val="24"/>
        </w:rPr>
        <w:t>分，包含教学表现（教学纪律、学习综合表现、学习成果展示、作业完成等），期末综合考核2</w:t>
      </w:r>
      <w:r>
        <w:rPr>
          <w:rFonts w:ascii="Times New Roman" w:hAnsi="宋体"/>
          <w:sz w:val="24"/>
          <w:szCs w:val="24"/>
        </w:rPr>
        <w:t>0分</w:t>
      </w:r>
      <w:r>
        <w:rPr>
          <w:rFonts w:hint="eastAsia" w:ascii="Times New Roman" w:hAnsi="宋体"/>
          <w:sz w:val="24"/>
          <w:szCs w:val="24"/>
        </w:rPr>
        <w:t>。</w:t>
      </w:r>
    </w:p>
    <w:p w14:paraId="2C09AB71">
      <w:pPr>
        <w:spacing w:line="360" w:lineRule="auto"/>
        <w:ind w:firstLine="480" w:firstLineChars="200"/>
        <w:rPr>
          <w:rFonts w:hint="eastAsia" w:ascii="Times New Roman" w:hAnsi="宋体"/>
          <w:sz w:val="24"/>
          <w:szCs w:val="24"/>
        </w:rPr>
      </w:pPr>
      <w:r>
        <w:rPr>
          <w:rFonts w:hint="eastAsia" w:ascii="宋体" w:hAnsi="宋体"/>
          <w:sz w:val="24"/>
          <w:szCs w:val="24"/>
        </w:rPr>
        <w:t>平时成绩</w:t>
      </w:r>
      <w:r>
        <w:rPr>
          <w:rFonts w:ascii="宋体" w:hAnsi="宋体"/>
          <w:sz w:val="24"/>
          <w:szCs w:val="24"/>
        </w:rPr>
        <w:t>20%</w:t>
      </w:r>
      <w:r>
        <w:rPr>
          <w:rFonts w:hint="eastAsia" w:ascii="宋体" w:hAnsi="宋体"/>
          <w:sz w:val="24"/>
          <w:szCs w:val="24"/>
        </w:rPr>
        <w:t>（课堂</w:t>
      </w:r>
      <w:r>
        <w:rPr>
          <w:rFonts w:ascii="宋体" w:hAnsi="宋体"/>
          <w:sz w:val="24"/>
          <w:szCs w:val="24"/>
        </w:rPr>
        <w:t>表现</w:t>
      </w:r>
      <w:r>
        <w:rPr>
          <w:rFonts w:hint="eastAsia" w:ascii="宋体" w:hAnsi="宋体"/>
          <w:sz w:val="24"/>
          <w:szCs w:val="24"/>
        </w:rPr>
        <w:t>10</w:t>
      </w:r>
      <w:r>
        <w:rPr>
          <w:rFonts w:ascii="宋体" w:hAnsi="宋体"/>
          <w:sz w:val="24"/>
          <w:szCs w:val="24"/>
        </w:rPr>
        <w:t>%+</w:t>
      </w:r>
      <w:r>
        <w:rPr>
          <w:rFonts w:hint="eastAsia" w:ascii="宋体" w:hAnsi="宋体"/>
          <w:sz w:val="24"/>
          <w:szCs w:val="24"/>
        </w:rPr>
        <w:t>作业10</w:t>
      </w:r>
      <w:r>
        <w:rPr>
          <w:rFonts w:ascii="宋体" w:hAnsi="宋体"/>
          <w:sz w:val="24"/>
          <w:szCs w:val="24"/>
        </w:rPr>
        <w:t>%</w:t>
      </w:r>
      <w:r>
        <w:rPr>
          <w:rFonts w:hint="eastAsia" w:ascii="宋体" w:hAnsi="宋体"/>
          <w:sz w:val="24"/>
          <w:szCs w:val="24"/>
        </w:rPr>
        <w:t>）</w:t>
      </w:r>
      <w:r>
        <w:rPr>
          <w:rFonts w:ascii="宋体" w:hAnsi="宋体"/>
          <w:sz w:val="24"/>
          <w:szCs w:val="24"/>
        </w:rPr>
        <w:t>+</w:t>
      </w:r>
      <w:r>
        <w:rPr>
          <w:rFonts w:hint="eastAsia" w:ascii="宋体" w:hAnsi="宋体"/>
          <w:sz w:val="24"/>
          <w:szCs w:val="24"/>
        </w:rPr>
        <w:t>阶段性</w:t>
      </w:r>
      <w:r>
        <w:rPr>
          <w:rFonts w:ascii="宋体" w:hAnsi="宋体"/>
          <w:sz w:val="24"/>
          <w:szCs w:val="24"/>
        </w:rPr>
        <w:t>考核6</w:t>
      </w:r>
      <w:r>
        <w:rPr>
          <w:rFonts w:hint="eastAsia" w:ascii="宋体" w:hAnsi="宋体"/>
          <w:sz w:val="24"/>
          <w:szCs w:val="24"/>
        </w:rPr>
        <w:t>0</w:t>
      </w:r>
      <w:r>
        <w:rPr>
          <w:rFonts w:ascii="宋体" w:hAnsi="宋体"/>
          <w:sz w:val="24"/>
          <w:szCs w:val="24"/>
        </w:rPr>
        <w:t>%+</w:t>
      </w:r>
      <w:r>
        <w:rPr>
          <w:rFonts w:hint="eastAsia" w:ascii="宋体" w:hAnsi="宋体"/>
          <w:sz w:val="24"/>
          <w:szCs w:val="24"/>
        </w:rPr>
        <w:t>期末</w:t>
      </w:r>
      <w:r>
        <w:rPr>
          <w:rFonts w:ascii="宋体" w:hAnsi="宋体"/>
          <w:sz w:val="24"/>
          <w:szCs w:val="24"/>
        </w:rPr>
        <w:t>综合考核2</w:t>
      </w:r>
      <w:r>
        <w:rPr>
          <w:rFonts w:hint="eastAsia" w:ascii="宋体" w:hAnsi="宋体"/>
          <w:sz w:val="24"/>
          <w:szCs w:val="24"/>
        </w:rPr>
        <w:t>0</w:t>
      </w:r>
      <w:r>
        <w:rPr>
          <w:rFonts w:ascii="宋体" w:hAnsi="宋体"/>
          <w:sz w:val="24"/>
          <w:szCs w:val="24"/>
        </w:rPr>
        <w:t>%</w:t>
      </w:r>
      <w:r>
        <w:rPr>
          <w:rFonts w:hint="eastAsia" w:ascii="宋体" w:hAnsi="宋体"/>
          <w:sz w:val="24"/>
          <w:szCs w:val="24"/>
        </w:rPr>
        <w:t>（理论20</w:t>
      </w:r>
      <w:r>
        <w:rPr>
          <w:rFonts w:ascii="宋体" w:hAnsi="宋体"/>
          <w:sz w:val="24"/>
          <w:szCs w:val="24"/>
        </w:rPr>
        <w:t>%</w:t>
      </w:r>
      <w:r>
        <w:rPr>
          <w:rFonts w:hint="eastAsia" w:ascii="宋体" w:hAnsi="宋体"/>
          <w:sz w:val="24"/>
          <w:szCs w:val="24"/>
        </w:rPr>
        <w:t>）。</w:t>
      </w:r>
    </w:p>
    <w:p w14:paraId="5695E9E5">
      <w:pPr>
        <w:spacing w:line="500" w:lineRule="exact"/>
        <w:ind w:firstLine="482" w:firstLineChars="200"/>
        <w:rPr>
          <w:rFonts w:hint="eastAsia" w:ascii="黑体" w:hAnsi="黑体" w:eastAsia="黑体" w:cs="宋体"/>
          <w:b/>
          <w:color w:val="000000"/>
          <w:sz w:val="24"/>
          <w:szCs w:val="24"/>
        </w:rPr>
      </w:pPr>
      <w:r>
        <w:rPr>
          <w:rFonts w:hint="eastAsia" w:ascii="黑体" w:hAnsi="黑体" w:eastAsia="黑体" w:cs="宋体"/>
          <w:b/>
          <w:color w:val="000000"/>
          <w:sz w:val="24"/>
          <w:szCs w:val="24"/>
        </w:rPr>
        <w:t>2.专项实践考核</w:t>
      </w:r>
      <w:bookmarkEnd w:id="87"/>
    </w:p>
    <w:p w14:paraId="4A217198">
      <w:pPr>
        <w:spacing w:line="500" w:lineRule="exact"/>
        <w:ind w:firstLine="480" w:firstLineChars="200"/>
        <w:rPr>
          <w:rFonts w:hint="eastAsia" w:ascii="Times New Roman" w:hAnsi="宋体"/>
          <w:sz w:val="24"/>
          <w:szCs w:val="24"/>
        </w:rPr>
      </w:pPr>
      <w:r>
        <w:rPr>
          <w:rFonts w:ascii="Times New Roman" w:hAnsi="宋体"/>
          <w:sz w:val="24"/>
          <w:szCs w:val="24"/>
        </w:rPr>
        <w:t>1.</w:t>
      </w:r>
      <w:r>
        <w:rPr>
          <w:rFonts w:hint="eastAsia" w:ascii="Times New Roman" w:hAnsi="宋体"/>
          <w:sz w:val="24"/>
          <w:szCs w:val="24"/>
        </w:rPr>
        <w:t>实训实习。实训实习是指时间在一周以上的课程实习、课程设计、专业实习、岗位实习。实行课程化管理，实习不合格者不具备毕业资格。按照学院实践教学管理规范要求评定成绩。</w:t>
      </w:r>
    </w:p>
    <w:p w14:paraId="043F3435">
      <w:pPr>
        <w:widowControl/>
        <w:spacing w:line="500" w:lineRule="exact"/>
        <w:ind w:firstLine="480" w:firstLineChars="200"/>
        <w:jc w:val="left"/>
        <w:rPr>
          <w:rFonts w:hint="eastAsia" w:ascii="Times New Roman" w:hAnsi="宋体"/>
          <w:sz w:val="24"/>
          <w:szCs w:val="24"/>
        </w:rPr>
      </w:pPr>
      <w:r>
        <w:rPr>
          <w:rFonts w:ascii="Times New Roman" w:hAnsi="宋体"/>
          <w:sz w:val="24"/>
          <w:szCs w:val="24"/>
        </w:rPr>
        <w:t>2.</w:t>
      </w:r>
      <w:r>
        <w:rPr>
          <w:rFonts w:hint="eastAsia" w:ascii="Times New Roman" w:hAnsi="宋体"/>
          <w:sz w:val="24"/>
          <w:szCs w:val="24"/>
        </w:rPr>
        <w:t>毕业（设计）。毕业</w:t>
      </w:r>
      <w:r>
        <w:rPr>
          <w:rFonts w:ascii="Times New Roman" w:hAnsi="宋体"/>
          <w:sz w:val="24"/>
          <w:szCs w:val="24"/>
        </w:rPr>
        <w:t>(</w:t>
      </w:r>
      <w:r>
        <w:rPr>
          <w:rFonts w:hint="eastAsia" w:ascii="Times New Roman" w:hAnsi="宋体"/>
          <w:sz w:val="24"/>
          <w:szCs w:val="24"/>
        </w:rPr>
        <w:t>设计</w:t>
      </w:r>
      <w:r>
        <w:rPr>
          <w:rFonts w:ascii="Times New Roman" w:hAnsi="宋体"/>
          <w:sz w:val="24"/>
          <w:szCs w:val="24"/>
        </w:rPr>
        <w:t>)</w:t>
      </w:r>
      <w:r>
        <w:rPr>
          <w:rFonts w:hint="eastAsia" w:ascii="Times New Roman" w:hAnsi="宋体"/>
          <w:sz w:val="24"/>
          <w:szCs w:val="24"/>
        </w:rPr>
        <w:t>是实践教学的重要组成部分，平时成绩（</w:t>
      </w:r>
      <w:r>
        <w:rPr>
          <w:rFonts w:ascii="Times New Roman" w:hAnsi="宋体"/>
          <w:sz w:val="24"/>
          <w:szCs w:val="24"/>
        </w:rPr>
        <w:t>30%</w:t>
      </w:r>
      <w:r>
        <w:rPr>
          <w:rFonts w:hint="eastAsia" w:ascii="Times New Roman" w:hAnsi="宋体"/>
          <w:sz w:val="24"/>
          <w:szCs w:val="24"/>
        </w:rPr>
        <w:t>）（针对考核期间学生与导师联系的主动性、对毕业设计过程中每个阶段要求达成目标的及时性）、审阅成绩（</w:t>
      </w:r>
      <w:r>
        <w:rPr>
          <w:rFonts w:ascii="Times New Roman" w:hAnsi="宋体"/>
          <w:sz w:val="24"/>
          <w:szCs w:val="24"/>
        </w:rPr>
        <w:t>70%</w:t>
      </w:r>
      <w:r>
        <w:rPr>
          <w:rFonts w:hint="eastAsia" w:ascii="Times New Roman" w:hAnsi="宋体"/>
          <w:sz w:val="24"/>
          <w:szCs w:val="24"/>
        </w:rPr>
        <w:t>）折算后按优</w:t>
      </w:r>
      <w:r>
        <w:rPr>
          <w:rFonts w:ascii="Times New Roman" w:hAnsi="宋体"/>
          <w:sz w:val="24"/>
          <w:szCs w:val="24"/>
        </w:rPr>
        <w:t>(90--100)</w:t>
      </w:r>
      <w:r>
        <w:rPr>
          <w:rFonts w:hint="eastAsia" w:ascii="Times New Roman" w:hAnsi="宋体"/>
          <w:sz w:val="24"/>
          <w:szCs w:val="24"/>
        </w:rPr>
        <w:t>，良</w:t>
      </w:r>
      <w:r>
        <w:rPr>
          <w:rFonts w:ascii="Times New Roman" w:hAnsi="宋体"/>
          <w:sz w:val="24"/>
          <w:szCs w:val="24"/>
        </w:rPr>
        <w:t>(75--89)</w:t>
      </w:r>
      <w:r>
        <w:rPr>
          <w:rFonts w:hint="eastAsia" w:ascii="Times New Roman" w:hAnsi="宋体"/>
          <w:sz w:val="24"/>
          <w:szCs w:val="24"/>
        </w:rPr>
        <w:t>，及格</w:t>
      </w:r>
      <w:r>
        <w:rPr>
          <w:rFonts w:ascii="Times New Roman" w:hAnsi="宋体"/>
          <w:sz w:val="24"/>
          <w:szCs w:val="24"/>
        </w:rPr>
        <w:t>(60--74)</w:t>
      </w:r>
      <w:r>
        <w:rPr>
          <w:rFonts w:hint="eastAsia" w:ascii="Times New Roman" w:hAnsi="宋体"/>
          <w:sz w:val="24"/>
          <w:szCs w:val="24"/>
        </w:rPr>
        <w:t>，不及格</w:t>
      </w:r>
      <w:r>
        <w:rPr>
          <w:rFonts w:ascii="Times New Roman" w:hAnsi="宋体"/>
          <w:sz w:val="24"/>
          <w:szCs w:val="24"/>
        </w:rPr>
        <w:t>(59</w:t>
      </w:r>
      <w:r>
        <w:rPr>
          <w:rFonts w:hint="eastAsia" w:ascii="Times New Roman" w:hAnsi="宋体"/>
          <w:sz w:val="24"/>
          <w:szCs w:val="24"/>
        </w:rPr>
        <w:t>分以下</w:t>
      </w:r>
      <w:r>
        <w:rPr>
          <w:rFonts w:ascii="Times New Roman" w:hAnsi="宋体"/>
          <w:sz w:val="24"/>
          <w:szCs w:val="24"/>
        </w:rPr>
        <w:t>)</w:t>
      </w:r>
      <w:r>
        <w:rPr>
          <w:rFonts w:hint="eastAsia" w:ascii="Times New Roman" w:hAnsi="宋体"/>
          <w:sz w:val="24"/>
          <w:szCs w:val="24"/>
        </w:rPr>
        <w:t>评定等级。</w:t>
      </w:r>
    </w:p>
    <w:p w14:paraId="33F0A186">
      <w:pPr>
        <w:pStyle w:val="67"/>
        <w:spacing w:line="500" w:lineRule="exact"/>
        <w:ind w:left="922" w:firstLine="0" w:firstLineChars="0"/>
        <w:rPr>
          <w:rFonts w:ascii="Arial" w:hAnsi="Arial" w:eastAsia="黑体"/>
          <w:b/>
          <w:bCs/>
          <w:color w:val="000000"/>
          <w:sz w:val="24"/>
          <w:szCs w:val="24"/>
        </w:rPr>
      </w:pPr>
    </w:p>
    <w:p w14:paraId="174072F0">
      <w:pPr>
        <w:ind w:firstLine="562" w:firstLineChars="200"/>
        <w:rPr>
          <w:rFonts w:ascii="Arial" w:hAnsi="Arial" w:eastAsia="黑体"/>
          <w:b/>
          <w:bCs/>
          <w:color w:val="000000"/>
          <w:sz w:val="28"/>
          <w:szCs w:val="28"/>
        </w:rPr>
      </w:pPr>
      <w:r>
        <w:rPr>
          <w:rFonts w:hint="eastAsia" w:ascii="Arial" w:hAnsi="Arial" w:eastAsia="黑体"/>
          <w:b/>
          <w:bCs/>
          <w:color w:val="000000"/>
          <w:sz w:val="28"/>
          <w:szCs w:val="28"/>
        </w:rPr>
        <w:t>（六）质量管理</w:t>
      </w:r>
    </w:p>
    <w:p w14:paraId="7A401BF8">
      <w:pPr>
        <w:snapToGrid w:val="0"/>
        <w:spacing w:line="4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1. 学校和</w:t>
      </w:r>
      <w:r>
        <w:rPr>
          <w:rFonts w:hint="eastAsia" w:ascii="宋体" w:hAnsi="宋体" w:cs="宋体"/>
          <w:sz w:val="24"/>
          <w:szCs w:val="24"/>
          <w:lang w:eastAsia="zh-CN"/>
        </w:rPr>
        <w:t>院</w:t>
      </w:r>
      <w:r>
        <w:rPr>
          <w:rFonts w:hint="eastAsia" w:ascii="宋体" w:hAnsi="宋体" w:cs="宋体"/>
          <w:color w:val="000000"/>
          <w:sz w:val="24"/>
          <w:szCs w:val="24"/>
        </w:rPr>
        <w:t>部已经建立现代物流管理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294A69A9">
      <w:pPr>
        <w:snapToGrid w:val="0"/>
        <w:spacing w:line="4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2.学校和</w:t>
      </w:r>
      <w:r>
        <w:rPr>
          <w:rFonts w:hint="eastAsia" w:ascii="宋体" w:hAnsi="宋体" w:cs="宋体"/>
          <w:sz w:val="24"/>
          <w:szCs w:val="24"/>
          <w:lang w:eastAsia="zh-CN"/>
        </w:rPr>
        <w:t>院</w:t>
      </w:r>
      <w:r>
        <w:rPr>
          <w:rFonts w:hint="eastAsia" w:ascii="宋体" w:hAnsi="宋体" w:cs="宋体"/>
          <w:color w:val="000000"/>
          <w:sz w:val="24"/>
          <w:szCs w:val="24"/>
        </w:rPr>
        <w:t>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687548AB">
      <w:pPr>
        <w:snapToGrid w:val="0"/>
        <w:spacing w:line="4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3.学校已经建立毕业生跟踪反馈机制及社会评价机制，并对生源情况、在校生学业水平、毕业生就业情况等进行分析，定期评价人才培养质量和培养目标达成情况。</w:t>
      </w:r>
    </w:p>
    <w:p w14:paraId="12A3C4F8">
      <w:pPr>
        <w:snapToGrid w:val="0"/>
        <w:spacing w:line="4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4.商贸教研室充分利用评价分析结果有效改进专业教学，持续提高人才培养质量。</w:t>
      </w:r>
    </w:p>
    <w:p w14:paraId="4AE83554">
      <w:pPr>
        <w:keepNext/>
        <w:keepLines/>
        <w:spacing w:line="500" w:lineRule="exact"/>
        <w:ind w:firstLine="643" w:firstLineChars="200"/>
        <w:outlineLvl w:val="0"/>
        <w:rPr>
          <w:rFonts w:eastAsia="黑体"/>
          <w:b/>
          <w:bCs/>
          <w:color w:val="000000"/>
          <w:kern w:val="44"/>
          <w:sz w:val="32"/>
          <w:szCs w:val="30"/>
        </w:rPr>
      </w:pPr>
      <w:bookmarkStart w:id="88" w:name="_Toc46303733"/>
      <w:r>
        <w:rPr>
          <w:rFonts w:hint="eastAsia" w:eastAsia="黑体"/>
          <w:b/>
          <w:bCs/>
          <w:color w:val="000000"/>
          <w:kern w:val="44"/>
          <w:sz w:val="32"/>
          <w:szCs w:val="30"/>
        </w:rPr>
        <w:t>九、毕业要求</w:t>
      </w:r>
      <w:bookmarkEnd w:id="88"/>
    </w:p>
    <w:p w14:paraId="6A8AD5B7">
      <w:pPr>
        <w:keepNext/>
        <w:keepLines/>
        <w:spacing w:line="500" w:lineRule="exact"/>
        <w:ind w:firstLine="562" w:firstLineChars="200"/>
        <w:outlineLvl w:val="1"/>
        <w:rPr>
          <w:rFonts w:ascii="Arial" w:hAnsi="Arial" w:eastAsia="黑体"/>
          <w:b/>
          <w:bCs/>
          <w:color w:val="000000"/>
          <w:sz w:val="28"/>
          <w:szCs w:val="28"/>
        </w:rPr>
      </w:pPr>
      <w:bookmarkStart w:id="89" w:name="_Toc407696152"/>
      <w:bookmarkStart w:id="90" w:name="_Toc405393395"/>
      <w:bookmarkStart w:id="91" w:name="_Toc46303734"/>
      <w:bookmarkStart w:id="92" w:name="_Toc407697910"/>
      <w:r>
        <w:rPr>
          <w:rFonts w:hint="eastAsia" w:ascii="Arial" w:hAnsi="Arial" w:eastAsia="黑体"/>
          <w:b/>
          <w:bCs/>
          <w:color w:val="000000"/>
          <w:sz w:val="28"/>
          <w:szCs w:val="28"/>
        </w:rPr>
        <w:t>（一）学分要求</w:t>
      </w:r>
      <w:bookmarkEnd w:id="89"/>
      <w:bookmarkEnd w:id="90"/>
      <w:bookmarkEnd w:id="91"/>
      <w:bookmarkEnd w:id="92"/>
    </w:p>
    <w:p w14:paraId="3FE3910A">
      <w:pPr>
        <w:snapToGrid w:val="0"/>
        <w:spacing w:line="460" w:lineRule="exact"/>
        <w:ind w:firstLine="480" w:firstLineChars="200"/>
        <w:rPr>
          <w:rFonts w:hint="eastAsia" w:ascii="宋体" w:hAnsi="宋体" w:cs="宋体"/>
          <w:color w:val="000000"/>
          <w:sz w:val="24"/>
          <w:szCs w:val="24"/>
        </w:rPr>
      </w:pPr>
      <w:bookmarkStart w:id="93" w:name="_Hlk11874548"/>
      <w:r>
        <w:rPr>
          <w:rFonts w:hint="eastAsia" w:ascii="宋体" w:hAnsi="宋体" w:cs="宋体"/>
          <w:color w:val="000000"/>
          <w:sz w:val="24"/>
          <w:szCs w:val="24"/>
        </w:rPr>
        <w:t>总学分：要求学生毕业最低学分149学分。</w:t>
      </w:r>
    </w:p>
    <w:p w14:paraId="6B699C8E">
      <w:pPr>
        <w:snapToGrid w:val="0"/>
        <w:spacing w:line="460" w:lineRule="exact"/>
        <w:rPr>
          <w:rFonts w:hint="eastAsia" w:ascii="宋体" w:hAnsi="宋体" w:cs="宋体"/>
          <w:color w:val="000000"/>
          <w:sz w:val="24"/>
          <w:szCs w:val="24"/>
        </w:rPr>
      </w:pPr>
      <w:r>
        <w:rPr>
          <w:rFonts w:hint="eastAsia" w:ascii="宋体" w:hAnsi="宋体" w:cs="宋体"/>
          <w:color w:val="000000"/>
          <w:sz w:val="24"/>
          <w:szCs w:val="24"/>
        </w:rPr>
        <w:t>学分设定标准以授课（训练）学时数（或周数）为主要依据。</w:t>
      </w:r>
    </w:p>
    <w:bookmarkEnd w:id="93"/>
    <w:p w14:paraId="167FEC8A">
      <w:pPr>
        <w:snapToGrid w:val="0"/>
        <w:spacing w:line="4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1．理论与实践一体化课程教学按每16学时1学分计；</w:t>
      </w:r>
    </w:p>
    <w:p w14:paraId="1AE6BEE4">
      <w:pPr>
        <w:snapToGrid w:val="0"/>
        <w:spacing w:line="4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2．综合实践教学环节按每周1学分计；</w:t>
      </w:r>
    </w:p>
    <w:p w14:paraId="17F69012">
      <w:pPr>
        <w:snapToGrid w:val="0"/>
        <w:spacing w:line="4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3．学分的最小计量单元为0.5学分。</w:t>
      </w:r>
    </w:p>
    <w:p w14:paraId="4EA4A220">
      <w:pPr>
        <w:snapToGrid w:val="0"/>
        <w:spacing w:line="4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14:paraId="18635E31">
      <w:pPr>
        <w:snapToGrid w:val="0"/>
        <w:spacing w:line="4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p>
    <w:p w14:paraId="215578E7">
      <w:pPr>
        <w:keepNext/>
        <w:keepLines/>
        <w:spacing w:line="500" w:lineRule="exact"/>
        <w:ind w:firstLine="480" w:firstLineChars="200"/>
        <w:outlineLvl w:val="1"/>
        <w:rPr>
          <w:rFonts w:hint="eastAsia" w:ascii="宋体" w:hAnsi="宋体" w:cs="宋体"/>
          <w:sz w:val="24"/>
          <w:szCs w:val="24"/>
        </w:rPr>
      </w:pPr>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p>
    <w:bookmarkEnd w:id="62"/>
    <w:bookmarkEnd w:id="63"/>
    <w:bookmarkEnd w:id="64"/>
    <w:bookmarkEnd w:id="65"/>
    <w:bookmarkEnd w:id="66"/>
    <w:p w14:paraId="34CAFD0E">
      <w:pPr>
        <w:keepNext/>
        <w:keepLines/>
        <w:spacing w:line="500" w:lineRule="exact"/>
        <w:ind w:firstLine="562" w:firstLineChars="200"/>
        <w:outlineLvl w:val="1"/>
        <w:rPr>
          <w:rFonts w:ascii="Arial" w:hAnsi="Arial" w:eastAsia="黑体"/>
          <w:b/>
          <w:bCs/>
          <w:color w:val="000000"/>
          <w:sz w:val="28"/>
          <w:szCs w:val="28"/>
        </w:rPr>
      </w:pPr>
      <w:bookmarkStart w:id="94" w:name="_Toc305418734"/>
      <w:bookmarkStart w:id="95" w:name="_Toc407697911"/>
      <w:bookmarkStart w:id="96" w:name="_Toc407696153"/>
      <w:bookmarkStart w:id="97" w:name="_Toc405393396"/>
      <w:bookmarkStart w:id="98" w:name="_Toc46303735"/>
      <w:bookmarkStart w:id="99" w:name="_Toc303837894"/>
      <w:r>
        <w:rPr>
          <w:rFonts w:hint="eastAsia" w:ascii="Arial" w:hAnsi="Arial" w:eastAsia="黑体"/>
          <w:b/>
          <w:bCs/>
          <w:color w:val="000000"/>
          <w:sz w:val="28"/>
          <w:szCs w:val="28"/>
        </w:rPr>
        <w:t>（二）</w:t>
      </w:r>
      <w:bookmarkEnd w:id="94"/>
      <w:bookmarkEnd w:id="95"/>
      <w:bookmarkEnd w:id="96"/>
      <w:bookmarkEnd w:id="97"/>
      <w:r>
        <w:rPr>
          <w:rFonts w:hint="eastAsia" w:ascii="Arial" w:hAnsi="Arial" w:eastAsia="黑体"/>
          <w:b/>
          <w:bCs/>
          <w:color w:val="000000"/>
          <w:sz w:val="28"/>
          <w:szCs w:val="28"/>
        </w:rPr>
        <w:t>证书要求</w:t>
      </w:r>
      <w:bookmarkEnd w:id="98"/>
    </w:p>
    <w:p w14:paraId="62DDB32F">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14  </w:t>
      </w:r>
      <w:r>
        <w:rPr>
          <w:rFonts w:hint="eastAsia" w:ascii="Times New Roman" w:hAnsi="Times New Roman"/>
          <w:b/>
          <w:color w:val="000000"/>
          <w:sz w:val="24"/>
          <w:szCs w:val="24"/>
        </w:rPr>
        <w:t>通用证书要求</w:t>
      </w:r>
    </w:p>
    <w:tbl>
      <w:tblPr>
        <w:tblStyle w:val="24"/>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193"/>
        <w:gridCol w:w="2552"/>
        <w:gridCol w:w="1843"/>
        <w:gridCol w:w="1134"/>
      </w:tblGrid>
      <w:tr w14:paraId="5624D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trPr>
        <w:tc>
          <w:tcPr>
            <w:tcW w:w="750" w:type="dxa"/>
          </w:tcPr>
          <w:p w14:paraId="5815E5E1">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193" w:type="dxa"/>
          </w:tcPr>
          <w:p w14:paraId="1319C5B4">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552" w:type="dxa"/>
          </w:tcPr>
          <w:p w14:paraId="71E35C7A">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843" w:type="dxa"/>
          </w:tcPr>
          <w:p w14:paraId="4C23AF27">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134" w:type="dxa"/>
          </w:tcPr>
          <w:p w14:paraId="3364CA37">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4DB19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14:paraId="27CB5FE8">
            <w:pPr>
              <w:spacing w:before="62" w:beforeLines="20" w:after="62" w:afterLines="20"/>
              <w:jc w:val="center"/>
              <w:rPr>
                <w:rFonts w:ascii="宋体"/>
                <w:color w:val="000000"/>
                <w:szCs w:val="21"/>
              </w:rPr>
            </w:pPr>
            <w:r>
              <w:rPr>
                <w:rFonts w:ascii="宋体" w:hAnsi="宋体"/>
                <w:color w:val="000000"/>
                <w:szCs w:val="21"/>
              </w:rPr>
              <w:t>1</w:t>
            </w:r>
          </w:p>
        </w:tc>
        <w:tc>
          <w:tcPr>
            <w:tcW w:w="2193" w:type="dxa"/>
            <w:vAlign w:val="center"/>
          </w:tcPr>
          <w:p w14:paraId="6013B7CC">
            <w:pPr>
              <w:spacing w:before="62" w:beforeLines="20" w:after="62" w:afterLines="20"/>
              <w:jc w:val="center"/>
              <w:rPr>
                <w:rFonts w:ascii="宋体"/>
                <w:color w:val="000000"/>
                <w:szCs w:val="21"/>
              </w:rPr>
            </w:pPr>
            <w:r>
              <w:rPr>
                <w:rFonts w:hint="eastAsia" w:ascii="宋体" w:hAnsi="宋体"/>
                <w:color w:val="000000"/>
                <w:szCs w:val="21"/>
              </w:rPr>
              <w:t>普通话水平测试等级证书</w:t>
            </w:r>
          </w:p>
        </w:tc>
        <w:tc>
          <w:tcPr>
            <w:tcW w:w="2552" w:type="dxa"/>
            <w:vAlign w:val="center"/>
          </w:tcPr>
          <w:p w14:paraId="0886E069">
            <w:pPr>
              <w:spacing w:before="62" w:beforeLines="20" w:after="62" w:afterLines="20"/>
              <w:jc w:val="center"/>
              <w:rPr>
                <w:rFonts w:ascii="宋体"/>
                <w:color w:val="000000"/>
                <w:szCs w:val="21"/>
              </w:rPr>
            </w:pPr>
            <w:r>
              <w:rPr>
                <w:rFonts w:hint="eastAsia" w:ascii="宋体" w:hAnsi="宋体"/>
                <w:color w:val="000000"/>
                <w:szCs w:val="21"/>
              </w:rPr>
              <w:t>山东省语言文字工作委员会</w:t>
            </w:r>
          </w:p>
        </w:tc>
        <w:tc>
          <w:tcPr>
            <w:tcW w:w="1843" w:type="dxa"/>
            <w:vAlign w:val="center"/>
          </w:tcPr>
          <w:p w14:paraId="71844220">
            <w:pPr>
              <w:spacing w:before="62" w:beforeLines="20" w:after="62" w:afterLines="20"/>
              <w:jc w:val="center"/>
              <w:rPr>
                <w:rFonts w:ascii="宋体"/>
                <w:color w:val="000000"/>
                <w:szCs w:val="21"/>
              </w:rPr>
            </w:pPr>
            <w:r>
              <w:rPr>
                <w:rFonts w:hint="eastAsia" w:ascii="宋体" w:hAnsi="宋体"/>
                <w:color w:val="000000"/>
                <w:szCs w:val="21"/>
              </w:rPr>
              <w:t>二级乙等及以上</w:t>
            </w:r>
          </w:p>
        </w:tc>
        <w:tc>
          <w:tcPr>
            <w:tcW w:w="1134" w:type="dxa"/>
            <w:vAlign w:val="center"/>
          </w:tcPr>
          <w:p w14:paraId="55039815">
            <w:pPr>
              <w:spacing w:before="62" w:beforeLines="20" w:after="62" w:afterLines="20"/>
              <w:jc w:val="center"/>
              <w:rPr>
                <w:rFonts w:ascii="宋体"/>
                <w:color w:val="000000"/>
                <w:szCs w:val="21"/>
              </w:rPr>
            </w:pPr>
            <w:r>
              <w:rPr>
                <w:rFonts w:hint="eastAsia" w:ascii="宋体" w:hAnsi="宋体"/>
                <w:color w:val="000000"/>
                <w:szCs w:val="21"/>
              </w:rPr>
              <w:t>必取</w:t>
            </w:r>
          </w:p>
        </w:tc>
      </w:tr>
      <w:tr w14:paraId="0ABB4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1DBE16E9">
            <w:pPr>
              <w:snapToGrid w:val="0"/>
              <w:spacing w:before="62" w:beforeLines="20" w:after="62" w:afterLines="20" w:line="360" w:lineRule="auto"/>
              <w:jc w:val="center"/>
              <w:rPr>
                <w:rFonts w:ascii="宋体"/>
                <w:color w:val="000000"/>
                <w:szCs w:val="21"/>
              </w:rPr>
            </w:pPr>
            <w:r>
              <w:rPr>
                <w:rFonts w:hint="eastAsia" w:ascii="宋体"/>
                <w:color w:val="000000"/>
                <w:szCs w:val="21"/>
              </w:rPr>
              <w:t>2</w:t>
            </w:r>
          </w:p>
        </w:tc>
        <w:tc>
          <w:tcPr>
            <w:tcW w:w="2193" w:type="dxa"/>
            <w:vAlign w:val="center"/>
          </w:tcPr>
          <w:p w14:paraId="345C634A">
            <w:pPr>
              <w:snapToGrid w:val="0"/>
              <w:spacing w:before="62" w:beforeLines="20" w:after="62" w:afterLines="20" w:line="360" w:lineRule="auto"/>
              <w:jc w:val="center"/>
              <w:rPr>
                <w:rFonts w:ascii="宋体"/>
                <w:color w:val="000000"/>
                <w:szCs w:val="21"/>
              </w:rPr>
            </w:pPr>
            <w:r>
              <w:rPr>
                <w:rFonts w:hint="eastAsia" w:ascii="宋体"/>
                <w:szCs w:val="21"/>
              </w:rPr>
              <w:t>机动车驾驶证</w:t>
            </w:r>
          </w:p>
        </w:tc>
        <w:tc>
          <w:tcPr>
            <w:tcW w:w="2552" w:type="dxa"/>
            <w:vAlign w:val="center"/>
          </w:tcPr>
          <w:p w14:paraId="561ACA00">
            <w:pPr>
              <w:snapToGrid w:val="0"/>
              <w:spacing w:before="62" w:beforeLines="20" w:after="62" w:afterLines="20" w:line="360" w:lineRule="auto"/>
              <w:jc w:val="center"/>
              <w:rPr>
                <w:rFonts w:ascii="宋体"/>
                <w:color w:val="000000"/>
                <w:szCs w:val="21"/>
              </w:rPr>
            </w:pPr>
            <w:r>
              <w:rPr>
                <w:rFonts w:hint="eastAsia" w:ascii="宋体"/>
                <w:szCs w:val="21"/>
              </w:rPr>
              <w:t>公安部交管局</w:t>
            </w:r>
          </w:p>
        </w:tc>
        <w:tc>
          <w:tcPr>
            <w:tcW w:w="1843" w:type="dxa"/>
            <w:vAlign w:val="center"/>
          </w:tcPr>
          <w:p w14:paraId="0E67A616">
            <w:pPr>
              <w:snapToGrid w:val="0"/>
              <w:spacing w:before="62" w:beforeLines="20" w:after="62" w:afterLines="20" w:line="360" w:lineRule="auto"/>
              <w:jc w:val="center"/>
              <w:rPr>
                <w:rFonts w:hint="eastAsia" w:ascii="宋体" w:eastAsia="宋体"/>
                <w:color w:val="000000"/>
                <w:szCs w:val="21"/>
                <w:lang w:val="en-US" w:eastAsia="zh-CN"/>
              </w:rPr>
            </w:pPr>
            <w:r>
              <w:rPr>
                <w:rFonts w:hint="eastAsia" w:ascii="宋体"/>
                <w:color w:val="000000"/>
                <w:szCs w:val="21"/>
                <w:lang w:val="en-US" w:eastAsia="zh-CN"/>
              </w:rPr>
              <w:t>C</w:t>
            </w:r>
          </w:p>
        </w:tc>
        <w:tc>
          <w:tcPr>
            <w:tcW w:w="1134" w:type="dxa"/>
          </w:tcPr>
          <w:p w14:paraId="0913DB6F">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bl>
    <w:p w14:paraId="291FE09C">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15 </w:t>
      </w:r>
      <w:r>
        <w:rPr>
          <w:rFonts w:hint="eastAsia" w:ascii="Times New Roman" w:hAnsi="Times New Roman"/>
          <w:b/>
          <w:color w:val="000000"/>
          <w:sz w:val="24"/>
          <w:szCs w:val="24"/>
        </w:rPr>
        <w:t>职业资格/职业技能等级证书要求</w:t>
      </w:r>
    </w:p>
    <w:bookmarkEnd w:id="99"/>
    <w:tbl>
      <w:tblPr>
        <w:tblStyle w:val="2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923"/>
        <w:gridCol w:w="3570"/>
        <w:gridCol w:w="1296"/>
        <w:gridCol w:w="747"/>
      </w:tblGrid>
      <w:tr w14:paraId="10405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7F4B650C">
            <w:pPr>
              <w:snapToGrid w:val="0"/>
              <w:spacing w:before="62" w:beforeLines="20" w:after="62" w:afterLines="20" w:line="360" w:lineRule="auto"/>
              <w:jc w:val="center"/>
              <w:rPr>
                <w:rFonts w:ascii="宋体"/>
                <w:b/>
                <w:szCs w:val="21"/>
              </w:rPr>
            </w:pPr>
            <w:bookmarkStart w:id="100" w:name="_Toc481601242"/>
            <w:bookmarkStart w:id="101" w:name="_Toc46303739"/>
            <w:bookmarkStart w:id="102" w:name="_Toc481405110"/>
            <w:bookmarkStart w:id="103" w:name="_Hlk45893963"/>
            <w:r>
              <w:rPr>
                <w:rFonts w:hint="eastAsia" w:ascii="宋体" w:hAnsi="宋体"/>
                <w:b/>
                <w:szCs w:val="21"/>
              </w:rPr>
              <w:t>序号</w:t>
            </w:r>
          </w:p>
        </w:tc>
        <w:tc>
          <w:tcPr>
            <w:tcW w:w="2923" w:type="dxa"/>
            <w:vAlign w:val="center"/>
          </w:tcPr>
          <w:p w14:paraId="70D27AE9">
            <w:pPr>
              <w:snapToGrid w:val="0"/>
              <w:spacing w:before="62" w:beforeLines="20" w:after="62" w:afterLines="20" w:line="360" w:lineRule="auto"/>
              <w:jc w:val="center"/>
              <w:rPr>
                <w:rFonts w:ascii="宋体"/>
                <w:b/>
                <w:szCs w:val="21"/>
              </w:rPr>
            </w:pPr>
            <w:r>
              <w:rPr>
                <w:rFonts w:hint="eastAsia" w:ascii="宋体" w:hAnsi="宋体"/>
                <w:b/>
                <w:szCs w:val="21"/>
              </w:rPr>
              <w:t>证书名称</w:t>
            </w:r>
          </w:p>
        </w:tc>
        <w:tc>
          <w:tcPr>
            <w:tcW w:w="3570" w:type="dxa"/>
            <w:vAlign w:val="center"/>
          </w:tcPr>
          <w:p w14:paraId="78A2B4EB">
            <w:pPr>
              <w:snapToGrid w:val="0"/>
              <w:spacing w:before="62" w:beforeLines="20" w:after="62" w:afterLines="20" w:line="360" w:lineRule="auto"/>
              <w:jc w:val="center"/>
              <w:rPr>
                <w:rFonts w:ascii="宋体"/>
                <w:b/>
                <w:szCs w:val="21"/>
              </w:rPr>
            </w:pPr>
            <w:r>
              <w:rPr>
                <w:rFonts w:hint="eastAsia" w:ascii="宋体" w:hAnsi="宋体"/>
                <w:b/>
                <w:szCs w:val="21"/>
              </w:rPr>
              <w:t>颁证单位</w:t>
            </w:r>
          </w:p>
        </w:tc>
        <w:tc>
          <w:tcPr>
            <w:tcW w:w="1296" w:type="dxa"/>
            <w:vAlign w:val="center"/>
          </w:tcPr>
          <w:p w14:paraId="5047679F">
            <w:pPr>
              <w:snapToGrid w:val="0"/>
              <w:spacing w:before="62" w:beforeLines="20" w:after="62" w:afterLines="20" w:line="360" w:lineRule="auto"/>
              <w:jc w:val="center"/>
              <w:rPr>
                <w:rFonts w:ascii="宋体"/>
                <w:b/>
                <w:szCs w:val="21"/>
              </w:rPr>
            </w:pPr>
            <w:r>
              <w:rPr>
                <w:rFonts w:hint="eastAsia" w:ascii="宋体" w:hAnsi="宋体"/>
                <w:b/>
                <w:szCs w:val="21"/>
              </w:rPr>
              <w:t>等级</w:t>
            </w:r>
          </w:p>
        </w:tc>
        <w:tc>
          <w:tcPr>
            <w:tcW w:w="747" w:type="dxa"/>
            <w:vAlign w:val="center"/>
          </w:tcPr>
          <w:p w14:paraId="77118D56">
            <w:pPr>
              <w:snapToGrid w:val="0"/>
              <w:spacing w:before="62" w:beforeLines="20" w:after="62" w:afterLines="20" w:line="360" w:lineRule="auto"/>
              <w:jc w:val="center"/>
              <w:rPr>
                <w:rFonts w:ascii="宋体"/>
                <w:b/>
                <w:szCs w:val="21"/>
              </w:rPr>
            </w:pPr>
            <w:r>
              <w:rPr>
                <w:rFonts w:hint="eastAsia" w:ascii="宋体" w:hAnsi="宋体"/>
                <w:b/>
                <w:szCs w:val="21"/>
              </w:rPr>
              <w:t>性质</w:t>
            </w:r>
          </w:p>
        </w:tc>
      </w:tr>
      <w:tr w14:paraId="54BCC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0DDCFA99">
            <w:pPr>
              <w:spacing w:before="62" w:beforeLines="20" w:after="62" w:afterLines="20"/>
              <w:jc w:val="center"/>
              <w:rPr>
                <w:rFonts w:ascii="宋体"/>
                <w:szCs w:val="21"/>
              </w:rPr>
            </w:pPr>
            <w:r>
              <w:rPr>
                <w:rFonts w:ascii="宋体" w:hAnsi="宋体"/>
                <w:szCs w:val="21"/>
              </w:rPr>
              <w:t>1</w:t>
            </w:r>
          </w:p>
        </w:tc>
        <w:tc>
          <w:tcPr>
            <w:tcW w:w="2923" w:type="dxa"/>
            <w:vAlign w:val="center"/>
          </w:tcPr>
          <w:p w14:paraId="31AD14F8">
            <w:pPr>
              <w:snapToGrid w:val="0"/>
              <w:spacing w:before="62" w:beforeLines="20" w:after="62" w:afterLines="20" w:line="360" w:lineRule="auto"/>
              <w:jc w:val="center"/>
              <w:rPr>
                <w:rFonts w:ascii="宋体"/>
                <w:szCs w:val="21"/>
              </w:rPr>
            </w:pPr>
            <w:r>
              <w:rPr>
                <w:rFonts w:hint="eastAsia" w:ascii="宋体"/>
                <w:szCs w:val="21"/>
              </w:rPr>
              <w:t>“1+X”物流管理证书</w:t>
            </w:r>
          </w:p>
        </w:tc>
        <w:tc>
          <w:tcPr>
            <w:tcW w:w="3570" w:type="dxa"/>
            <w:vAlign w:val="center"/>
          </w:tcPr>
          <w:p w14:paraId="22F7FB92">
            <w:pPr>
              <w:snapToGrid w:val="0"/>
              <w:spacing w:before="62" w:beforeLines="20" w:after="62" w:afterLines="20" w:line="360" w:lineRule="auto"/>
              <w:jc w:val="center"/>
              <w:rPr>
                <w:rFonts w:ascii="宋体"/>
                <w:szCs w:val="21"/>
              </w:rPr>
            </w:pPr>
            <w:r>
              <w:rPr>
                <w:rFonts w:hint="eastAsia" w:ascii="宋体"/>
                <w:szCs w:val="21"/>
              </w:rPr>
              <w:t>北京中物联物流采购培训中心</w:t>
            </w:r>
          </w:p>
        </w:tc>
        <w:tc>
          <w:tcPr>
            <w:tcW w:w="1296" w:type="dxa"/>
            <w:vAlign w:val="center"/>
          </w:tcPr>
          <w:p w14:paraId="78B09072">
            <w:pPr>
              <w:snapToGrid w:val="0"/>
              <w:spacing w:before="62" w:beforeLines="20" w:after="62" w:afterLines="20" w:line="360" w:lineRule="auto"/>
              <w:jc w:val="center"/>
              <w:rPr>
                <w:rFonts w:ascii="宋体"/>
                <w:szCs w:val="21"/>
              </w:rPr>
            </w:pPr>
            <w:r>
              <w:rPr>
                <w:rFonts w:hint="eastAsia" w:ascii="宋体"/>
                <w:sz w:val="18"/>
                <w:szCs w:val="18"/>
              </w:rPr>
              <w:t>初级及以</w:t>
            </w:r>
            <w:r>
              <w:rPr>
                <w:rFonts w:hint="eastAsia" w:ascii="宋体"/>
                <w:szCs w:val="21"/>
              </w:rPr>
              <w:t>上</w:t>
            </w:r>
          </w:p>
        </w:tc>
        <w:tc>
          <w:tcPr>
            <w:tcW w:w="747" w:type="dxa"/>
            <w:vAlign w:val="center"/>
          </w:tcPr>
          <w:p w14:paraId="27689426">
            <w:pPr>
              <w:spacing w:before="62" w:beforeLines="20" w:after="62" w:afterLines="20"/>
              <w:jc w:val="center"/>
              <w:rPr>
                <w:rFonts w:ascii="宋体"/>
                <w:szCs w:val="21"/>
              </w:rPr>
            </w:pPr>
            <w:r>
              <w:rPr>
                <w:rFonts w:hint="eastAsia" w:ascii="宋体" w:hAnsi="宋体"/>
                <w:szCs w:val="21"/>
              </w:rPr>
              <w:t>选取</w:t>
            </w:r>
          </w:p>
        </w:tc>
      </w:tr>
      <w:tr w14:paraId="33E68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6DD0A965">
            <w:pPr>
              <w:snapToGrid w:val="0"/>
              <w:spacing w:before="62" w:beforeLines="20" w:after="62" w:afterLines="20" w:line="360" w:lineRule="auto"/>
              <w:jc w:val="center"/>
              <w:rPr>
                <w:rFonts w:ascii="宋体"/>
                <w:szCs w:val="21"/>
              </w:rPr>
            </w:pPr>
            <w:r>
              <w:rPr>
                <w:rFonts w:hint="eastAsia" w:ascii="宋体"/>
                <w:szCs w:val="21"/>
              </w:rPr>
              <w:t>2</w:t>
            </w:r>
          </w:p>
        </w:tc>
        <w:tc>
          <w:tcPr>
            <w:tcW w:w="2923" w:type="dxa"/>
            <w:vAlign w:val="center"/>
          </w:tcPr>
          <w:p w14:paraId="351B754D">
            <w:pPr>
              <w:snapToGrid w:val="0"/>
              <w:spacing w:before="62" w:beforeLines="20" w:after="62" w:afterLines="20" w:line="360" w:lineRule="auto"/>
              <w:jc w:val="center"/>
              <w:rPr>
                <w:rFonts w:ascii="宋体"/>
                <w:szCs w:val="21"/>
              </w:rPr>
            </w:pPr>
            <w:r>
              <w:rPr>
                <w:rFonts w:ascii="宋体" w:hAnsi="宋体" w:cs="宋体"/>
                <w:sz w:val="24"/>
                <w:szCs w:val="24"/>
              </w:rPr>
              <w:t>国际物流职业资格认</w:t>
            </w:r>
          </w:p>
        </w:tc>
        <w:tc>
          <w:tcPr>
            <w:tcW w:w="3570" w:type="dxa"/>
            <w:vAlign w:val="center"/>
          </w:tcPr>
          <w:p w14:paraId="36F57D66">
            <w:pPr>
              <w:snapToGrid w:val="0"/>
              <w:spacing w:before="62" w:beforeLines="20" w:after="62" w:afterLines="20" w:line="360" w:lineRule="auto"/>
              <w:jc w:val="center"/>
              <w:rPr>
                <w:rFonts w:ascii="宋体"/>
                <w:szCs w:val="21"/>
              </w:rPr>
            </w:pPr>
            <w:r>
              <w:rPr>
                <w:rFonts w:ascii="宋体" w:hAnsi="宋体" w:cs="宋体"/>
                <w:sz w:val="24"/>
                <w:szCs w:val="24"/>
              </w:rPr>
              <w:t>英国皇家物流与运输学会</w:t>
            </w:r>
          </w:p>
        </w:tc>
        <w:tc>
          <w:tcPr>
            <w:tcW w:w="1296" w:type="dxa"/>
            <w:vAlign w:val="center"/>
          </w:tcPr>
          <w:p w14:paraId="39930092">
            <w:pPr>
              <w:snapToGrid w:val="0"/>
              <w:spacing w:before="62" w:beforeLines="20" w:after="62" w:afterLines="20" w:line="360" w:lineRule="auto"/>
              <w:jc w:val="center"/>
              <w:rPr>
                <w:rFonts w:ascii="宋体"/>
                <w:szCs w:val="21"/>
              </w:rPr>
            </w:pPr>
          </w:p>
        </w:tc>
        <w:tc>
          <w:tcPr>
            <w:tcW w:w="747" w:type="dxa"/>
            <w:vAlign w:val="center"/>
          </w:tcPr>
          <w:p w14:paraId="15F0FC7C">
            <w:pPr>
              <w:snapToGrid w:val="0"/>
              <w:spacing w:before="62" w:beforeLines="20" w:after="62" w:afterLines="20" w:line="360" w:lineRule="auto"/>
              <w:jc w:val="center"/>
              <w:rPr>
                <w:rFonts w:ascii="宋体"/>
                <w:szCs w:val="21"/>
              </w:rPr>
            </w:pPr>
            <w:r>
              <w:rPr>
                <w:rFonts w:hint="eastAsia" w:ascii="宋体"/>
                <w:szCs w:val="21"/>
              </w:rPr>
              <w:t>选取</w:t>
            </w:r>
          </w:p>
        </w:tc>
      </w:tr>
      <w:tr w14:paraId="5558C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5A0222C4">
            <w:pPr>
              <w:snapToGrid w:val="0"/>
              <w:spacing w:before="62" w:beforeLines="20" w:after="62" w:afterLines="20" w:line="360" w:lineRule="auto"/>
              <w:jc w:val="center"/>
              <w:rPr>
                <w:rFonts w:ascii="宋体"/>
                <w:szCs w:val="21"/>
              </w:rPr>
            </w:pPr>
            <w:r>
              <w:rPr>
                <w:rFonts w:hint="eastAsia" w:ascii="宋体"/>
                <w:szCs w:val="21"/>
              </w:rPr>
              <w:t>3</w:t>
            </w:r>
          </w:p>
        </w:tc>
        <w:tc>
          <w:tcPr>
            <w:tcW w:w="2923" w:type="dxa"/>
            <w:vAlign w:val="center"/>
          </w:tcPr>
          <w:p w14:paraId="73CB7FBE">
            <w:pPr>
              <w:snapToGrid w:val="0"/>
              <w:spacing w:before="62" w:beforeLines="20" w:after="62" w:afterLines="20" w:line="360" w:lineRule="auto"/>
              <w:jc w:val="center"/>
              <w:rPr>
                <w:rFonts w:ascii="宋体"/>
                <w:szCs w:val="21"/>
              </w:rPr>
            </w:pPr>
            <w:r>
              <w:rPr>
                <w:rFonts w:ascii="宋体" w:hAnsi="宋体" w:cs="宋体"/>
                <w:sz w:val="24"/>
                <w:szCs w:val="24"/>
              </w:rPr>
              <w:t>物流职业经理认证</w:t>
            </w:r>
          </w:p>
        </w:tc>
        <w:tc>
          <w:tcPr>
            <w:tcW w:w="3570" w:type="dxa"/>
            <w:vAlign w:val="center"/>
          </w:tcPr>
          <w:p w14:paraId="3BFCED5C">
            <w:pPr>
              <w:snapToGrid w:val="0"/>
              <w:spacing w:before="62" w:beforeLines="20" w:after="62" w:afterLines="20" w:line="360" w:lineRule="auto"/>
              <w:jc w:val="center"/>
              <w:rPr>
                <w:rFonts w:ascii="宋体"/>
                <w:szCs w:val="21"/>
              </w:rPr>
            </w:pPr>
            <w:r>
              <w:rPr>
                <w:rFonts w:ascii="宋体" w:hAnsi="宋体" w:cs="宋体"/>
                <w:sz w:val="24"/>
                <w:szCs w:val="24"/>
              </w:rPr>
              <w:t>中国物流与采购联合会</w:t>
            </w:r>
          </w:p>
        </w:tc>
        <w:tc>
          <w:tcPr>
            <w:tcW w:w="1296" w:type="dxa"/>
            <w:vAlign w:val="center"/>
          </w:tcPr>
          <w:p w14:paraId="7E319B60">
            <w:pPr>
              <w:snapToGrid w:val="0"/>
              <w:spacing w:before="62" w:beforeLines="20" w:after="62" w:afterLines="20" w:line="360" w:lineRule="auto"/>
              <w:jc w:val="center"/>
              <w:rPr>
                <w:rFonts w:ascii="宋体"/>
                <w:szCs w:val="21"/>
              </w:rPr>
            </w:pPr>
            <w:r>
              <w:rPr>
                <w:rFonts w:hint="eastAsia" w:ascii="宋体"/>
                <w:szCs w:val="21"/>
              </w:rPr>
              <w:t>初级、中级</w:t>
            </w:r>
          </w:p>
        </w:tc>
        <w:tc>
          <w:tcPr>
            <w:tcW w:w="747" w:type="dxa"/>
            <w:vAlign w:val="center"/>
          </w:tcPr>
          <w:p w14:paraId="0C1802E8">
            <w:pPr>
              <w:spacing w:before="62" w:beforeLines="20" w:after="62" w:afterLines="20"/>
              <w:jc w:val="center"/>
              <w:rPr>
                <w:rFonts w:ascii="宋体"/>
                <w:szCs w:val="21"/>
              </w:rPr>
            </w:pPr>
            <w:r>
              <w:rPr>
                <w:rFonts w:hint="eastAsia" w:ascii="宋体" w:hAnsi="宋体"/>
                <w:szCs w:val="21"/>
              </w:rPr>
              <w:t>选取</w:t>
            </w:r>
          </w:p>
        </w:tc>
      </w:tr>
      <w:tr w14:paraId="39F55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060953EE">
            <w:pPr>
              <w:snapToGrid w:val="0"/>
              <w:spacing w:before="62" w:beforeLines="20" w:after="62" w:afterLines="20" w:line="360" w:lineRule="auto"/>
              <w:jc w:val="center"/>
              <w:rPr>
                <w:rFonts w:ascii="宋体"/>
                <w:szCs w:val="21"/>
              </w:rPr>
            </w:pPr>
            <w:r>
              <w:rPr>
                <w:rFonts w:hint="eastAsia" w:ascii="宋体"/>
                <w:szCs w:val="21"/>
              </w:rPr>
              <w:t>4</w:t>
            </w:r>
          </w:p>
        </w:tc>
        <w:tc>
          <w:tcPr>
            <w:tcW w:w="2923" w:type="dxa"/>
            <w:vAlign w:val="center"/>
          </w:tcPr>
          <w:p w14:paraId="6914E500">
            <w:pPr>
              <w:snapToGrid w:val="0"/>
              <w:spacing w:before="62" w:beforeLines="20" w:after="62" w:afterLines="20" w:line="360" w:lineRule="auto"/>
              <w:jc w:val="center"/>
              <w:rPr>
                <w:rFonts w:ascii="宋体"/>
                <w:szCs w:val="21"/>
              </w:rPr>
            </w:pPr>
            <w:r>
              <w:rPr>
                <w:rFonts w:ascii="宋体" w:hAnsi="宋体" w:cs="宋体"/>
                <w:sz w:val="24"/>
                <w:szCs w:val="24"/>
              </w:rPr>
              <w:t>物流职业资格认证</w:t>
            </w:r>
          </w:p>
        </w:tc>
        <w:tc>
          <w:tcPr>
            <w:tcW w:w="3570" w:type="dxa"/>
            <w:vAlign w:val="center"/>
          </w:tcPr>
          <w:p w14:paraId="044D6CEF">
            <w:pPr>
              <w:snapToGrid w:val="0"/>
              <w:spacing w:before="62" w:beforeLines="20" w:after="62" w:afterLines="20" w:line="360" w:lineRule="auto"/>
              <w:jc w:val="center"/>
              <w:rPr>
                <w:rFonts w:ascii="宋体"/>
                <w:szCs w:val="21"/>
              </w:rPr>
            </w:pPr>
            <w:r>
              <w:rPr>
                <w:rFonts w:ascii="宋体" w:hAnsi="宋体" w:cs="宋体"/>
                <w:sz w:val="24"/>
                <w:szCs w:val="24"/>
              </w:rPr>
              <w:t>中国商业技师协会市场营销专业委员会</w:t>
            </w:r>
          </w:p>
        </w:tc>
        <w:tc>
          <w:tcPr>
            <w:tcW w:w="1296" w:type="dxa"/>
            <w:vAlign w:val="center"/>
          </w:tcPr>
          <w:p w14:paraId="71DBED01">
            <w:pPr>
              <w:snapToGrid w:val="0"/>
              <w:spacing w:before="62" w:beforeLines="20" w:after="62" w:afterLines="20" w:line="360" w:lineRule="auto"/>
              <w:jc w:val="center"/>
              <w:rPr>
                <w:rFonts w:ascii="宋体"/>
                <w:szCs w:val="21"/>
              </w:rPr>
            </w:pPr>
          </w:p>
        </w:tc>
        <w:tc>
          <w:tcPr>
            <w:tcW w:w="747" w:type="dxa"/>
            <w:vAlign w:val="center"/>
          </w:tcPr>
          <w:p w14:paraId="2ACB001F">
            <w:pPr>
              <w:snapToGrid w:val="0"/>
              <w:spacing w:before="62" w:beforeLines="20" w:after="62" w:afterLines="20" w:line="360" w:lineRule="auto"/>
              <w:jc w:val="center"/>
              <w:rPr>
                <w:rFonts w:ascii="宋体"/>
                <w:szCs w:val="21"/>
              </w:rPr>
            </w:pPr>
            <w:r>
              <w:rPr>
                <w:rFonts w:hint="eastAsia" w:ascii="宋体"/>
                <w:szCs w:val="21"/>
              </w:rPr>
              <w:t>选取</w:t>
            </w:r>
          </w:p>
        </w:tc>
      </w:tr>
      <w:tr w14:paraId="0FFB7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1170349C">
            <w:pPr>
              <w:snapToGrid w:val="0"/>
              <w:spacing w:before="62" w:beforeLines="20" w:after="62" w:afterLines="20" w:line="360" w:lineRule="auto"/>
              <w:jc w:val="center"/>
              <w:rPr>
                <w:rFonts w:ascii="宋体"/>
                <w:szCs w:val="21"/>
              </w:rPr>
            </w:pPr>
            <w:r>
              <w:rPr>
                <w:rFonts w:hint="eastAsia" w:ascii="宋体"/>
                <w:szCs w:val="21"/>
              </w:rPr>
              <w:t>5</w:t>
            </w:r>
          </w:p>
        </w:tc>
        <w:tc>
          <w:tcPr>
            <w:tcW w:w="2923" w:type="dxa"/>
            <w:vAlign w:val="center"/>
          </w:tcPr>
          <w:p w14:paraId="2D5B10B1">
            <w:pPr>
              <w:snapToGrid w:val="0"/>
              <w:spacing w:before="62" w:beforeLines="20" w:after="62" w:afterLines="20" w:line="360" w:lineRule="auto"/>
              <w:jc w:val="center"/>
              <w:rPr>
                <w:rFonts w:hint="eastAsia" w:ascii="宋体" w:hAnsi="宋体" w:cs="宋体"/>
                <w:sz w:val="24"/>
                <w:szCs w:val="24"/>
              </w:rPr>
            </w:pPr>
            <w:r>
              <w:rPr>
                <w:rFonts w:hint="eastAsia" w:ascii="宋体" w:hAnsi="宋体" w:cs="宋体"/>
                <w:sz w:val="24"/>
                <w:szCs w:val="24"/>
              </w:rPr>
              <w:t>物流师、助理物流师</w:t>
            </w:r>
          </w:p>
        </w:tc>
        <w:tc>
          <w:tcPr>
            <w:tcW w:w="3570" w:type="dxa"/>
            <w:vAlign w:val="center"/>
          </w:tcPr>
          <w:p w14:paraId="542F6472">
            <w:pPr>
              <w:snapToGrid w:val="0"/>
              <w:spacing w:before="62" w:beforeLines="20" w:after="62" w:afterLines="20" w:line="360" w:lineRule="auto"/>
              <w:jc w:val="center"/>
              <w:rPr>
                <w:rFonts w:hint="eastAsia" w:ascii="宋体" w:hAnsi="宋体" w:cs="宋体"/>
                <w:sz w:val="24"/>
                <w:szCs w:val="24"/>
              </w:rPr>
            </w:pPr>
            <w:r>
              <w:rPr>
                <w:rFonts w:hint="eastAsia" w:ascii="宋体" w:hAnsi="宋体" w:cs="宋体"/>
                <w:sz w:val="24"/>
                <w:szCs w:val="24"/>
              </w:rPr>
              <w:t>人力资源和社会保障部</w:t>
            </w:r>
          </w:p>
        </w:tc>
        <w:tc>
          <w:tcPr>
            <w:tcW w:w="1296" w:type="dxa"/>
            <w:vAlign w:val="center"/>
          </w:tcPr>
          <w:p w14:paraId="2189D4F1">
            <w:pPr>
              <w:snapToGrid w:val="0"/>
              <w:spacing w:before="62" w:beforeLines="20" w:after="62" w:afterLines="20" w:line="360" w:lineRule="auto"/>
              <w:rPr>
                <w:rFonts w:ascii="宋体"/>
                <w:szCs w:val="21"/>
              </w:rPr>
            </w:pPr>
            <w:r>
              <w:rPr>
                <w:rFonts w:hint="eastAsia" w:ascii="宋体"/>
                <w:szCs w:val="21"/>
              </w:rPr>
              <w:t>初级、中级</w:t>
            </w:r>
          </w:p>
        </w:tc>
        <w:tc>
          <w:tcPr>
            <w:tcW w:w="747" w:type="dxa"/>
            <w:vAlign w:val="center"/>
          </w:tcPr>
          <w:p w14:paraId="6C9572EF">
            <w:pPr>
              <w:snapToGrid w:val="0"/>
              <w:spacing w:before="62" w:beforeLines="20" w:after="62" w:afterLines="20" w:line="360" w:lineRule="auto"/>
              <w:jc w:val="center"/>
              <w:rPr>
                <w:rFonts w:ascii="宋体"/>
                <w:szCs w:val="21"/>
              </w:rPr>
            </w:pPr>
            <w:r>
              <w:rPr>
                <w:rFonts w:hint="eastAsia" w:ascii="宋体"/>
                <w:szCs w:val="21"/>
              </w:rPr>
              <w:t>选取</w:t>
            </w:r>
          </w:p>
        </w:tc>
      </w:tr>
      <w:tr w14:paraId="4495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6006052B">
            <w:pPr>
              <w:snapToGrid w:val="0"/>
              <w:spacing w:before="62" w:beforeLines="20" w:after="62" w:afterLines="20" w:line="360" w:lineRule="auto"/>
              <w:jc w:val="center"/>
              <w:rPr>
                <w:rFonts w:ascii="宋体"/>
                <w:szCs w:val="21"/>
              </w:rPr>
            </w:pPr>
            <w:r>
              <w:rPr>
                <w:rFonts w:hint="eastAsia" w:ascii="宋体"/>
                <w:szCs w:val="21"/>
              </w:rPr>
              <w:t>6</w:t>
            </w:r>
          </w:p>
        </w:tc>
        <w:tc>
          <w:tcPr>
            <w:tcW w:w="2923" w:type="dxa"/>
            <w:vAlign w:val="center"/>
          </w:tcPr>
          <w:p w14:paraId="1BC21535">
            <w:pPr>
              <w:snapToGrid w:val="0"/>
              <w:spacing w:before="62" w:beforeLines="20" w:after="62" w:afterLines="20" w:line="360" w:lineRule="auto"/>
              <w:jc w:val="center"/>
              <w:rPr>
                <w:rFonts w:ascii="宋体"/>
                <w:color w:val="000000"/>
                <w:szCs w:val="21"/>
              </w:rPr>
            </w:pPr>
            <w:r>
              <w:rPr>
                <w:rFonts w:hint="eastAsia" w:ascii="宋体"/>
                <w:color w:val="000000"/>
                <w:szCs w:val="21"/>
              </w:rPr>
              <w:t>电子商务师</w:t>
            </w:r>
          </w:p>
        </w:tc>
        <w:tc>
          <w:tcPr>
            <w:tcW w:w="3570" w:type="dxa"/>
            <w:vAlign w:val="center"/>
          </w:tcPr>
          <w:p w14:paraId="74A2B58B">
            <w:pPr>
              <w:snapToGrid w:val="0"/>
              <w:spacing w:before="62" w:beforeLines="20" w:after="62" w:afterLines="20" w:line="360" w:lineRule="auto"/>
              <w:jc w:val="center"/>
              <w:rPr>
                <w:rFonts w:ascii="宋体"/>
                <w:color w:val="000000"/>
                <w:szCs w:val="21"/>
              </w:rPr>
            </w:pPr>
            <w:r>
              <w:rPr>
                <w:rFonts w:hint="eastAsia" w:ascii="宋体"/>
                <w:color w:val="000000"/>
                <w:szCs w:val="21"/>
              </w:rPr>
              <w:t>中国轻工业联合会</w:t>
            </w:r>
          </w:p>
        </w:tc>
        <w:tc>
          <w:tcPr>
            <w:tcW w:w="1296" w:type="dxa"/>
            <w:vAlign w:val="center"/>
          </w:tcPr>
          <w:p w14:paraId="5BC7EDA7">
            <w:pPr>
              <w:snapToGrid w:val="0"/>
              <w:spacing w:before="62" w:beforeLines="20" w:after="62" w:afterLines="20" w:line="360" w:lineRule="auto"/>
              <w:jc w:val="center"/>
              <w:rPr>
                <w:rFonts w:ascii="宋体"/>
                <w:color w:val="000000"/>
                <w:szCs w:val="21"/>
              </w:rPr>
            </w:pPr>
            <w:r>
              <w:rPr>
                <w:rFonts w:hint="eastAsia" w:ascii="宋体"/>
                <w:color w:val="000000"/>
                <w:szCs w:val="21"/>
              </w:rPr>
              <w:t>中级</w:t>
            </w:r>
          </w:p>
        </w:tc>
        <w:tc>
          <w:tcPr>
            <w:tcW w:w="747" w:type="dxa"/>
            <w:vAlign w:val="center"/>
          </w:tcPr>
          <w:p w14:paraId="5DD1472B">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bl>
    <w:p w14:paraId="68934159">
      <w:pPr>
        <w:snapToGrid w:val="0"/>
        <w:spacing w:line="460" w:lineRule="exact"/>
      </w:pPr>
    </w:p>
    <w:p w14:paraId="1D1D65A3">
      <w:pPr>
        <w:pStyle w:val="2"/>
        <w:ind w:firstLine="562"/>
        <w:rPr>
          <w:rFonts w:hint="eastAsia" w:ascii="黑体" w:hAnsi="黑体" w:eastAsia="黑体"/>
          <w:b/>
          <w:sz w:val="28"/>
          <w:szCs w:val="28"/>
          <w:lang w:val="en-US"/>
        </w:rPr>
      </w:pPr>
    </w:p>
    <w:bookmarkEnd w:id="100"/>
    <w:bookmarkEnd w:id="101"/>
    <w:bookmarkEnd w:id="102"/>
    <w:bookmarkEnd w:id="103"/>
    <w:p w14:paraId="461B4B69">
      <w:pPr>
        <w:widowControl/>
        <w:spacing w:line="360" w:lineRule="auto"/>
        <w:jc w:val="center"/>
        <w:rPr>
          <w:rFonts w:ascii="黑体" w:eastAsia="黑体"/>
          <w:b/>
          <w:sz w:val="32"/>
          <w:szCs w:val="32"/>
        </w:rPr>
      </w:pPr>
      <w:bookmarkStart w:id="104" w:name="_Toc8605"/>
      <w:bookmarkStart w:id="105" w:name="_Toc23437"/>
      <w:bookmarkStart w:id="106" w:name="_Toc250303994"/>
      <w:bookmarkStart w:id="107" w:name="_Toc247938568"/>
      <w:bookmarkStart w:id="108" w:name="_Toc236792858"/>
      <w:bookmarkStart w:id="109" w:name="_Toc250214105"/>
      <w:bookmarkStart w:id="110" w:name="_Toc250309254"/>
      <w:bookmarkStart w:id="111" w:name="_Toc256671359"/>
      <w:bookmarkStart w:id="112" w:name="_Toc247603966"/>
      <w:bookmarkStart w:id="113" w:name="_Toc245712635"/>
      <w:bookmarkStart w:id="114" w:name="_Toc250748232"/>
      <w:r>
        <w:rPr>
          <w:rFonts w:hint="eastAsia" w:ascii="黑体" w:eastAsia="黑体"/>
          <w:b/>
          <w:sz w:val="32"/>
          <w:szCs w:val="32"/>
        </w:rPr>
        <w:t>现代物流管理专业人才培养调研报告调研报告</w:t>
      </w:r>
    </w:p>
    <w:p w14:paraId="3876DBD1">
      <w:pPr>
        <w:widowControl/>
        <w:spacing w:line="360" w:lineRule="auto"/>
        <w:ind w:firstLine="600" w:firstLineChars="200"/>
        <w:jc w:val="left"/>
        <w:rPr>
          <w:rFonts w:ascii="黑体" w:eastAsia="黑体"/>
          <w:sz w:val="30"/>
          <w:szCs w:val="30"/>
        </w:rPr>
      </w:pPr>
      <w:r>
        <w:rPr>
          <w:rFonts w:hint="eastAsia" w:ascii="黑体" w:eastAsia="黑体"/>
          <w:sz w:val="30"/>
          <w:szCs w:val="30"/>
        </w:rPr>
        <w:t>一、调研概述</w:t>
      </w:r>
    </w:p>
    <w:p w14:paraId="012F9530">
      <w:pPr>
        <w:widowControl/>
        <w:spacing w:line="360" w:lineRule="auto"/>
        <w:ind w:firstLine="480" w:firstLineChars="200"/>
        <w:jc w:val="left"/>
        <w:rPr>
          <w:sz w:val="24"/>
        </w:rPr>
      </w:pPr>
      <w:r>
        <w:rPr>
          <w:rFonts w:hint="eastAsia"/>
          <w:sz w:val="24"/>
        </w:rPr>
        <w:t>1、</w:t>
      </w:r>
      <w:r>
        <w:rPr>
          <w:sz w:val="24"/>
        </w:rPr>
        <w:t>专业背景调研</w:t>
      </w:r>
    </w:p>
    <w:p w14:paraId="3F81D40A">
      <w:pPr>
        <w:widowControl/>
        <w:spacing w:line="360" w:lineRule="auto"/>
        <w:ind w:firstLine="480" w:firstLineChars="200"/>
        <w:jc w:val="left"/>
        <w:rPr>
          <w:sz w:val="24"/>
        </w:rPr>
      </w:pPr>
      <w:r>
        <w:rPr>
          <w:rFonts w:hint="eastAsia"/>
          <w:sz w:val="24"/>
        </w:rPr>
        <w:t>随着我国进入新的发展阶段，产业升级和经济结构调整不断加快，各行各业对技术技能人才的需求越来越紧迫，尤其是隶属于服务业的物业管理行业，作为国民经济的支柱性产业，其重要作用不言而喻，物业管理职业教育培养的是未来物业管理行业从业人员，其重要地位和作用越来越凸显。从国务院印发的《国家职业教育改革实施方案》中我们可以看出，目前高职教育与建设现代化经济体系和教育强国的目标对比，还是有大的差距：职教体系不完善、职教制度和标准不健全、实训实习基地建设不到位、校企合作不够深入、办学和人才培养的质量水平参差不齐、政策推动技术技能型人才成长的力度不够、企业参与“双元”育人的动力不足等等问题。方案当中还明示了高等职业教育的专业设置和课程体系建设要与行业需求对接和匹配，课程的内容与岗位标准对接和匹配，教学过程与工作过程对接和匹配，从这个方向对高职人才培养及专业改革。基于此，为促进产教融合校企“双元”育人的目标，笔者就所从事的物业管理专业教学工作为此开展高职院校物业管理专业人才需求与专业改革调研。</w:t>
      </w:r>
    </w:p>
    <w:p w14:paraId="7F94F360">
      <w:pPr>
        <w:widowControl/>
        <w:spacing w:line="360" w:lineRule="auto"/>
        <w:jc w:val="left"/>
        <w:rPr>
          <w:sz w:val="24"/>
        </w:rPr>
      </w:pPr>
      <w:r>
        <w:drawing>
          <wp:anchor distT="0" distB="0" distL="114300" distR="114300" simplePos="0" relativeHeight="251700224" behindDoc="0" locked="0" layoutInCell="1" allowOverlap="1">
            <wp:simplePos x="0" y="0"/>
            <wp:positionH relativeFrom="column">
              <wp:posOffset>1243330</wp:posOffset>
            </wp:positionH>
            <wp:positionV relativeFrom="paragraph">
              <wp:posOffset>137160</wp:posOffset>
            </wp:positionV>
            <wp:extent cx="3515995" cy="1574800"/>
            <wp:effectExtent l="0" t="0" r="8255" b="6350"/>
            <wp:wrapNone/>
            <wp:docPr id="1" name="图片 2" descr="src=http___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src=http___img"/>
                    <pic:cNvPicPr>
                      <a:picLocks noChangeAspect="1"/>
                    </pic:cNvPicPr>
                  </pic:nvPicPr>
                  <pic:blipFill>
                    <a:blip r:embed="rId8" cstate="print"/>
                    <a:stretch>
                      <a:fillRect/>
                    </a:stretch>
                  </pic:blipFill>
                  <pic:spPr>
                    <a:xfrm>
                      <a:off x="0" y="0"/>
                      <a:ext cx="3515995" cy="1574800"/>
                    </a:xfrm>
                    <a:prstGeom prst="rect">
                      <a:avLst/>
                    </a:prstGeom>
                    <a:noFill/>
                    <a:ln>
                      <a:noFill/>
                    </a:ln>
                  </pic:spPr>
                </pic:pic>
              </a:graphicData>
            </a:graphic>
          </wp:anchor>
        </w:drawing>
      </w:r>
    </w:p>
    <w:p w14:paraId="35A0F947">
      <w:pPr>
        <w:widowControl/>
        <w:spacing w:line="360" w:lineRule="auto"/>
        <w:jc w:val="left"/>
        <w:rPr>
          <w:sz w:val="24"/>
        </w:rPr>
      </w:pPr>
    </w:p>
    <w:p w14:paraId="45CDDAA9">
      <w:pPr>
        <w:widowControl/>
        <w:spacing w:line="360" w:lineRule="auto"/>
        <w:jc w:val="left"/>
        <w:rPr>
          <w:sz w:val="24"/>
        </w:rPr>
      </w:pPr>
    </w:p>
    <w:p w14:paraId="7883D5D8">
      <w:pPr>
        <w:widowControl/>
        <w:spacing w:line="360" w:lineRule="auto"/>
        <w:jc w:val="left"/>
        <w:rPr>
          <w:sz w:val="24"/>
        </w:rPr>
      </w:pPr>
    </w:p>
    <w:p w14:paraId="17A02F37">
      <w:pPr>
        <w:widowControl/>
        <w:spacing w:line="360" w:lineRule="auto"/>
        <w:jc w:val="left"/>
        <w:rPr>
          <w:sz w:val="24"/>
        </w:rPr>
      </w:pPr>
    </w:p>
    <w:p w14:paraId="2AF371BD">
      <w:pPr>
        <w:widowControl/>
        <w:spacing w:line="360" w:lineRule="auto"/>
        <w:jc w:val="left"/>
        <w:rPr>
          <w:sz w:val="24"/>
        </w:rPr>
      </w:pPr>
    </w:p>
    <w:p w14:paraId="3F9FF7CF">
      <w:pPr>
        <w:widowControl/>
        <w:spacing w:line="360" w:lineRule="auto"/>
        <w:ind w:firstLine="480" w:firstLineChars="200"/>
        <w:jc w:val="left"/>
        <w:rPr>
          <w:sz w:val="24"/>
        </w:rPr>
      </w:pPr>
      <w:r>
        <w:rPr>
          <w:rFonts w:hint="eastAsia"/>
          <w:sz w:val="24"/>
        </w:rPr>
        <w:t>高速发展的物流产业需要大量物流经营管理人才，而我国高等教育领域，物流学科从2001年才真正起步，在人才培养规模和质量上，还远不能满足社会对物流人才的巨大需求。时下，物流人才瓶颈已经成为阻碍物流产业继续发展的关键因素。</w:t>
      </w:r>
    </w:p>
    <w:p w14:paraId="352F0613">
      <w:pPr>
        <w:widowControl/>
        <w:spacing w:line="360" w:lineRule="auto"/>
        <w:ind w:firstLine="480" w:firstLineChars="200"/>
        <w:jc w:val="left"/>
        <w:rPr>
          <w:sz w:val="24"/>
        </w:rPr>
      </w:pPr>
      <w:r>
        <w:rPr>
          <w:rFonts w:hint="eastAsia"/>
          <w:sz w:val="24"/>
        </w:rPr>
        <w:t>自德州科技职业学院提出建设全国一流的高职院校目标以来，专业建设和课程改革已成为各部门工作重点，这就要求物流专业人才培养方案也必须进行持续不断的改进。</w:t>
      </w:r>
    </w:p>
    <w:p w14:paraId="1618D161">
      <w:pPr>
        <w:widowControl/>
        <w:spacing w:line="360" w:lineRule="auto"/>
        <w:ind w:firstLine="480" w:firstLineChars="200"/>
        <w:jc w:val="left"/>
        <w:rPr>
          <w:sz w:val="24"/>
        </w:rPr>
      </w:pPr>
      <w:r>
        <w:rPr>
          <w:rFonts w:hint="eastAsia"/>
          <w:sz w:val="24"/>
        </w:rPr>
        <w:t>我院现代物流管理专业在现代物流管理专业实训室建设也已初见成效，正是加快人才培养模式变革的有利时机。</w:t>
      </w:r>
    </w:p>
    <w:p w14:paraId="16319C1D">
      <w:pPr>
        <w:widowControl/>
        <w:spacing w:line="360" w:lineRule="auto"/>
        <w:ind w:firstLine="480" w:firstLineChars="200"/>
        <w:jc w:val="left"/>
        <w:rPr>
          <w:sz w:val="24"/>
        </w:rPr>
      </w:pPr>
      <w:r>
        <w:rPr>
          <w:rFonts w:hint="eastAsia"/>
          <w:sz w:val="24"/>
        </w:rPr>
        <w:t>2、</w:t>
      </w:r>
      <w:r>
        <w:rPr>
          <w:sz w:val="24"/>
        </w:rPr>
        <w:t>专业人才需求调研</w:t>
      </w:r>
    </w:p>
    <w:p w14:paraId="6C0F5B74">
      <w:pPr>
        <w:widowControl/>
        <w:shd w:val="clear" w:color="auto" w:fill="FFFFFF"/>
        <w:spacing w:line="360" w:lineRule="auto"/>
        <w:ind w:firstLine="480" w:firstLineChars="200"/>
        <w:rPr>
          <w:rFonts w:ascii="宋体" w:hAnsi="宋体" w:cs="宋体"/>
          <w:kern w:val="0"/>
          <w:sz w:val="24"/>
        </w:rPr>
      </w:pPr>
      <w:r>
        <w:rPr>
          <w:rFonts w:hint="eastAsia" w:ascii="宋体" w:hAnsi="宋体" w:cs="宋体"/>
          <w:color w:val="000000"/>
          <w:kern w:val="0"/>
          <w:sz w:val="24"/>
        </w:rPr>
        <w:t>为了更好的了解企业对物流专业人才需求，我们需要进行人才需求调研。主要调研内容为：（</w:t>
      </w:r>
      <w:r>
        <w:rPr>
          <w:rFonts w:ascii="宋体" w:hAnsi="宋体" w:cs="宋体"/>
          <w:kern w:val="0"/>
          <w:sz w:val="24"/>
        </w:rPr>
        <w:t>1）目前人才市场供需情况，包括技术职业工种的供求，学生对专业认可度，实际胜任者的数量等；（2）评估未来3至5年的供需趋向；（3）有关职业岗位的性质、职责、内涵、条件、环境、待遇等资料；（4）目前专业课程设置及课程内涵是否与市场需求相一致</w:t>
      </w:r>
      <w:r>
        <w:rPr>
          <w:rFonts w:hint="eastAsia" w:ascii="宋体" w:hAnsi="宋体" w:cs="宋体"/>
          <w:kern w:val="0"/>
          <w:sz w:val="24"/>
        </w:rPr>
        <w:t>。</w:t>
      </w:r>
    </w:p>
    <w:p w14:paraId="65BA4A36">
      <w:pPr>
        <w:widowControl/>
        <w:shd w:val="clear" w:color="auto" w:fill="FFFFFF"/>
        <w:spacing w:line="360" w:lineRule="auto"/>
        <w:ind w:firstLine="480" w:firstLineChars="200"/>
        <w:rPr>
          <w:rFonts w:ascii="宋体" w:hAnsi="宋体" w:cs="宋体"/>
          <w:kern w:val="0"/>
          <w:sz w:val="24"/>
        </w:rPr>
      </w:pPr>
      <w:r>
        <w:rPr>
          <w:rFonts w:hint="eastAsia" w:ascii="宋体" w:hAnsi="宋体" w:cs="宋体"/>
          <w:kern w:val="0"/>
          <w:sz w:val="24"/>
        </w:rPr>
        <w:t>3、</w:t>
      </w:r>
      <w:r>
        <w:rPr>
          <w:rFonts w:ascii="宋体" w:hAnsi="宋体" w:cs="宋体"/>
          <w:kern w:val="0"/>
          <w:sz w:val="24"/>
        </w:rPr>
        <w:t>典型工作任务调研</w:t>
      </w:r>
    </w:p>
    <w:p w14:paraId="3B0F443C">
      <w:pPr>
        <w:widowControl/>
        <w:spacing w:line="360" w:lineRule="auto"/>
        <w:ind w:firstLine="480" w:firstLineChars="200"/>
        <w:jc w:val="left"/>
        <w:rPr>
          <w:sz w:val="24"/>
        </w:rPr>
      </w:pPr>
      <w:r>
        <w:rPr>
          <w:rFonts w:hint="eastAsia"/>
          <w:sz w:val="24"/>
        </w:rPr>
        <w:t>为了更好的满足社会对物流人才的需求，也为了现代物流管理专业毕业生能更好的适应企业，适应社会，我们需要了解各个不同类型的物流企业的典型的工作主要有哪一些。为了更全面的了解社会需求，我们分别对山东省地区的商贸物流、第三方物流、国际物流、及其他的物流企业等2万多家物流企业的中高层岗位的典型工作进行了试卷调查，并对此进行分析。</w:t>
      </w:r>
    </w:p>
    <w:tbl>
      <w:tblPr>
        <w:tblStyle w:val="24"/>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3420"/>
        <w:gridCol w:w="3060"/>
      </w:tblGrid>
      <w:tr w14:paraId="06CD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vAlign w:val="center"/>
          </w:tcPr>
          <w:p w14:paraId="5517C771">
            <w:pPr>
              <w:shd w:val="clear" w:color="auto" w:fill="FFFFFF"/>
              <w:spacing w:line="360" w:lineRule="exact"/>
              <w:jc w:val="center"/>
              <w:rPr>
                <w:rFonts w:ascii="宋体" w:hAnsi="宋体"/>
                <w:b/>
                <w:szCs w:val="21"/>
              </w:rPr>
            </w:pPr>
            <w:r>
              <w:rPr>
                <w:rFonts w:hint="eastAsia" w:ascii="宋体" w:hAnsi="宋体"/>
                <w:b/>
                <w:szCs w:val="21"/>
              </w:rPr>
              <w:t>企业类型</w:t>
            </w:r>
          </w:p>
        </w:tc>
        <w:tc>
          <w:tcPr>
            <w:tcW w:w="3420" w:type="dxa"/>
          </w:tcPr>
          <w:p w14:paraId="65A5A42D">
            <w:pPr>
              <w:shd w:val="clear" w:color="auto" w:fill="FFFFFF"/>
              <w:spacing w:line="360" w:lineRule="exact"/>
              <w:jc w:val="center"/>
              <w:rPr>
                <w:rFonts w:ascii="宋体" w:hAnsi="宋体"/>
                <w:b/>
                <w:szCs w:val="21"/>
              </w:rPr>
            </w:pPr>
            <w:r>
              <w:rPr>
                <w:rFonts w:hint="eastAsia" w:ascii="宋体" w:hAnsi="宋体"/>
                <w:b/>
                <w:szCs w:val="21"/>
              </w:rPr>
              <w:t>初级岗位</w:t>
            </w:r>
          </w:p>
        </w:tc>
        <w:tc>
          <w:tcPr>
            <w:tcW w:w="3060" w:type="dxa"/>
          </w:tcPr>
          <w:p w14:paraId="5608A1E2">
            <w:pPr>
              <w:shd w:val="clear" w:color="auto" w:fill="FFFFFF"/>
              <w:spacing w:line="360" w:lineRule="exact"/>
              <w:jc w:val="center"/>
              <w:rPr>
                <w:rFonts w:ascii="宋体" w:hAnsi="宋体"/>
                <w:b/>
                <w:szCs w:val="21"/>
              </w:rPr>
            </w:pPr>
            <w:r>
              <w:rPr>
                <w:rFonts w:hint="eastAsia" w:ascii="宋体" w:hAnsi="宋体"/>
                <w:b/>
                <w:szCs w:val="21"/>
              </w:rPr>
              <w:t>成长岗位（2－3年）</w:t>
            </w:r>
          </w:p>
        </w:tc>
      </w:tr>
      <w:tr w14:paraId="5F86A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vAlign w:val="center"/>
          </w:tcPr>
          <w:p w14:paraId="1DFE9387">
            <w:pPr>
              <w:shd w:val="clear" w:color="auto" w:fill="FFFFFF"/>
              <w:spacing w:line="360" w:lineRule="exact"/>
              <w:jc w:val="center"/>
              <w:rPr>
                <w:rFonts w:ascii="宋体" w:hAnsi="宋体"/>
                <w:szCs w:val="21"/>
              </w:rPr>
            </w:pPr>
            <w:r>
              <w:rPr>
                <w:rFonts w:hint="eastAsia" w:ascii="宋体" w:hAnsi="宋体"/>
                <w:szCs w:val="21"/>
              </w:rPr>
              <w:t>第三方物流企业</w:t>
            </w:r>
          </w:p>
        </w:tc>
        <w:tc>
          <w:tcPr>
            <w:tcW w:w="3420" w:type="dxa"/>
          </w:tcPr>
          <w:p w14:paraId="45628DCD">
            <w:pPr>
              <w:shd w:val="clear" w:color="auto" w:fill="FFFFFF"/>
              <w:spacing w:line="360" w:lineRule="exact"/>
              <w:rPr>
                <w:rFonts w:ascii="宋体" w:hAnsi="宋体"/>
                <w:szCs w:val="21"/>
              </w:rPr>
            </w:pPr>
            <w:r>
              <w:rPr>
                <w:rFonts w:hint="eastAsia" w:ascii="宋体" w:hAnsi="宋体"/>
                <w:szCs w:val="21"/>
              </w:rPr>
              <w:t>物流市场开发人员、仓储管理员、车辆调度员、物流信息处理员、客户关系管理员、行政管理员</w:t>
            </w:r>
          </w:p>
        </w:tc>
        <w:tc>
          <w:tcPr>
            <w:tcW w:w="3060" w:type="dxa"/>
          </w:tcPr>
          <w:p w14:paraId="4A0061FD">
            <w:pPr>
              <w:shd w:val="clear" w:color="auto" w:fill="FFFFFF"/>
              <w:spacing w:line="360" w:lineRule="exact"/>
              <w:rPr>
                <w:rFonts w:ascii="宋体" w:hAnsi="宋体"/>
                <w:szCs w:val="21"/>
              </w:rPr>
            </w:pPr>
            <w:r>
              <w:rPr>
                <w:rFonts w:hint="eastAsia" w:ascii="宋体" w:hAnsi="宋体"/>
                <w:szCs w:val="21"/>
              </w:rPr>
              <w:t>市场部主管、仓储主管（经理）、运输主管、分公司（办事处）经理</w:t>
            </w:r>
          </w:p>
        </w:tc>
      </w:tr>
      <w:tr w14:paraId="46754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vAlign w:val="center"/>
          </w:tcPr>
          <w:p w14:paraId="6CD62E87">
            <w:pPr>
              <w:shd w:val="clear" w:color="auto" w:fill="FFFFFF"/>
              <w:spacing w:line="360" w:lineRule="exact"/>
              <w:jc w:val="center"/>
              <w:rPr>
                <w:rFonts w:ascii="宋体" w:hAnsi="宋体"/>
                <w:szCs w:val="21"/>
              </w:rPr>
            </w:pPr>
            <w:r>
              <w:rPr>
                <w:rFonts w:hint="eastAsia" w:ascii="宋体" w:hAnsi="宋体"/>
                <w:szCs w:val="21"/>
              </w:rPr>
              <w:t>生产企业物流部门</w:t>
            </w:r>
          </w:p>
        </w:tc>
        <w:tc>
          <w:tcPr>
            <w:tcW w:w="3420" w:type="dxa"/>
          </w:tcPr>
          <w:p w14:paraId="195CBC43">
            <w:pPr>
              <w:shd w:val="clear" w:color="auto" w:fill="FFFFFF"/>
              <w:spacing w:line="360" w:lineRule="exact"/>
              <w:rPr>
                <w:rFonts w:ascii="宋体" w:hAnsi="宋体"/>
                <w:szCs w:val="21"/>
              </w:rPr>
            </w:pPr>
            <w:r>
              <w:rPr>
                <w:rFonts w:hint="eastAsia" w:ascii="宋体" w:hAnsi="宋体"/>
                <w:szCs w:val="21"/>
              </w:rPr>
              <w:t>物流业务计划员、统计员、仓储管理员、物质采购、物流质量监督员</w:t>
            </w:r>
          </w:p>
        </w:tc>
        <w:tc>
          <w:tcPr>
            <w:tcW w:w="3060" w:type="dxa"/>
          </w:tcPr>
          <w:p w14:paraId="0C6DD941">
            <w:pPr>
              <w:shd w:val="clear" w:color="auto" w:fill="FFFFFF"/>
              <w:spacing w:line="360" w:lineRule="exact"/>
              <w:rPr>
                <w:rFonts w:ascii="宋体" w:hAnsi="宋体"/>
                <w:szCs w:val="21"/>
              </w:rPr>
            </w:pPr>
            <w:r>
              <w:rPr>
                <w:rFonts w:hint="eastAsia" w:ascii="宋体" w:hAnsi="宋体"/>
                <w:szCs w:val="21"/>
              </w:rPr>
              <w:t>企业物流部主管、仓储主管、物流外协业务主管</w:t>
            </w:r>
          </w:p>
        </w:tc>
      </w:tr>
      <w:tr w14:paraId="7DA00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vAlign w:val="center"/>
          </w:tcPr>
          <w:p w14:paraId="01CB8366">
            <w:pPr>
              <w:shd w:val="clear" w:color="auto" w:fill="FFFFFF"/>
              <w:spacing w:line="360" w:lineRule="exact"/>
              <w:jc w:val="center"/>
              <w:rPr>
                <w:rFonts w:ascii="宋体" w:hAnsi="宋体"/>
                <w:szCs w:val="21"/>
              </w:rPr>
            </w:pPr>
            <w:r>
              <w:rPr>
                <w:rFonts w:hint="eastAsia" w:ascii="宋体" w:hAnsi="宋体"/>
                <w:szCs w:val="21"/>
              </w:rPr>
              <w:t>商贸连锁企业物流中心</w:t>
            </w:r>
          </w:p>
        </w:tc>
        <w:tc>
          <w:tcPr>
            <w:tcW w:w="3420" w:type="dxa"/>
          </w:tcPr>
          <w:p w14:paraId="6E84072D">
            <w:pPr>
              <w:shd w:val="clear" w:color="auto" w:fill="FFFFFF"/>
              <w:spacing w:line="360" w:lineRule="exact"/>
              <w:rPr>
                <w:rFonts w:ascii="宋体" w:hAnsi="宋体"/>
                <w:szCs w:val="21"/>
              </w:rPr>
            </w:pPr>
            <w:r>
              <w:rPr>
                <w:rFonts w:hint="eastAsia" w:ascii="宋体" w:hAnsi="宋体"/>
                <w:szCs w:val="21"/>
              </w:rPr>
              <w:t>仓储管理员、车辆调度员、物流、信息操作员、客户管理管理员</w:t>
            </w:r>
          </w:p>
        </w:tc>
        <w:tc>
          <w:tcPr>
            <w:tcW w:w="3060" w:type="dxa"/>
          </w:tcPr>
          <w:p w14:paraId="63C3BCEC">
            <w:pPr>
              <w:shd w:val="clear" w:color="auto" w:fill="FFFFFF"/>
              <w:spacing w:line="360" w:lineRule="exact"/>
              <w:rPr>
                <w:rFonts w:ascii="宋体" w:hAnsi="宋体"/>
                <w:szCs w:val="21"/>
              </w:rPr>
            </w:pPr>
            <w:r>
              <w:rPr>
                <w:rFonts w:hint="eastAsia" w:ascii="宋体" w:hAnsi="宋体"/>
                <w:szCs w:val="21"/>
              </w:rPr>
              <w:t>物流中心仓储主管、运输主管、配送部主管</w:t>
            </w:r>
          </w:p>
        </w:tc>
      </w:tr>
      <w:tr w14:paraId="53C70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vAlign w:val="center"/>
          </w:tcPr>
          <w:p w14:paraId="7A7DF362">
            <w:pPr>
              <w:shd w:val="clear" w:color="auto" w:fill="FFFFFF"/>
              <w:spacing w:line="360" w:lineRule="exact"/>
              <w:jc w:val="center"/>
              <w:rPr>
                <w:rFonts w:ascii="宋体" w:hAnsi="宋体"/>
                <w:szCs w:val="21"/>
              </w:rPr>
            </w:pPr>
            <w:r>
              <w:rPr>
                <w:rFonts w:hint="eastAsia" w:ascii="宋体" w:hAnsi="宋体"/>
                <w:szCs w:val="21"/>
              </w:rPr>
              <w:t>其他企业</w:t>
            </w:r>
          </w:p>
        </w:tc>
        <w:tc>
          <w:tcPr>
            <w:tcW w:w="6480" w:type="dxa"/>
            <w:gridSpan w:val="2"/>
          </w:tcPr>
          <w:p w14:paraId="1DBB3548">
            <w:pPr>
              <w:shd w:val="clear" w:color="auto" w:fill="FFFFFF"/>
              <w:spacing w:line="360" w:lineRule="exact"/>
              <w:rPr>
                <w:rFonts w:ascii="宋体" w:hAnsi="宋体"/>
                <w:szCs w:val="21"/>
              </w:rPr>
            </w:pPr>
            <w:r>
              <w:rPr>
                <w:rFonts w:hint="eastAsia" w:ascii="宋体" w:hAnsi="宋体"/>
                <w:szCs w:val="21"/>
              </w:rPr>
              <w:t>货代公司货代员、快递公司仓储员、客服人员、信息处理员等</w:t>
            </w:r>
          </w:p>
        </w:tc>
      </w:tr>
    </w:tbl>
    <w:p w14:paraId="452245E4">
      <w:pPr>
        <w:widowControl/>
        <w:spacing w:line="360" w:lineRule="auto"/>
        <w:jc w:val="left"/>
        <w:rPr>
          <w:sz w:val="24"/>
        </w:rPr>
      </w:pPr>
      <w:r>
        <w:drawing>
          <wp:anchor distT="0" distB="0" distL="114300" distR="114300" simplePos="0" relativeHeight="251703296" behindDoc="0" locked="0" layoutInCell="1" allowOverlap="1">
            <wp:simplePos x="0" y="0"/>
            <wp:positionH relativeFrom="column">
              <wp:posOffset>1108710</wp:posOffset>
            </wp:positionH>
            <wp:positionV relativeFrom="paragraph">
              <wp:posOffset>59690</wp:posOffset>
            </wp:positionV>
            <wp:extent cx="3402965" cy="1877695"/>
            <wp:effectExtent l="0" t="0" r="6985" b="8255"/>
            <wp:wrapNone/>
            <wp:docPr id="4" name="图片 3" descr="u=3299270,1684707706&amp;fm=26&amp;fmt=au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u=3299270,1684707706&amp;fm=26&amp;fmt=auto"/>
                    <pic:cNvPicPr>
                      <a:picLocks noChangeAspect="1"/>
                    </pic:cNvPicPr>
                  </pic:nvPicPr>
                  <pic:blipFill>
                    <a:blip r:embed="rId9" cstate="print"/>
                    <a:stretch>
                      <a:fillRect/>
                    </a:stretch>
                  </pic:blipFill>
                  <pic:spPr>
                    <a:xfrm>
                      <a:off x="0" y="0"/>
                      <a:ext cx="3402965" cy="1877695"/>
                    </a:xfrm>
                    <a:prstGeom prst="rect">
                      <a:avLst/>
                    </a:prstGeom>
                    <a:noFill/>
                    <a:ln>
                      <a:noFill/>
                    </a:ln>
                  </pic:spPr>
                </pic:pic>
              </a:graphicData>
            </a:graphic>
          </wp:anchor>
        </w:drawing>
      </w:r>
    </w:p>
    <w:p w14:paraId="1EE4D41A">
      <w:pPr>
        <w:widowControl/>
        <w:spacing w:line="360" w:lineRule="auto"/>
        <w:jc w:val="left"/>
        <w:rPr>
          <w:sz w:val="24"/>
        </w:rPr>
      </w:pPr>
    </w:p>
    <w:p w14:paraId="522EDB3B">
      <w:pPr>
        <w:widowControl/>
        <w:spacing w:line="360" w:lineRule="auto"/>
        <w:jc w:val="left"/>
        <w:rPr>
          <w:sz w:val="24"/>
        </w:rPr>
      </w:pPr>
    </w:p>
    <w:p w14:paraId="34675F1F">
      <w:pPr>
        <w:widowControl/>
        <w:spacing w:line="360" w:lineRule="auto"/>
        <w:jc w:val="left"/>
        <w:rPr>
          <w:sz w:val="24"/>
        </w:rPr>
      </w:pPr>
    </w:p>
    <w:p w14:paraId="2C2B8D0F">
      <w:pPr>
        <w:widowControl/>
        <w:spacing w:line="360" w:lineRule="auto"/>
        <w:jc w:val="left"/>
        <w:rPr>
          <w:sz w:val="24"/>
        </w:rPr>
      </w:pPr>
    </w:p>
    <w:p w14:paraId="6734A1C2">
      <w:pPr>
        <w:widowControl/>
        <w:spacing w:line="360" w:lineRule="auto"/>
        <w:jc w:val="left"/>
        <w:rPr>
          <w:sz w:val="24"/>
        </w:rPr>
      </w:pPr>
    </w:p>
    <w:p w14:paraId="14C8077E">
      <w:pPr>
        <w:widowControl/>
        <w:spacing w:line="360" w:lineRule="auto"/>
        <w:jc w:val="left"/>
        <w:rPr>
          <w:sz w:val="24"/>
        </w:rPr>
      </w:pPr>
    </w:p>
    <w:p w14:paraId="2964AB1A">
      <w:pPr>
        <w:widowControl/>
        <w:spacing w:line="360" w:lineRule="auto"/>
        <w:ind w:firstLine="480" w:firstLineChars="200"/>
        <w:jc w:val="left"/>
        <w:rPr>
          <w:sz w:val="24"/>
        </w:rPr>
      </w:pPr>
      <w:r>
        <w:rPr>
          <w:rFonts w:hint="eastAsia"/>
          <w:sz w:val="24"/>
        </w:rPr>
        <w:t>4、</w:t>
      </w:r>
      <w:r>
        <w:rPr>
          <w:sz w:val="24"/>
        </w:rPr>
        <w:t>岗位职业能力调研</w:t>
      </w:r>
    </w:p>
    <w:p w14:paraId="50555415">
      <w:pPr>
        <w:widowControl/>
        <w:spacing w:line="360" w:lineRule="auto"/>
        <w:ind w:firstLine="480" w:firstLineChars="200"/>
        <w:jc w:val="left"/>
        <w:rPr>
          <w:sz w:val="24"/>
        </w:rPr>
      </w:pPr>
      <w:r>
        <w:rPr>
          <w:rFonts w:hint="eastAsia"/>
          <w:sz w:val="24"/>
        </w:rPr>
        <w:t>.不同的工作岗位需要不同的职业技能，为了培养满足企业需求的人才，我们需要知道不同岗位的工作任务，以及为完成相关任务需要具备的相关技能。为此，我们也分别对上述相关企业的相关工作岗位的职业能力进行问卷调查，并以此作为依据制定本专业人才培养的目标及课程体系的制定。</w:t>
      </w:r>
    </w:p>
    <w:p w14:paraId="318A2862">
      <w:pPr>
        <w:widowControl/>
        <w:spacing w:line="360" w:lineRule="auto"/>
        <w:ind w:firstLine="480" w:firstLineChars="200"/>
        <w:jc w:val="left"/>
        <w:rPr>
          <w:rFonts w:ascii="宋体" w:hAnsi="宋体"/>
          <w:sz w:val="24"/>
        </w:rPr>
      </w:pPr>
      <w:r>
        <w:rPr>
          <w:rFonts w:hint="eastAsia"/>
          <w:sz w:val="24"/>
        </w:rPr>
        <w:t>上述调研活动的对象分别是</w:t>
      </w:r>
      <w:r>
        <w:rPr>
          <w:rFonts w:hint="eastAsia" w:ascii="宋体" w:hAnsi="宋体"/>
          <w:sz w:val="24"/>
        </w:rPr>
        <w:t>物流相关企业、物流行业协会、专家学者、毕业生，调研时间：20</w:t>
      </w:r>
      <w:r>
        <w:rPr>
          <w:rFonts w:ascii="宋体" w:hAnsi="宋体"/>
          <w:sz w:val="24"/>
        </w:rPr>
        <w:t>2</w:t>
      </w:r>
      <w:r>
        <w:rPr>
          <w:rFonts w:hint="eastAsia" w:ascii="宋体" w:hAnsi="宋体"/>
          <w:sz w:val="24"/>
          <w:lang w:val="en-US" w:eastAsia="zh-CN"/>
        </w:rPr>
        <w:t>3</w:t>
      </w:r>
      <w:r>
        <w:rPr>
          <w:rFonts w:hint="eastAsia" w:ascii="宋体" w:hAnsi="宋体"/>
          <w:sz w:val="24"/>
        </w:rPr>
        <w:t>年11月1</w:t>
      </w:r>
      <w:r>
        <w:rPr>
          <w:rFonts w:ascii="宋体" w:hAnsi="宋体"/>
          <w:sz w:val="24"/>
        </w:rPr>
        <w:t>0</w:t>
      </w:r>
      <w:r>
        <w:rPr>
          <w:rFonts w:hint="eastAsia" w:ascii="宋体" w:hAnsi="宋体"/>
          <w:sz w:val="24"/>
        </w:rPr>
        <w:t>日——20</w:t>
      </w:r>
      <w:r>
        <w:rPr>
          <w:rFonts w:hint="eastAsia" w:ascii="宋体" w:hAnsi="宋体"/>
          <w:sz w:val="24"/>
          <w:lang w:val="en-US" w:eastAsia="zh-CN"/>
        </w:rPr>
        <w:t>23</w:t>
      </w:r>
      <w:r>
        <w:rPr>
          <w:rFonts w:hint="eastAsia" w:ascii="宋体" w:hAnsi="宋体"/>
          <w:sz w:val="24"/>
        </w:rPr>
        <w:t>年11月20日；调研方法主要采用访谈法、专家咨询法、问卷调查、网络调查、实地考察等方法。调研时间进度如下表所示：</w:t>
      </w:r>
    </w:p>
    <w:p w14:paraId="6BA4A817">
      <w:pPr>
        <w:spacing w:line="400" w:lineRule="exact"/>
        <w:rPr>
          <w:rFonts w:ascii="黑体" w:eastAsia="黑体"/>
          <w:sz w:val="30"/>
          <w:szCs w:val="30"/>
        </w:r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1"/>
        <w:gridCol w:w="5681"/>
      </w:tblGrid>
      <w:tr w14:paraId="74153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4" w:type="dxa"/>
            <w:shd w:val="clear" w:color="auto" w:fill="auto"/>
          </w:tcPr>
          <w:p w14:paraId="5AA0BEDC">
            <w:pPr>
              <w:spacing w:line="400" w:lineRule="exact"/>
              <w:ind w:left="840" w:hanging="420"/>
              <w:jc w:val="center"/>
              <w:rPr>
                <w:rFonts w:ascii="宋体" w:hAnsi="宋体"/>
                <w:szCs w:val="21"/>
              </w:rPr>
            </w:pPr>
            <w:r>
              <w:rPr>
                <w:rFonts w:hint="eastAsia" w:ascii="宋体" w:hAnsi="宋体"/>
                <w:szCs w:val="21"/>
              </w:rPr>
              <w:t>时   间</w:t>
            </w:r>
          </w:p>
        </w:tc>
        <w:tc>
          <w:tcPr>
            <w:tcW w:w="6434" w:type="dxa"/>
            <w:shd w:val="clear" w:color="auto" w:fill="auto"/>
          </w:tcPr>
          <w:p w14:paraId="1B10EBAC">
            <w:pPr>
              <w:spacing w:line="400" w:lineRule="exact"/>
              <w:ind w:left="840" w:hanging="420"/>
              <w:jc w:val="center"/>
              <w:rPr>
                <w:rFonts w:ascii="宋体" w:hAnsi="宋体"/>
                <w:szCs w:val="21"/>
              </w:rPr>
            </w:pPr>
            <w:r>
              <w:rPr>
                <w:rFonts w:hint="eastAsia" w:ascii="宋体" w:hAnsi="宋体"/>
                <w:szCs w:val="21"/>
              </w:rPr>
              <w:t>调研内容</w:t>
            </w:r>
          </w:p>
        </w:tc>
      </w:tr>
      <w:tr w14:paraId="0635E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4" w:type="dxa"/>
            <w:shd w:val="clear" w:color="auto" w:fill="auto"/>
          </w:tcPr>
          <w:p w14:paraId="171696FC">
            <w:pPr>
              <w:spacing w:line="400" w:lineRule="exact"/>
              <w:ind w:left="840" w:hanging="420"/>
              <w:jc w:val="center"/>
              <w:rPr>
                <w:rFonts w:ascii="宋体" w:hAnsi="宋体"/>
                <w:szCs w:val="21"/>
              </w:rPr>
            </w:pPr>
            <w:r>
              <w:rPr>
                <w:rFonts w:hint="eastAsia" w:ascii="宋体" w:hAnsi="宋体"/>
                <w:szCs w:val="21"/>
              </w:rPr>
              <w:t>202</w:t>
            </w:r>
            <w:r>
              <w:rPr>
                <w:rFonts w:hint="eastAsia" w:ascii="宋体" w:hAnsi="宋体"/>
                <w:szCs w:val="21"/>
                <w:lang w:val="en-US" w:eastAsia="zh-CN"/>
              </w:rPr>
              <w:t>3</w:t>
            </w:r>
            <w:r>
              <w:rPr>
                <w:rFonts w:hint="eastAsia" w:ascii="宋体" w:hAnsi="宋体"/>
                <w:szCs w:val="21"/>
              </w:rPr>
              <w:t>.11.10-202</w:t>
            </w:r>
            <w:r>
              <w:rPr>
                <w:rFonts w:hint="eastAsia" w:ascii="宋体" w:hAnsi="宋体"/>
                <w:szCs w:val="21"/>
                <w:lang w:val="en-US" w:eastAsia="zh-CN"/>
              </w:rPr>
              <w:t>3</w:t>
            </w:r>
            <w:r>
              <w:rPr>
                <w:rFonts w:hint="eastAsia" w:ascii="宋体" w:hAnsi="宋体"/>
                <w:szCs w:val="21"/>
              </w:rPr>
              <w:t>.11.28</w:t>
            </w:r>
          </w:p>
        </w:tc>
        <w:tc>
          <w:tcPr>
            <w:tcW w:w="6434" w:type="dxa"/>
            <w:shd w:val="clear" w:color="auto" w:fill="auto"/>
          </w:tcPr>
          <w:p w14:paraId="4029F2FE">
            <w:pPr>
              <w:spacing w:line="400" w:lineRule="exact"/>
              <w:jc w:val="left"/>
              <w:rPr>
                <w:rFonts w:ascii="宋体" w:hAnsi="宋体"/>
                <w:szCs w:val="21"/>
              </w:rPr>
            </w:pPr>
            <w:r>
              <w:rPr>
                <w:rFonts w:hint="eastAsia" w:ascii="宋体" w:hAnsi="宋体"/>
                <w:szCs w:val="21"/>
              </w:rPr>
              <w:t>查阅毕业生就业跟踪表、进行数据分析。</w:t>
            </w:r>
          </w:p>
        </w:tc>
      </w:tr>
      <w:tr w14:paraId="0580D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4" w:type="dxa"/>
            <w:shd w:val="clear" w:color="auto" w:fill="auto"/>
          </w:tcPr>
          <w:p w14:paraId="7C5C424B">
            <w:pPr>
              <w:spacing w:line="400" w:lineRule="exact"/>
              <w:ind w:left="840" w:hanging="420"/>
              <w:jc w:val="center"/>
              <w:rPr>
                <w:rFonts w:ascii="宋体" w:hAnsi="宋体"/>
                <w:szCs w:val="21"/>
              </w:rPr>
            </w:pPr>
            <w:r>
              <w:rPr>
                <w:rFonts w:hint="eastAsia" w:ascii="宋体" w:hAnsi="宋体"/>
                <w:szCs w:val="21"/>
              </w:rPr>
              <w:t>202</w:t>
            </w:r>
            <w:r>
              <w:rPr>
                <w:rFonts w:hint="eastAsia" w:ascii="宋体" w:hAnsi="宋体"/>
                <w:szCs w:val="21"/>
                <w:lang w:val="en-US" w:eastAsia="zh-CN"/>
              </w:rPr>
              <w:t>3</w:t>
            </w:r>
            <w:r>
              <w:rPr>
                <w:rFonts w:hint="eastAsia" w:ascii="宋体" w:hAnsi="宋体"/>
                <w:szCs w:val="21"/>
              </w:rPr>
              <w:t>.11.1-202</w:t>
            </w:r>
            <w:r>
              <w:rPr>
                <w:rFonts w:hint="eastAsia" w:ascii="宋体" w:hAnsi="宋体"/>
                <w:szCs w:val="21"/>
                <w:lang w:val="en-US" w:eastAsia="zh-CN"/>
              </w:rPr>
              <w:t>3</w:t>
            </w:r>
            <w:r>
              <w:rPr>
                <w:rFonts w:hint="eastAsia" w:ascii="宋体" w:hAnsi="宋体"/>
                <w:szCs w:val="21"/>
              </w:rPr>
              <w:t>.11.30</w:t>
            </w:r>
          </w:p>
        </w:tc>
        <w:tc>
          <w:tcPr>
            <w:tcW w:w="6434" w:type="dxa"/>
            <w:shd w:val="clear" w:color="auto" w:fill="auto"/>
          </w:tcPr>
          <w:p w14:paraId="6214479A">
            <w:pPr>
              <w:spacing w:line="400" w:lineRule="exact"/>
              <w:jc w:val="left"/>
              <w:rPr>
                <w:rFonts w:ascii="宋体" w:hAnsi="宋体"/>
                <w:szCs w:val="21"/>
              </w:rPr>
            </w:pPr>
            <w:r>
              <w:rPr>
                <w:rFonts w:hint="eastAsia" w:ascii="宋体" w:hAnsi="宋体"/>
                <w:szCs w:val="21"/>
              </w:rPr>
              <w:t>对京东、</w:t>
            </w:r>
            <w:r>
              <w:rPr>
                <w:rFonts w:hint="eastAsia" w:ascii="宋体" w:hAnsi="宋体"/>
                <w:kern w:val="0"/>
                <w:szCs w:val="21"/>
              </w:rPr>
              <w:t>德邦物流、顺风快递，中国远洋海运集团等公司</w:t>
            </w:r>
            <w:r>
              <w:rPr>
                <w:rFonts w:hint="eastAsia" w:ascii="宋体" w:hAnsi="宋体"/>
                <w:szCs w:val="21"/>
              </w:rPr>
              <w:t>等进行走访。</w:t>
            </w:r>
          </w:p>
        </w:tc>
      </w:tr>
      <w:tr w14:paraId="20B17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4" w:type="dxa"/>
            <w:shd w:val="clear" w:color="auto" w:fill="auto"/>
          </w:tcPr>
          <w:p w14:paraId="75A4E4D0">
            <w:pPr>
              <w:spacing w:line="400" w:lineRule="exact"/>
              <w:ind w:left="840" w:hanging="420"/>
              <w:jc w:val="center"/>
              <w:rPr>
                <w:rFonts w:ascii="宋体" w:hAnsi="宋体"/>
                <w:szCs w:val="21"/>
              </w:rPr>
            </w:pPr>
            <w:r>
              <w:rPr>
                <w:rFonts w:hint="eastAsia" w:ascii="宋体" w:hAnsi="宋体"/>
                <w:szCs w:val="21"/>
              </w:rPr>
              <w:t>202</w:t>
            </w:r>
            <w:r>
              <w:rPr>
                <w:rFonts w:hint="eastAsia" w:ascii="宋体" w:hAnsi="宋体"/>
                <w:szCs w:val="21"/>
                <w:lang w:val="en-US" w:eastAsia="zh-CN"/>
              </w:rPr>
              <w:t>3</w:t>
            </w:r>
            <w:r>
              <w:rPr>
                <w:rFonts w:hint="eastAsia" w:ascii="宋体" w:hAnsi="宋体"/>
                <w:szCs w:val="21"/>
              </w:rPr>
              <w:t>.11.1-202</w:t>
            </w:r>
            <w:r>
              <w:rPr>
                <w:rFonts w:hint="eastAsia" w:ascii="宋体" w:hAnsi="宋体"/>
                <w:szCs w:val="21"/>
                <w:lang w:val="en-US" w:eastAsia="zh-CN"/>
              </w:rPr>
              <w:t>3</w:t>
            </w:r>
            <w:r>
              <w:rPr>
                <w:rFonts w:hint="eastAsia" w:ascii="宋体" w:hAnsi="宋体"/>
                <w:szCs w:val="21"/>
              </w:rPr>
              <w:t>.11.15</w:t>
            </w:r>
          </w:p>
        </w:tc>
        <w:tc>
          <w:tcPr>
            <w:tcW w:w="6434" w:type="dxa"/>
            <w:shd w:val="clear" w:color="auto" w:fill="auto"/>
          </w:tcPr>
          <w:p w14:paraId="5740E739">
            <w:pPr>
              <w:spacing w:line="400" w:lineRule="exact"/>
              <w:jc w:val="left"/>
              <w:rPr>
                <w:rFonts w:ascii="宋体" w:hAnsi="宋体"/>
                <w:szCs w:val="21"/>
              </w:rPr>
            </w:pPr>
            <w:r>
              <w:rPr>
                <w:rFonts w:hint="eastAsia" w:ascii="宋体" w:hAnsi="宋体"/>
                <w:szCs w:val="21"/>
              </w:rPr>
              <w:t>通过网络查阅我国物流行业发展报告（</w:t>
            </w:r>
            <w:r>
              <w:rPr>
                <w:rFonts w:hint="eastAsia"/>
              </w:rPr>
              <w:t>中国物流与采购联合会）、</w:t>
            </w:r>
            <w:r>
              <w:rPr>
                <w:rFonts w:hint="eastAsia" w:ascii="宋体" w:hAnsi="宋体"/>
                <w:szCs w:val="21"/>
              </w:rPr>
              <w:t>202</w:t>
            </w:r>
            <w:r>
              <w:rPr>
                <w:rFonts w:hint="eastAsia" w:ascii="宋体" w:hAnsi="宋体"/>
                <w:szCs w:val="21"/>
                <w:lang w:val="en-US" w:eastAsia="zh-CN"/>
              </w:rPr>
              <w:t>3</w:t>
            </w:r>
            <w:r>
              <w:rPr>
                <w:rFonts w:hint="eastAsia" w:ascii="宋体" w:hAnsi="宋体"/>
                <w:szCs w:val="21"/>
              </w:rPr>
              <w:t>年现代物流管理专业人才需求报告、中国物流管理发展规划、山东省物流管理发展规划、青岛市国民经济与社会发展规划。</w:t>
            </w:r>
          </w:p>
        </w:tc>
      </w:tr>
      <w:tr w14:paraId="5CCDC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4" w:type="dxa"/>
            <w:shd w:val="clear" w:color="auto" w:fill="auto"/>
          </w:tcPr>
          <w:p w14:paraId="7150865F">
            <w:pPr>
              <w:spacing w:line="400" w:lineRule="exact"/>
              <w:ind w:left="840" w:hanging="420"/>
              <w:jc w:val="center"/>
              <w:rPr>
                <w:rFonts w:ascii="宋体" w:hAnsi="宋体"/>
                <w:szCs w:val="21"/>
              </w:rPr>
            </w:pPr>
            <w:r>
              <w:rPr>
                <w:rFonts w:hint="eastAsia" w:ascii="宋体" w:hAnsi="宋体"/>
                <w:szCs w:val="21"/>
              </w:rPr>
              <w:t>202</w:t>
            </w:r>
            <w:r>
              <w:rPr>
                <w:rFonts w:hint="eastAsia" w:ascii="宋体" w:hAnsi="宋体"/>
                <w:szCs w:val="21"/>
                <w:lang w:val="en-US" w:eastAsia="zh-CN"/>
              </w:rPr>
              <w:t>3</w:t>
            </w:r>
            <w:r>
              <w:rPr>
                <w:rFonts w:hint="eastAsia" w:ascii="宋体" w:hAnsi="宋体"/>
                <w:szCs w:val="21"/>
              </w:rPr>
              <w:t>.11.16-202</w:t>
            </w:r>
            <w:r>
              <w:rPr>
                <w:rFonts w:hint="eastAsia" w:ascii="宋体" w:hAnsi="宋体"/>
                <w:szCs w:val="21"/>
                <w:lang w:val="en-US" w:eastAsia="zh-CN"/>
              </w:rPr>
              <w:t>3</w:t>
            </w:r>
            <w:r>
              <w:rPr>
                <w:rFonts w:hint="eastAsia" w:ascii="宋体" w:hAnsi="宋体"/>
                <w:szCs w:val="21"/>
              </w:rPr>
              <w:t>.11.17</w:t>
            </w:r>
          </w:p>
        </w:tc>
        <w:tc>
          <w:tcPr>
            <w:tcW w:w="6434" w:type="dxa"/>
            <w:shd w:val="clear" w:color="auto" w:fill="auto"/>
          </w:tcPr>
          <w:p w14:paraId="1C69A103">
            <w:pPr>
              <w:spacing w:line="400" w:lineRule="exact"/>
              <w:jc w:val="left"/>
              <w:rPr>
                <w:rFonts w:ascii="宋体" w:hAnsi="宋体"/>
                <w:szCs w:val="21"/>
              </w:rPr>
            </w:pPr>
            <w:r>
              <w:rPr>
                <w:rFonts w:hint="eastAsia" w:ascii="宋体" w:hAnsi="宋体"/>
                <w:szCs w:val="21"/>
              </w:rPr>
              <w:t>通过高校物流教学平台，与各高校物流教师交流，并就高校现代物流管理专业课程设置及教改等内容，进行沟通交流。</w:t>
            </w:r>
          </w:p>
        </w:tc>
      </w:tr>
      <w:tr w14:paraId="5A69C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4" w:type="dxa"/>
            <w:shd w:val="clear" w:color="auto" w:fill="auto"/>
          </w:tcPr>
          <w:p w14:paraId="0FA472D1">
            <w:pPr>
              <w:spacing w:line="400" w:lineRule="exact"/>
              <w:ind w:left="840" w:hanging="420"/>
              <w:jc w:val="center"/>
              <w:rPr>
                <w:rFonts w:ascii="宋体" w:hAnsi="宋体"/>
                <w:szCs w:val="21"/>
              </w:rPr>
            </w:pPr>
            <w:r>
              <w:rPr>
                <w:rFonts w:hint="eastAsia" w:ascii="宋体" w:hAnsi="宋体"/>
                <w:szCs w:val="21"/>
              </w:rPr>
              <w:t>202</w:t>
            </w:r>
            <w:r>
              <w:rPr>
                <w:rFonts w:hint="eastAsia" w:ascii="宋体" w:hAnsi="宋体"/>
                <w:szCs w:val="21"/>
                <w:lang w:val="en-US" w:eastAsia="zh-CN"/>
              </w:rPr>
              <w:t>3</w:t>
            </w:r>
            <w:r>
              <w:rPr>
                <w:rFonts w:hint="eastAsia" w:ascii="宋体" w:hAnsi="宋体"/>
                <w:szCs w:val="21"/>
              </w:rPr>
              <w:t>.11</w:t>
            </w:r>
            <w:r>
              <w:rPr>
                <w:rFonts w:ascii="宋体" w:hAnsi="宋体"/>
                <w:szCs w:val="21"/>
              </w:rPr>
              <w:t>.18-</w:t>
            </w:r>
            <w:r>
              <w:rPr>
                <w:rFonts w:hint="eastAsia" w:ascii="宋体" w:hAnsi="宋体"/>
                <w:szCs w:val="21"/>
              </w:rPr>
              <w:t>202</w:t>
            </w:r>
            <w:r>
              <w:rPr>
                <w:rFonts w:hint="eastAsia" w:ascii="宋体" w:hAnsi="宋体"/>
                <w:szCs w:val="21"/>
                <w:lang w:val="en-US" w:eastAsia="zh-CN"/>
              </w:rPr>
              <w:t>3</w:t>
            </w:r>
            <w:r>
              <w:rPr>
                <w:rFonts w:hint="eastAsia" w:ascii="宋体" w:hAnsi="宋体"/>
                <w:szCs w:val="21"/>
              </w:rPr>
              <w:t>.11</w:t>
            </w:r>
            <w:r>
              <w:rPr>
                <w:rFonts w:ascii="宋体" w:hAnsi="宋体"/>
                <w:szCs w:val="21"/>
              </w:rPr>
              <w:t>.20</w:t>
            </w:r>
          </w:p>
        </w:tc>
        <w:tc>
          <w:tcPr>
            <w:tcW w:w="6434" w:type="dxa"/>
            <w:shd w:val="clear" w:color="auto" w:fill="auto"/>
          </w:tcPr>
          <w:p w14:paraId="339248E3">
            <w:pPr>
              <w:spacing w:line="400" w:lineRule="exact"/>
              <w:jc w:val="left"/>
              <w:rPr>
                <w:rFonts w:ascii="宋体" w:hAnsi="宋体"/>
                <w:szCs w:val="21"/>
              </w:rPr>
            </w:pPr>
            <w:r>
              <w:rPr>
                <w:rFonts w:hint="eastAsia" w:ascii="宋体" w:hAnsi="宋体"/>
                <w:szCs w:val="21"/>
              </w:rPr>
              <w:t>通过引荐，向物流行业知名专家咨询</w:t>
            </w:r>
          </w:p>
        </w:tc>
      </w:tr>
    </w:tbl>
    <w:p w14:paraId="6600AA0D">
      <w:pPr>
        <w:widowControl/>
        <w:spacing w:line="360" w:lineRule="auto"/>
        <w:jc w:val="left"/>
        <w:rPr>
          <w:rFonts w:ascii="宋体" w:hAnsi="宋体"/>
          <w:sz w:val="24"/>
        </w:rPr>
      </w:pPr>
    </w:p>
    <w:p w14:paraId="480909B6">
      <w:pPr>
        <w:widowControl/>
        <w:spacing w:line="360" w:lineRule="auto"/>
        <w:ind w:firstLine="600" w:firstLineChars="200"/>
        <w:jc w:val="left"/>
        <w:rPr>
          <w:rFonts w:ascii="黑体" w:eastAsia="黑体"/>
          <w:sz w:val="30"/>
          <w:szCs w:val="30"/>
        </w:rPr>
      </w:pPr>
      <w:r>
        <w:rPr>
          <w:rFonts w:ascii="黑体" w:eastAsia="黑体"/>
          <w:sz w:val="30"/>
          <w:szCs w:val="30"/>
        </w:rPr>
        <w:t>二</w:t>
      </w:r>
      <w:r>
        <w:rPr>
          <w:rFonts w:hint="eastAsia" w:ascii="黑体" w:eastAsia="黑体"/>
          <w:sz w:val="30"/>
          <w:szCs w:val="30"/>
        </w:rPr>
        <w:t>、</w:t>
      </w:r>
      <w:r>
        <w:rPr>
          <w:rFonts w:ascii="黑体" w:eastAsia="黑体"/>
          <w:sz w:val="30"/>
          <w:szCs w:val="30"/>
        </w:rPr>
        <w:t>调研分析</w:t>
      </w:r>
    </w:p>
    <w:p w14:paraId="3669A1BD">
      <w:pPr>
        <w:widowControl/>
        <w:spacing w:line="360" w:lineRule="auto"/>
        <w:ind w:firstLine="480" w:firstLineChars="200"/>
        <w:jc w:val="left"/>
        <w:rPr>
          <w:sz w:val="24"/>
        </w:rPr>
      </w:pPr>
      <w:r>
        <w:rPr>
          <w:rFonts w:hint="eastAsia"/>
          <w:sz w:val="24"/>
        </w:rPr>
        <w:t>1、</w:t>
      </w:r>
      <w:r>
        <w:rPr>
          <w:sz w:val="24"/>
        </w:rPr>
        <w:t>专业服务面向分析</w:t>
      </w:r>
    </w:p>
    <w:p w14:paraId="24CC30ED">
      <w:pPr>
        <w:spacing w:line="400" w:lineRule="exact"/>
        <w:ind w:firstLine="480" w:firstLineChars="200"/>
        <w:rPr>
          <w:sz w:val="24"/>
        </w:rPr>
      </w:pPr>
      <w:r>
        <w:rPr>
          <w:rFonts w:hint="eastAsia"/>
          <w:sz w:val="24"/>
        </w:rPr>
        <w:t>（1）在国家宏观经济层面</w:t>
      </w:r>
    </w:p>
    <w:p w14:paraId="53B96F19">
      <w:pPr>
        <w:spacing w:line="400" w:lineRule="exact"/>
        <w:ind w:firstLine="463" w:firstLineChars="193"/>
        <w:rPr>
          <w:sz w:val="24"/>
        </w:rPr>
      </w:pPr>
      <w:r>
        <w:rPr>
          <w:sz w:val="24"/>
        </w:rPr>
        <w:t>随着中国社会主义市场经济体系建立、世界经济</w:t>
      </w:r>
      <w:r>
        <w:fldChar w:fldCharType="begin"/>
      </w:r>
      <w:r>
        <w:instrText xml:space="preserve"> HYPERLINK "http://baike.baidu.com/view/2141372.htm" \t "_blank" </w:instrText>
      </w:r>
      <w:r>
        <w:fldChar w:fldCharType="separate"/>
      </w:r>
      <w:r>
        <w:rPr>
          <w:sz w:val="24"/>
        </w:rPr>
        <w:t>一体化进程</w:t>
      </w:r>
      <w:r>
        <w:rPr>
          <w:sz w:val="24"/>
        </w:rPr>
        <w:fldChar w:fldCharType="end"/>
      </w:r>
      <w:r>
        <w:rPr>
          <w:sz w:val="24"/>
        </w:rPr>
        <w:t>的加快和科学技术的飞速发展，</w:t>
      </w:r>
      <w:r>
        <w:fldChar w:fldCharType="begin"/>
      </w:r>
      <w:r>
        <w:instrText xml:space="preserve"> HYPERLINK "http://baike.baidu.com/view/1840291.htm" \t "_blank" </w:instrText>
      </w:r>
      <w:r>
        <w:fldChar w:fldCharType="separate"/>
      </w:r>
      <w:r>
        <w:rPr>
          <w:sz w:val="24"/>
        </w:rPr>
        <w:t>物流产业</w:t>
      </w:r>
      <w:r>
        <w:rPr>
          <w:sz w:val="24"/>
        </w:rPr>
        <w:fldChar w:fldCharType="end"/>
      </w:r>
      <w:r>
        <w:rPr>
          <w:sz w:val="24"/>
        </w:rPr>
        <w:t>作为国民经济中的一个新兴的产业部门，将成为本世纪重要产业和国民经济新的增长点。从中央到地方以及许多市场意识敏锐的企业，已把物流作为提高市场竞争力和提升企业核心竞争力的重要手段，把现代物流理念、先进的物流技术和现代物流模式引入国家、地方经济建设和企业经营和管理之中。但是我国的物流教育仍十分</w:t>
      </w:r>
    </w:p>
    <w:p w14:paraId="7401C743">
      <w:pPr>
        <w:spacing w:line="400" w:lineRule="exact"/>
        <w:ind w:firstLine="405" w:firstLineChars="193"/>
        <w:rPr>
          <w:sz w:val="24"/>
        </w:rPr>
      </w:pPr>
      <w:r>
        <w:drawing>
          <wp:anchor distT="0" distB="0" distL="114300" distR="114300" simplePos="0" relativeHeight="251704320" behindDoc="0" locked="0" layoutInCell="1" allowOverlap="1">
            <wp:simplePos x="0" y="0"/>
            <wp:positionH relativeFrom="column">
              <wp:posOffset>1376680</wp:posOffset>
            </wp:positionH>
            <wp:positionV relativeFrom="paragraph">
              <wp:posOffset>85725</wp:posOffset>
            </wp:positionV>
            <wp:extent cx="2990850" cy="1381125"/>
            <wp:effectExtent l="0" t="0" r="0" b="9525"/>
            <wp:wrapNone/>
            <wp:docPr id="3" name="图片 4" descr="u=65555321,392674646&amp;fm=26&amp;fmt=au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u=65555321,392674646&amp;fm=26&amp;fmt=auto"/>
                    <pic:cNvPicPr>
                      <a:picLocks noChangeAspect="1"/>
                    </pic:cNvPicPr>
                  </pic:nvPicPr>
                  <pic:blipFill>
                    <a:blip r:embed="rId10" cstate="print"/>
                    <a:stretch>
                      <a:fillRect/>
                    </a:stretch>
                  </pic:blipFill>
                  <pic:spPr>
                    <a:xfrm>
                      <a:off x="0" y="0"/>
                      <a:ext cx="2990850" cy="1381125"/>
                    </a:xfrm>
                    <a:prstGeom prst="rect">
                      <a:avLst/>
                    </a:prstGeom>
                    <a:noFill/>
                    <a:ln>
                      <a:noFill/>
                    </a:ln>
                  </pic:spPr>
                </pic:pic>
              </a:graphicData>
            </a:graphic>
          </wp:anchor>
        </w:drawing>
      </w:r>
    </w:p>
    <w:p w14:paraId="00331523">
      <w:pPr>
        <w:spacing w:line="400" w:lineRule="exact"/>
        <w:ind w:firstLine="463" w:firstLineChars="193"/>
        <w:rPr>
          <w:sz w:val="24"/>
        </w:rPr>
      </w:pPr>
    </w:p>
    <w:p w14:paraId="5662363F">
      <w:pPr>
        <w:spacing w:line="400" w:lineRule="exact"/>
        <w:ind w:firstLine="463" w:firstLineChars="193"/>
        <w:rPr>
          <w:sz w:val="24"/>
        </w:rPr>
      </w:pPr>
    </w:p>
    <w:p w14:paraId="120AE009">
      <w:pPr>
        <w:spacing w:line="400" w:lineRule="exact"/>
        <w:ind w:firstLine="463" w:firstLineChars="193"/>
        <w:rPr>
          <w:sz w:val="24"/>
        </w:rPr>
      </w:pPr>
    </w:p>
    <w:p w14:paraId="6977ACFF">
      <w:pPr>
        <w:spacing w:line="400" w:lineRule="exact"/>
        <w:ind w:firstLine="463" w:firstLineChars="193"/>
        <w:rPr>
          <w:sz w:val="24"/>
        </w:rPr>
      </w:pPr>
    </w:p>
    <w:p w14:paraId="316ED487">
      <w:pPr>
        <w:spacing w:line="400" w:lineRule="exact"/>
        <w:ind w:firstLine="463" w:firstLineChars="193"/>
        <w:rPr>
          <w:sz w:val="24"/>
        </w:rPr>
      </w:pPr>
    </w:p>
    <w:p w14:paraId="1D2F5BE3">
      <w:pPr>
        <w:spacing w:line="400" w:lineRule="exact"/>
        <w:rPr>
          <w:sz w:val="24"/>
        </w:rPr>
      </w:pPr>
      <w:r>
        <w:rPr>
          <w:sz w:val="24"/>
        </w:rPr>
        <w:t>滞后，造成了现代物流综合性人才、企业尤其是流通企业改造</w:t>
      </w:r>
      <w:r>
        <w:fldChar w:fldCharType="begin"/>
      </w:r>
      <w:r>
        <w:instrText xml:space="preserve"> HYPERLINK "http://baike.baidu.com/view/1490545.htm" \t "_blank" </w:instrText>
      </w:r>
      <w:r>
        <w:fldChar w:fldCharType="separate"/>
      </w:r>
      <w:r>
        <w:rPr>
          <w:sz w:val="24"/>
        </w:rPr>
        <w:t>传统物流</w:t>
      </w:r>
      <w:r>
        <w:rPr>
          <w:sz w:val="24"/>
        </w:rPr>
        <w:fldChar w:fldCharType="end"/>
      </w:r>
      <w:r>
        <w:rPr>
          <w:sz w:val="24"/>
        </w:rPr>
        <w:t>与加强物流管理、城市规划物流系统运筹、</w:t>
      </w:r>
      <w:r>
        <w:fldChar w:fldCharType="begin"/>
      </w:r>
      <w:r>
        <w:instrText xml:space="preserve"> HYPERLINK "http://baike.baidu.com/view/2986508.htm" \t "_blank" </w:instrText>
      </w:r>
      <w:r>
        <w:fldChar w:fldCharType="separate"/>
      </w:r>
      <w:r>
        <w:rPr>
          <w:sz w:val="24"/>
        </w:rPr>
        <w:t>第三方物流企业</w:t>
      </w:r>
      <w:r>
        <w:rPr>
          <w:sz w:val="24"/>
        </w:rPr>
        <w:fldChar w:fldCharType="end"/>
      </w:r>
      <w:r>
        <w:rPr>
          <w:sz w:val="24"/>
        </w:rPr>
        <w:t>的运作技术操作等现代物流人才严重匮乏，阻碍了经济的发展和经济效益的提高。</w:t>
      </w:r>
    </w:p>
    <w:p w14:paraId="4636FA18">
      <w:pPr>
        <w:spacing w:line="400" w:lineRule="exact"/>
        <w:ind w:firstLine="480" w:firstLineChars="200"/>
        <w:rPr>
          <w:sz w:val="24"/>
        </w:rPr>
      </w:pPr>
      <w:r>
        <w:rPr>
          <w:rFonts w:hint="eastAsia"/>
          <w:sz w:val="24"/>
        </w:rPr>
        <w:t>（2）在区域经济中观层面</w:t>
      </w:r>
    </w:p>
    <w:p w14:paraId="756CDDC0">
      <w:pPr>
        <w:spacing w:line="400" w:lineRule="exact"/>
        <w:ind w:firstLine="480" w:firstLineChars="200"/>
        <w:rPr>
          <w:sz w:val="24"/>
        </w:rPr>
      </w:pPr>
      <w:r>
        <w:rPr>
          <w:rFonts w:hint="eastAsia"/>
          <w:sz w:val="24"/>
        </w:rPr>
        <w:t>1）对全省的分析</w:t>
      </w:r>
    </w:p>
    <w:p w14:paraId="49CCF9DA">
      <w:pPr>
        <w:spacing w:line="400" w:lineRule="exact"/>
        <w:ind w:firstLine="480" w:firstLineChars="200"/>
        <w:rPr>
          <w:sz w:val="24"/>
        </w:rPr>
      </w:pPr>
      <w:r>
        <w:rPr>
          <w:rFonts w:hint="eastAsia"/>
          <w:sz w:val="24"/>
        </w:rPr>
        <w:t>《山东省国民经济和社会发展第十四个五年规划和2035年远景目标纲要》明确了14项战略任务：一是深入实施科教强鲁人才兴鲁战略，加快建设高水平创新型省份。争取国家更多战略科技力量在山东布局，完善实验室体系，建设高质量教育体系，激发人才创新创造活力。二是坚定不移推动新旧动能转换，塑强现代产业新优势。推进强链、建链、补链、保链系列工程，塑造一流产业生态，打造具有国际竞争力的“十强”现代优势产业集群。三是加快发展数字经济，全面推进数字化转型。超前布局新基建，建设智慧城市、数字乡村，提升政府和社会数字治理水平。四是坚持扩大内需战略基点，主动融入新发展格局。推动消费扩容升级，实施精准有效投资十大类统领性工程，建设国内大循环战略节点、国内国际双循环战略枢纽。五是优先发展农业农村，打造乡村振兴齐鲁样板。实现巩固拓展脱贫攻坚成果同乡村振兴有效衔接，坚决扛起农业大省责任，确保粮食产能稳定在1100亿斤，建设种业强省，实施乡村建设行动。六是奋力向海图强，开创经略海洋新局面。建设世界一流的海洋港口，打造完善的现代海洋产业体系，形成绿色可持续的海洋生态环境。七是统筹推进区域协调发展，发挥山东半岛城市群龙头作用。引领黄河流域生态保护和高质量发展，支持济南建设国家中心城市、青岛建设全球海洋中心城市，推动省会、胶东、鲁南经济圈一体化发展。八是聚力改革攻坚，加快构建高质量发展体制机制。建设高效服务政府和高标准市场体系，打造市场化、法治化、国际化营商环境。九是坚定文化自信，推动文化繁荣兴盛。培育和践行社会主义核心价值观，传承创新优秀传统文化，打造全域旅游示范省。十是推动绿色发展，绘就绿水青山齐鲁画卷。深入实施主体功能区战略，制定碳达峰行动方案，打好蓝天、碧水、净土治污保卫战，建设山水林田湖草生命共同体。十一是全面扩大高水平开放，打造对外开放新高地。抓住用好RCEP、中欧投资协定机遇，高质量参与共建“一带一路”，建设中日韩地方经贸合作示范区。十二是加快基础设施建设，筑牢高质量发展支撑。构建“四横五纵”综合运输通道，推进能源生产和消费革命，完善“根治水患、防治干旱”</w:t>
      </w:r>
    </w:p>
    <w:p w14:paraId="446DAF00">
      <w:pPr>
        <w:spacing w:line="400" w:lineRule="exact"/>
        <w:rPr>
          <w:sz w:val="24"/>
        </w:rPr>
      </w:pPr>
      <w:r>
        <w:drawing>
          <wp:anchor distT="0" distB="0" distL="114300" distR="114300" simplePos="0" relativeHeight="251701248" behindDoc="0" locked="0" layoutInCell="1" allowOverlap="1">
            <wp:simplePos x="0" y="0"/>
            <wp:positionH relativeFrom="column">
              <wp:posOffset>1131570</wp:posOffset>
            </wp:positionH>
            <wp:positionV relativeFrom="paragraph">
              <wp:posOffset>134620</wp:posOffset>
            </wp:positionV>
            <wp:extent cx="3219450" cy="1264920"/>
            <wp:effectExtent l="0" t="0" r="0" b="11430"/>
            <wp:wrapNone/>
            <wp:docPr id="2" name="图片 5" descr="微信截图_20210928093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微信截图_20210928093002"/>
                    <pic:cNvPicPr>
                      <a:picLocks noChangeAspect="1"/>
                    </pic:cNvPicPr>
                  </pic:nvPicPr>
                  <pic:blipFill>
                    <a:blip r:embed="rId11" cstate="print"/>
                    <a:stretch>
                      <a:fillRect/>
                    </a:stretch>
                  </pic:blipFill>
                  <pic:spPr>
                    <a:xfrm>
                      <a:off x="0" y="0"/>
                      <a:ext cx="3219450" cy="1264920"/>
                    </a:xfrm>
                    <a:prstGeom prst="rect">
                      <a:avLst/>
                    </a:prstGeom>
                    <a:noFill/>
                    <a:ln>
                      <a:noFill/>
                    </a:ln>
                  </pic:spPr>
                </pic:pic>
              </a:graphicData>
            </a:graphic>
          </wp:anchor>
        </w:drawing>
      </w:r>
    </w:p>
    <w:p w14:paraId="102230D5">
      <w:pPr>
        <w:spacing w:line="400" w:lineRule="exact"/>
        <w:ind w:firstLine="480" w:firstLineChars="200"/>
        <w:rPr>
          <w:sz w:val="24"/>
        </w:rPr>
      </w:pPr>
    </w:p>
    <w:p w14:paraId="54C8DA52">
      <w:pPr>
        <w:spacing w:line="400" w:lineRule="exact"/>
        <w:ind w:firstLine="480" w:firstLineChars="200"/>
        <w:rPr>
          <w:sz w:val="24"/>
        </w:rPr>
      </w:pPr>
    </w:p>
    <w:p w14:paraId="13EEADED">
      <w:pPr>
        <w:spacing w:line="400" w:lineRule="exact"/>
        <w:ind w:firstLine="480" w:firstLineChars="200"/>
        <w:rPr>
          <w:sz w:val="24"/>
        </w:rPr>
      </w:pPr>
    </w:p>
    <w:p w14:paraId="6344617B">
      <w:pPr>
        <w:spacing w:line="400" w:lineRule="exact"/>
        <w:ind w:firstLine="480" w:firstLineChars="200"/>
        <w:rPr>
          <w:sz w:val="24"/>
        </w:rPr>
      </w:pPr>
    </w:p>
    <w:p w14:paraId="1E85CB7D">
      <w:pPr>
        <w:spacing w:line="400" w:lineRule="exact"/>
        <w:ind w:firstLine="420" w:firstLineChars="200"/>
        <w:rPr>
          <w:sz w:val="24"/>
        </w:rPr>
      </w:pPr>
      <w:r>
        <w:drawing>
          <wp:anchor distT="0" distB="0" distL="114300" distR="114300" simplePos="0" relativeHeight="251702272" behindDoc="0" locked="0" layoutInCell="1" allowOverlap="1">
            <wp:simplePos x="0" y="0"/>
            <wp:positionH relativeFrom="column">
              <wp:posOffset>1631315</wp:posOffset>
            </wp:positionH>
            <wp:positionV relativeFrom="paragraph">
              <wp:posOffset>171450</wp:posOffset>
            </wp:positionV>
            <wp:extent cx="1887220" cy="180340"/>
            <wp:effectExtent l="0" t="0" r="17780" b="10160"/>
            <wp:wrapNone/>
            <wp:docPr id="5" name="图片 6" descr="微信截图_20210928093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descr="微信截图_20210928093023"/>
                    <pic:cNvPicPr>
                      <a:picLocks noChangeAspect="1"/>
                    </pic:cNvPicPr>
                  </pic:nvPicPr>
                  <pic:blipFill>
                    <a:blip r:embed="rId12" cstate="print"/>
                    <a:stretch>
                      <a:fillRect/>
                    </a:stretch>
                  </pic:blipFill>
                  <pic:spPr>
                    <a:xfrm>
                      <a:off x="0" y="0"/>
                      <a:ext cx="1887220" cy="180340"/>
                    </a:xfrm>
                    <a:prstGeom prst="rect">
                      <a:avLst/>
                    </a:prstGeom>
                    <a:noFill/>
                    <a:ln>
                      <a:noFill/>
                    </a:ln>
                  </pic:spPr>
                </pic:pic>
              </a:graphicData>
            </a:graphic>
          </wp:anchor>
        </w:drawing>
      </w:r>
    </w:p>
    <w:p w14:paraId="35CA5837">
      <w:pPr>
        <w:spacing w:line="400" w:lineRule="exact"/>
        <w:rPr>
          <w:sz w:val="24"/>
        </w:rPr>
      </w:pPr>
      <w:r>
        <w:rPr>
          <w:rFonts w:hint="eastAsia"/>
          <w:sz w:val="24"/>
        </w:rPr>
        <w:t>的水安全保障体系。十三是加强公共服务保障，不断增进民生福祉。实施就业优先战略，扩大中等收入群体，强化多层次社会保障，积极应对人口老龄化。十四是深入贯彻总体国家安全观，建设更高水平的平安山东。</w:t>
      </w:r>
    </w:p>
    <w:p w14:paraId="7E174468">
      <w:pPr>
        <w:spacing w:line="400" w:lineRule="exact"/>
        <w:ind w:firstLine="480" w:firstLineChars="200"/>
        <w:rPr>
          <w:sz w:val="24"/>
        </w:rPr>
      </w:pPr>
      <w:r>
        <w:rPr>
          <w:rFonts w:hint="eastAsia"/>
          <w:sz w:val="24"/>
        </w:rPr>
        <w:t>加快打造山东半岛蓝色经济区。全面落实习近平总书记关于打造和建设好山东半岛蓝色经济区的重要指示，精心组织实施国家海洋经济发展试点，加快实施国家批复的《山东半岛蓝色经济区发展规划》，打造具有国际先进水平的海洋经济改革发展示范区和我国东部沿海地区重要的经济增长极。胶东半岛高端产业聚集区是山东半岛蓝色经济区的主体力量，要发挥全省优质资源富集地带的优势，放大青岛龙头带动效应，着力提高自主创新能力，努力建成国内一流、国际先进的技术密集、知识密集、人才密集、金融密集、服务密集的高端产业聚集区。</w:t>
      </w:r>
    </w:p>
    <w:p w14:paraId="757A51F0">
      <w:pPr>
        <w:spacing w:line="400" w:lineRule="exact"/>
        <w:ind w:firstLine="480" w:firstLineChars="200"/>
        <w:rPr>
          <w:sz w:val="24"/>
        </w:rPr>
      </w:pPr>
      <w:r>
        <w:rPr>
          <w:sz w:val="24"/>
        </w:rPr>
        <w:t>自从中国实行了改革开放政策以后，山东省的经济在平稳中快速发展。山东省通过不断改善产业结构，促进多方面产业发展，使得山东省的经济效益不断提高</w:t>
      </w:r>
      <w:r>
        <w:rPr>
          <w:rFonts w:hint="eastAsia"/>
          <w:sz w:val="24"/>
        </w:rPr>
        <w:t>，在发展物流所需的环境、制度、技术、人才等各个方面都处于有利地位。</w:t>
      </w:r>
    </w:p>
    <w:p w14:paraId="1E5563CB">
      <w:pPr>
        <w:spacing w:line="400" w:lineRule="exact"/>
        <w:ind w:firstLine="480" w:firstLineChars="200"/>
        <w:rPr>
          <w:sz w:val="24"/>
        </w:rPr>
      </w:pPr>
      <w:r>
        <w:rPr>
          <w:rFonts w:hint="eastAsia"/>
          <w:sz w:val="24"/>
        </w:rPr>
        <w:t>2）对</w:t>
      </w:r>
      <w:r>
        <w:rPr>
          <w:rFonts w:hint="eastAsia"/>
          <w:sz w:val="24"/>
          <w:lang w:val="en-US" w:eastAsia="zh-CN"/>
        </w:rPr>
        <w:t>德州</w:t>
      </w:r>
      <w:r>
        <w:rPr>
          <w:rFonts w:hint="eastAsia"/>
          <w:sz w:val="24"/>
        </w:rPr>
        <w:t>市的分析</w:t>
      </w:r>
    </w:p>
    <w:p w14:paraId="4483C631">
      <w:pPr>
        <w:spacing w:line="400" w:lineRule="exact"/>
        <w:ind w:firstLine="480" w:firstLineChars="200"/>
        <w:rPr>
          <w:sz w:val="24"/>
        </w:rPr>
      </w:pPr>
      <w:r>
        <w:rPr>
          <w:rFonts w:hint="eastAsia"/>
          <w:sz w:val="24"/>
        </w:rPr>
        <w:t>“十三五”期间，青</w:t>
      </w:r>
      <w:r>
        <w:rPr>
          <w:rFonts w:hint="eastAsia"/>
          <w:sz w:val="24"/>
          <w:lang w:val="en-US" w:eastAsia="zh-CN"/>
        </w:rPr>
        <w:t>德州</w:t>
      </w:r>
      <w:r>
        <w:rPr>
          <w:rFonts w:hint="eastAsia"/>
          <w:sz w:val="24"/>
        </w:rPr>
        <w:t>市在龙头企业、商贸零售行业、城市公共服务、保税物流园区交易市场建设等领域，取得了的促进</w:t>
      </w:r>
      <w:r>
        <w:rPr>
          <w:rFonts w:hint="eastAsia"/>
          <w:sz w:val="24"/>
          <w:lang w:val="en-US" w:eastAsia="zh-CN"/>
        </w:rPr>
        <w:t>德州</w:t>
      </w:r>
      <w:r>
        <w:rPr>
          <w:rFonts w:hint="eastAsia"/>
          <w:sz w:val="24"/>
        </w:rPr>
        <w:t>乃至全省的外贸经济的发展。另外以顺</w:t>
      </w:r>
      <w:r>
        <w:rPr>
          <w:rFonts w:hint="eastAsia"/>
          <w:sz w:val="24"/>
          <w:lang w:val="en-US" w:eastAsia="zh-CN"/>
        </w:rPr>
        <w:t>丰</w:t>
      </w:r>
      <w:r>
        <w:rPr>
          <w:rFonts w:hint="eastAsia"/>
          <w:sz w:val="24"/>
        </w:rPr>
        <w:t>快递，中外运，中海等第三方物流公司的发展，依托企业先进的信息化系统建设，不断开拓国内外市场，为</w:t>
      </w:r>
      <w:r>
        <w:rPr>
          <w:rFonts w:hint="eastAsia"/>
          <w:sz w:val="24"/>
          <w:lang w:val="en-US" w:eastAsia="zh-CN"/>
        </w:rPr>
        <w:t>德州</w:t>
      </w:r>
      <w:r>
        <w:rPr>
          <w:rFonts w:hint="eastAsia"/>
          <w:sz w:val="24"/>
        </w:rPr>
        <w:t>市物流产业的发展，乃至经济发展起到支持和推动作用，也必将产生大量的现代物流管理专业人才需求。</w:t>
      </w:r>
    </w:p>
    <w:p w14:paraId="46E146C4">
      <w:pPr>
        <w:spacing w:line="400" w:lineRule="exact"/>
        <w:ind w:firstLine="480" w:firstLineChars="200"/>
        <w:rPr>
          <w:sz w:val="24"/>
        </w:rPr>
      </w:pPr>
      <w:r>
        <w:rPr>
          <w:rFonts w:hint="eastAsia"/>
          <w:sz w:val="24"/>
        </w:rPr>
        <w:t>（3）在我省中小企业的微观层面</w:t>
      </w:r>
    </w:p>
    <w:p w14:paraId="3E0B58B3">
      <w:pPr>
        <w:spacing w:line="400" w:lineRule="exact"/>
        <w:ind w:firstLine="480" w:firstLineChars="200"/>
        <w:rPr>
          <w:sz w:val="24"/>
        </w:rPr>
      </w:pPr>
      <w:r>
        <w:rPr>
          <w:rFonts w:hint="eastAsia"/>
          <w:sz w:val="24"/>
        </w:rPr>
        <w:t>为了更好的加快我省物流产业的发展，更好的为我国经济的发展做贡献，各物流企业也开始不断的采取各种信息化和自动化手段，不断提高物流企业的效率和效益。随着各种信息化和自动化设施设备的使用，专业化，高素质，高技能的物流人才也越来越被需要。</w:t>
      </w:r>
    </w:p>
    <w:p w14:paraId="0766C3CD">
      <w:pPr>
        <w:widowControl/>
        <w:spacing w:line="360" w:lineRule="auto"/>
        <w:ind w:firstLine="480" w:firstLineChars="200"/>
        <w:jc w:val="left"/>
        <w:rPr>
          <w:sz w:val="24"/>
        </w:rPr>
      </w:pPr>
      <w:r>
        <w:rPr>
          <w:rFonts w:hint="eastAsia"/>
          <w:sz w:val="24"/>
        </w:rPr>
        <w:t>2、</w:t>
      </w:r>
      <w:r>
        <w:rPr>
          <w:sz w:val="24"/>
        </w:rPr>
        <w:t>专业培养目标分析</w:t>
      </w:r>
    </w:p>
    <w:p w14:paraId="48F2299A">
      <w:pPr>
        <w:widowControl/>
        <w:spacing w:line="360" w:lineRule="auto"/>
        <w:ind w:firstLine="480" w:firstLineChars="200"/>
        <w:jc w:val="left"/>
        <w:rPr>
          <w:sz w:val="24"/>
        </w:rPr>
      </w:pPr>
      <w:r>
        <w:rPr>
          <w:rFonts w:hint="eastAsia"/>
          <w:sz w:val="24"/>
        </w:rPr>
        <w:t>德州科技职业学院现代物流管理专业对应的行业主要有商贸物流、第三方物流、快递物流、国际物流等。培养的人才主要是针对企业中</w:t>
      </w:r>
      <w:r>
        <w:rPr>
          <w:rFonts w:hint="eastAsia"/>
          <w:sz w:val="24"/>
          <w:lang w:val="en-US" w:eastAsia="zh-CN"/>
        </w:rPr>
        <w:t>端</w:t>
      </w:r>
      <w:r>
        <w:rPr>
          <w:rFonts w:hint="eastAsia"/>
          <w:sz w:val="24"/>
        </w:rPr>
        <w:t>、低</w:t>
      </w:r>
      <w:r>
        <w:rPr>
          <w:rFonts w:hint="eastAsia"/>
          <w:sz w:val="24"/>
          <w:lang w:val="en-US" w:eastAsia="zh-CN"/>
        </w:rPr>
        <w:t>端</w:t>
      </w:r>
      <w:r>
        <w:rPr>
          <w:rFonts w:hint="eastAsia"/>
          <w:sz w:val="24"/>
        </w:rPr>
        <w:t>管理岗位。山东省物流产业发展较快，但与之不配套的是物流企业中级专业人才极度缺乏，已经成为物流产业发展的瓶颈，制约了现代物流发展的步伐。调查显示山东全市2万多家物流及相关企业中，专门从事物流工作的人数与职工总数之比为1：20，51%的物流企业中专业技术工人与管理人员的比例在20%以下。有近90%的企业表示迫切需要物流专业人才。通过调研分析，</w:t>
      </w:r>
      <w:r>
        <w:rPr>
          <w:sz w:val="24"/>
        </w:rPr>
        <w:t>本专业主要面向</w:t>
      </w:r>
      <w:r>
        <w:rPr>
          <w:rFonts w:hint="eastAsia"/>
          <w:sz w:val="24"/>
        </w:rPr>
        <w:t>山东</w:t>
      </w:r>
      <w:r>
        <w:rPr>
          <w:sz w:val="24"/>
        </w:rPr>
        <w:t>区域，服务</w:t>
      </w:r>
      <w:r>
        <w:rPr>
          <w:rFonts w:hint="eastAsia"/>
          <w:sz w:val="24"/>
        </w:rPr>
        <w:t>物流</w:t>
      </w:r>
      <w:r>
        <w:rPr>
          <w:sz w:val="24"/>
        </w:rPr>
        <w:t>行业（企业），培养与社会主义现代化建设要求相适应的德、智、体、美全面发展，适应生产、建设、服务和管理第一线需要，具有良好的职业道德和敬业精神，掌握</w:t>
      </w:r>
      <w:r>
        <w:rPr>
          <w:rFonts w:hint="eastAsia"/>
          <w:sz w:val="24"/>
        </w:rPr>
        <w:t>物流相</w:t>
      </w:r>
      <w:r>
        <w:rPr>
          <w:rFonts w:hint="eastAsia"/>
          <w:color w:val="000000"/>
          <w:sz w:val="24"/>
        </w:rPr>
        <w:t>关</w:t>
      </w:r>
      <w:r>
        <w:rPr>
          <w:color w:val="000000"/>
          <w:sz w:val="24"/>
        </w:rPr>
        <w:t>知识，具备</w:t>
      </w:r>
      <w:r>
        <w:rPr>
          <w:rFonts w:hint="eastAsia"/>
          <w:color w:val="000000"/>
          <w:sz w:val="24"/>
        </w:rPr>
        <w:t>物流相关</w:t>
      </w:r>
      <w:r>
        <w:rPr>
          <w:color w:val="000000"/>
          <w:sz w:val="24"/>
        </w:rPr>
        <w:t>能力的高素质技能型专门人才。</w:t>
      </w:r>
    </w:p>
    <w:p w14:paraId="0B82FB9B">
      <w:pPr>
        <w:widowControl/>
        <w:spacing w:line="360" w:lineRule="auto"/>
        <w:ind w:firstLine="480" w:firstLineChars="200"/>
        <w:jc w:val="left"/>
        <w:rPr>
          <w:sz w:val="24"/>
        </w:rPr>
      </w:pPr>
      <w:r>
        <w:rPr>
          <w:rFonts w:hint="eastAsia"/>
          <w:sz w:val="24"/>
        </w:rPr>
        <w:t>3、</w:t>
      </w:r>
      <w:r>
        <w:rPr>
          <w:sz w:val="24"/>
        </w:rPr>
        <w:t>典型工作任务分析</w:t>
      </w:r>
    </w:p>
    <w:p w14:paraId="10999D5D">
      <w:pPr>
        <w:widowControl/>
        <w:spacing w:line="360" w:lineRule="auto"/>
        <w:ind w:firstLine="480" w:firstLineChars="200"/>
        <w:jc w:val="left"/>
        <w:rPr>
          <w:sz w:val="24"/>
        </w:rPr>
      </w:pPr>
      <w:r>
        <w:rPr>
          <w:rFonts w:hint="eastAsia"/>
          <w:sz w:val="24"/>
        </w:rPr>
        <w:t>在物流企业中，人才需求的主要类型包括：战略规划人才；高级管理人才；中、低级管理人才以及从事基本操作的技术工人。对物流企业调查资料表明战略规划人才和高级管理人才应具有大学本科以上学历，从事基本操作的技术工人可以是具有中职或经过短期培训上岗的人员，而中、低级管理人才则应是具有现代物流管理专业大专学历，掌握物流企业作业的基本操作技能，能够从事运营管理的高素质技能型人才。调查结果显示，目前比较紧缺的岗位是仓管员、采购员、配载员、单证员。其他如报关员、报检员、调度员、货代员、和计划员等也有大量缺口。由于中原经济区的建设，以郑州为核心增长极的河南地区物流业发展有着得天独厚的优势和政策优势，以商贸流通业为主，以汽车电子等新兴工业推动，进出口贸易额稳步增长，相关行业企业对物流现代化水平特别是管理水平有着强烈的需求，因此对高水平的中级物流管理人才需求迫切，这也是山东地区高职院校必须承担起的培养物流人才的社会责任。</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4"/>
        <w:gridCol w:w="7145"/>
      </w:tblGrid>
      <w:tr w14:paraId="5468B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894" w:type="dxa"/>
            <w:vAlign w:val="center"/>
          </w:tcPr>
          <w:p w14:paraId="2FA2DD9A">
            <w:pPr>
              <w:shd w:val="clear" w:color="auto" w:fill="FFFFFF"/>
              <w:jc w:val="center"/>
              <w:rPr>
                <w:rFonts w:ascii="宋体" w:hAnsi="宋体"/>
                <w:b/>
                <w:szCs w:val="21"/>
              </w:rPr>
            </w:pPr>
            <w:r>
              <w:rPr>
                <w:rFonts w:hint="eastAsia" w:ascii="宋体" w:hAnsi="宋体"/>
                <w:b/>
                <w:szCs w:val="21"/>
              </w:rPr>
              <w:t>典型工作任务</w:t>
            </w:r>
          </w:p>
        </w:tc>
        <w:tc>
          <w:tcPr>
            <w:tcW w:w="7145" w:type="dxa"/>
            <w:vAlign w:val="center"/>
          </w:tcPr>
          <w:p w14:paraId="62CCE2B0">
            <w:pPr>
              <w:shd w:val="clear" w:color="auto" w:fill="FFFFFF"/>
              <w:jc w:val="center"/>
              <w:rPr>
                <w:rFonts w:ascii="宋体" w:hAnsi="宋体"/>
                <w:b/>
                <w:szCs w:val="21"/>
              </w:rPr>
            </w:pPr>
            <w:r>
              <w:rPr>
                <w:rFonts w:hint="eastAsia" w:ascii="宋体" w:hAnsi="宋体"/>
                <w:b/>
                <w:szCs w:val="21"/>
              </w:rPr>
              <w:t>工作过程</w:t>
            </w:r>
          </w:p>
        </w:tc>
      </w:tr>
      <w:tr w14:paraId="198FC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894" w:type="dxa"/>
            <w:vAlign w:val="center"/>
          </w:tcPr>
          <w:p w14:paraId="22A9E5EB">
            <w:pPr>
              <w:shd w:val="clear" w:color="auto" w:fill="FFFFFF"/>
              <w:rPr>
                <w:rFonts w:ascii="宋体" w:hAnsi="宋体"/>
                <w:szCs w:val="21"/>
              </w:rPr>
            </w:pPr>
            <w:r>
              <w:rPr>
                <w:rFonts w:hint="eastAsia" w:ascii="宋体" w:hAnsi="宋体"/>
                <w:szCs w:val="21"/>
              </w:rPr>
              <w:t>1、市场拓展</w:t>
            </w:r>
          </w:p>
        </w:tc>
        <w:tc>
          <w:tcPr>
            <w:tcW w:w="7145" w:type="dxa"/>
          </w:tcPr>
          <w:p w14:paraId="0E0922A5">
            <w:pPr>
              <w:shd w:val="clear" w:color="auto" w:fill="FFFFFF"/>
              <w:rPr>
                <w:rFonts w:ascii="宋体" w:hAnsi="宋体"/>
                <w:szCs w:val="21"/>
              </w:rPr>
            </w:pPr>
            <w:r>
              <w:rPr>
                <w:rFonts w:hint="eastAsia" w:ascii="宋体" w:hAnsi="宋体"/>
                <w:szCs w:val="21"/>
              </w:rPr>
              <w:t>了解客户基本物流信息→谈判→成本核算→方案设计 → 报价→合同修改与签订→向内部发出新增客户通知→制作新增客户基本操作流程→处理客户日常投诉</w:t>
            </w:r>
          </w:p>
        </w:tc>
      </w:tr>
      <w:tr w14:paraId="779A5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894" w:type="dxa"/>
            <w:vAlign w:val="center"/>
          </w:tcPr>
          <w:p w14:paraId="730A528F">
            <w:pPr>
              <w:shd w:val="clear" w:color="auto" w:fill="FFFFFF"/>
              <w:rPr>
                <w:rFonts w:ascii="宋体" w:hAnsi="宋体"/>
                <w:szCs w:val="21"/>
              </w:rPr>
            </w:pPr>
            <w:r>
              <w:rPr>
                <w:rFonts w:hint="eastAsia" w:ascii="宋体" w:hAnsi="宋体"/>
                <w:szCs w:val="21"/>
              </w:rPr>
              <w:t>2、业务开发</w:t>
            </w:r>
          </w:p>
        </w:tc>
        <w:tc>
          <w:tcPr>
            <w:tcW w:w="7145" w:type="dxa"/>
          </w:tcPr>
          <w:p w14:paraId="59FEA4C6">
            <w:pPr>
              <w:shd w:val="clear" w:color="auto" w:fill="FFFFFF"/>
              <w:rPr>
                <w:rFonts w:ascii="宋体" w:hAnsi="宋体"/>
                <w:szCs w:val="21"/>
              </w:rPr>
            </w:pPr>
            <w:r>
              <w:rPr>
                <w:rFonts w:hint="eastAsia" w:ascii="宋体" w:hAnsi="宋体"/>
                <w:szCs w:val="21"/>
              </w:rPr>
              <w:t>寻找、筛选目标客户→客户及业务评估→递交物流方案书→客户确认→会同运做部门进行实施确认→签定物流服务合同→资源准备（计划履行合同）</w:t>
            </w:r>
          </w:p>
        </w:tc>
      </w:tr>
      <w:tr w14:paraId="6201C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94" w:type="dxa"/>
            <w:vAlign w:val="center"/>
          </w:tcPr>
          <w:p w14:paraId="59083E40">
            <w:pPr>
              <w:shd w:val="clear" w:color="auto" w:fill="FFFFFF"/>
              <w:rPr>
                <w:rFonts w:ascii="宋体" w:hAnsi="宋体"/>
                <w:szCs w:val="21"/>
              </w:rPr>
            </w:pPr>
            <w:r>
              <w:rPr>
                <w:rFonts w:hint="eastAsia" w:ascii="宋体" w:hAnsi="宋体"/>
                <w:szCs w:val="21"/>
              </w:rPr>
              <w:t>3、采购</w:t>
            </w:r>
          </w:p>
        </w:tc>
        <w:tc>
          <w:tcPr>
            <w:tcW w:w="7145" w:type="dxa"/>
          </w:tcPr>
          <w:p w14:paraId="4C1F463F">
            <w:pPr>
              <w:shd w:val="clear" w:color="auto" w:fill="FFFFFF"/>
              <w:rPr>
                <w:rFonts w:ascii="宋体" w:hAnsi="宋体"/>
                <w:szCs w:val="21"/>
              </w:rPr>
            </w:pPr>
            <w:r>
              <w:rPr>
                <w:rFonts w:hint="eastAsia" w:ascii="宋体" w:hAnsi="宋体"/>
                <w:szCs w:val="21"/>
              </w:rPr>
              <w:t>明确需求→分析需求和供应市场→编制采购计划→询价和报价分析→认证确定供应商→谈判→签订合同→关系维护→供应商关系管理→评价采购工作</w:t>
            </w:r>
          </w:p>
        </w:tc>
      </w:tr>
      <w:tr w14:paraId="0342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94" w:type="dxa"/>
            <w:vAlign w:val="center"/>
          </w:tcPr>
          <w:p w14:paraId="7E0C3D9E">
            <w:pPr>
              <w:shd w:val="clear" w:color="auto" w:fill="FFFFFF"/>
              <w:rPr>
                <w:rFonts w:ascii="宋体" w:hAnsi="宋体"/>
                <w:szCs w:val="21"/>
              </w:rPr>
            </w:pPr>
            <w:r>
              <w:rPr>
                <w:rFonts w:hint="eastAsia" w:ascii="宋体" w:hAnsi="宋体"/>
                <w:szCs w:val="21"/>
              </w:rPr>
              <w:t>4、仓储</w:t>
            </w:r>
          </w:p>
        </w:tc>
        <w:tc>
          <w:tcPr>
            <w:tcW w:w="7145" w:type="dxa"/>
          </w:tcPr>
          <w:p w14:paraId="28B79E92">
            <w:pPr>
              <w:shd w:val="clear" w:color="auto" w:fill="FFFFFF"/>
              <w:rPr>
                <w:rFonts w:ascii="宋体" w:hAnsi="宋体"/>
                <w:szCs w:val="21"/>
              </w:rPr>
            </w:pPr>
            <w:r>
              <w:rPr>
                <w:rFonts w:hint="eastAsia" w:ascii="宋体" w:hAnsi="宋体"/>
                <w:szCs w:val="21"/>
              </w:rPr>
              <w:t>接收入库（出库）指令→计划货物或商品接运前的准备→货物或商品接运→审核订单与进货单→货物或商品检验→接运信息的处理→储位的规划管理→货物或商品上架储存→储存环境条件的管理控制→盘点→盘点结果的处理→系统确认</w:t>
            </w:r>
          </w:p>
        </w:tc>
      </w:tr>
      <w:tr w14:paraId="3AB3A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94" w:type="dxa"/>
            <w:vAlign w:val="center"/>
          </w:tcPr>
          <w:p w14:paraId="3F6F1674">
            <w:pPr>
              <w:shd w:val="clear" w:color="auto" w:fill="FFFFFF"/>
              <w:rPr>
                <w:rFonts w:ascii="宋体" w:hAnsi="宋体"/>
                <w:szCs w:val="21"/>
              </w:rPr>
            </w:pPr>
            <w:r>
              <w:rPr>
                <w:rFonts w:hint="eastAsia" w:ascii="宋体" w:hAnsi="宋体"/>
                <w:szCs w:val="21"/>
              </w:rPr>
              <w:t>5、分拣</w:t>
            </w:r>
          </w:p>
        </w:tc>
        <w:tc>
          <w:tcPr>
            <w:tcW w:w="7145" w:type="dxa"/>
          </w:tcPr>
          <w:p w14:paraId="58E2B7D0">
            <w:pPr>
              <w:shd w:val="clear" w:color="auto" w:fill="FFFFFF"/>
              <w:rPr>
                <w:rFonts w:ascii="宋体" w:hAnsi="宋体"/>
                <w:szCs w:val="21"/>
              </w:rPr>
            </w:pPr>
            <w:r>
              <w:rPr>
                <w:rFonts w:hint="eastAsia" w:ascii="宋体" w:hAnsi="宋体"/>
                <w:szCs w:val="21"/>
              </w:rPr>
              <w:t>接受订单→商品订单资料分析→制订出货作业流程→确定拣货作业方式→制作拣货作业单据→安排拣货作业路径→拣货作业人员安排货物拣取→分货→系统确认</w:t>
            </w:r>
          </w:p>
        </w:tc>
      </w:tr>
      <w:tr w14:paraId="65577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94" w:type="dxa"/>
            <w:vAlign w:val="center"/>
          </w:tcPr>
          <w:p w14:paraId="162F7FE5">
            <w:pPr>
              <w:shd w:val="clear" w:color="auto" w:fill="FFFFFF"/>
              <w:rPr>
                <w:rFonts w:ascii="宋体" w:hAnsi="宋体"/>
                <w:szCs w:val="21"/>
              </w:rPr>
            </w:pPr>
            <w:r>
              <w:rPr>
                <w:rFonts w:hint="eastAsia" w:ascii="宋体" w:hAnsi="宋体"/>
                <w:szCs w:val="21"/>
              </w:rPr>
              <w:t>6、配送</w:t>
            </w:r>
          </w:p>
        </w:tc>
        <w:tc>
          <w:tcPr>
            <w:tcW w:w="7145" w:type="dxa"/>
          </w:tcPr>
          <w:p w14:paraId="1E80F375">
            <w:pPr>
              <w:shd w:val="clear" w:color="auto" w:fill="FFFFFF"/>
              <w:rPr>
                <w:rFonts w:ascii="宋体" w:hAnsi="宋体"/>
                <w:szCs w:val="21"/>
              </w:rPr>
            </w:pPr>
            <w:r>
              <w:rPr>
                <w:rFonts w:hint="eastAsia" w:ascii="宋体" w:hAnsi="宋体"/>
                <w:szCs w:val="21"/>
              </w:rPr>
              <w:t>领取装车单与配送单据→点验单据→按单清点货物 → 装车作业→按路线进行配送→配送异常信息反馈→领取并审理验收单据→返回验收单据</w:t>
            </w:r>
          </w:p>
        </w:tc>
      </w:tr>
      <w:tr w14:paraId="65F87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94" w:type="dxa"/>
            <w:vAlign w:val="center"/>
          </w:tcPr>
          <w:p w14:paraId="2CDDB98F">
            <w:pPr>
              <w:shd w:val="clear" w:color="auto" w:fill="FFFFFF"/>
              <w:rPr>
                <w:rFonts w:ascii="宋体" w:hAnsi="宋体"/>
                <w:szCs w:val="21"/>
              </w:rPr>
            </w:pPr>
            <w:r>
              <w:rPr>
                <w:rFonts w:hint="eastAsia" w:ascii="宋体" w:hAnsi="宋体"/>
                <w:szCs w:val="21"/>
              </w:rPr>
              <w:t>7、运输</w:t>
            </w:r>
          </w:p>
        </w:tc>
        <w:tc>
          <w:tcPr>
            <w:tcW w:w="7145" w:type="dxa"/>
          </w:tcPr>
          <w:p w14:paraId="2685FCEA">
            <w:pPr>
              <w:shd w:val="clear" w:color="auto" w:fill="FFFFFF"/>
              <w:rPr>
                <w:rFonts w:ascii="宋体" w:hAnsi="宋体"/>
                <w:szCs w:val="21"/>
              </w:rPr>
            </w:pPr>
            <w:r>
              <w:rPr>
                <w:rFonts w:hint="eastAsia" w:ascii="宋体" w:hAnsi="宋体"/>
                <w:szCs w:val="21"/>
              </w:rPr>
              <w:t>接客服部分单指令→调度车辆→提货→在途跟踪→收货安排→应付费用审核</w:t>
            </w:r>
          </w:p>
        </w:tc>
      </w:tr>
      <w:tr w14:paraId="7E12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94" w:type="dxa"/>
            <w:vAlign w:val="center"/>
          </w:tcPr>
          <w:p w14:paraId="021F1910">
            <w:pPr>
              <w:shd w:val="clear" w:color="auto" w:fill="FFFFFF"/>
              <w:rPr>
                <w:rFonts w:ascii="宋体" w:hAnsi="宋体"/>
                <w:szCs w:val="21"/>
              </w:rPr>
            </w:pPr>
            <w:r>
              <w:rPr>
                <w:rFonts w:hint="eastAsia" w:ascii="宋体" w:hAnsi="宋体"/>
                <w:szCs w:val="21"/>
              </w:rPr>
              <w:t>8、合同维护与修改</w:t>
            </w:r>
          </w:p>
        </w:tc>
        <w:tc>
          <w:tcPr>
            <w:tcW w:w="7145" w:type="dxa"/>
          </w:tcPr>
          <w:p w14:paraId="71E136C4">
            <w:pPr>
              <w:shd w:val="clear" w:color="auto" w:fill="FFFFFF"/>
              <w:rPr>
                <w:rFonts w:ascii="宋体" w:hAnsi="宋体"/>
                <w:szCs w:val="21"/>
              </w:rPr>
            </w:pPr>
            <w:r>
              <w:rPr>
                <w:rFonts w:hint="eastAsia" w:ascii="宋体" w:hAnsi="宋体"/>
                <w:szCs w:val="21"/>
              </w:rPr>
              <w:t>将新客户合同进行登记→对合同进行归档→按月对登记文件进行查询，看是否有需要续签合同→通知客户进行续签 →如果客户提出新的需求，对需求进行处理→完成续签或终止合同工作</w:t>
            </w:r>
          </w:p>
        </w:tc>
      </w:tr>
      <w:tr w14:paraId="77769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94" w:type="dxa"/>
            <w:vAlign w:val="center"/>
          </w:tcPr>
          <w:p w14:paraId="66E55A68">
            <w:pPr>
              <w:shd w:val="clear" w:color="auto" w:fill="FFFFFF"/>
              <w:rPr>
                <w:rFonts w:ascii="宋体" w:hAnsi="宋体"/>
                <w:szCs w:val="21"/>
              </w:rPr>
            </w:pPr>
            <w:r>
              <w:rPr>
                <w:rFonts w:hint="eastAsia" w:ascii="宋体" w:hAnsi="宋体"/>
                <w:szCs w:val="21"/>
              </w:rPr>
              <w:t>9、关务工作</w:t>
            </w:r>
          </w:p>
        </w:tc>
        <w:tc>
          <w:tcPr>
            <w:tcW w:w="7145" w:type="dxa"/>
          </w:tcPr>
          <w:p w14:paraId="57168C16">
            <w:pPr>
              <w:shd w:val="clear" w:color="auto" w:fill="FFFFFF"/>
              <w:rPr>
                <w:rFonts w:ascii="宋体" w:hAnsi="宋体"/>
                <w:szCs w:val="21"/>
              </w:rPr>
            </w:pPr>
            <w:r>
              <w:rPr>
                <w:rFonts w:hint="eastAsia" w:ascii="宋体" w:hAnsi="宋体"/>
                <w:szCs w:val="21"/>
              </w:rPr>
              <w:t>接到商务提供的报关资料及报关指令→根据运作的具体产品情况配合海关完成产品的清关流程→反馈清关过程中的异常情况和海关临时要求→协调海关处理相关问题</w:t>
            </w:r>
          </w:p>
        </w:tc>
      </w:tr>
      <w:tr w14:paraId="09D2F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94" w:type="dxa"/>
            <w:vAlign w:val="center"/>
          </w:tcPr>
          <w:p w14:paraId="0EEBAE5B">
            <w:pPr>
              <w:shd w:val="clear" w:color="auto" w:fill="FFFFFF"/>
              <w:rPr>
                <w:rFonts w:ascii="宋体" w:hAnsi="宋体"/>
                <w:szCs w:val="21"/>
              </w:rPr>
            </w:pPr>
            <w:r>
              <w:rPr>
                <w:rFonts w:hint="eastAsia" w:ascii="宋体" w:hAnsi="宋体"/>
                <w:szCs w:val="21"/>
              </w:rPr>
              <w:t>10、商务工作（制造企业）</w:t>
            </w:r>
          </w:p>
        </w:tc>
        <w:tc>
          <w:tcPr>
            <w:tcW w:w="7145" w:type="dxa"/>
          </w:tcPr>
          <w:p w14:paraId="1EBCFF60">
            <w:pPr>
              <w:shd w:val="clear" w:color="auto" w:fill="FFFFFF"/>
              <w:rPr>
                <w:rFonts w:ascii="宋体" w:hAnsi="宋体"/>
                <w:szCs w:val="21"/>
              </w:rPr>
            </w:pPr>
            <w:r>
              <w:rPr>
                <w:rFonts w:hint="eastAsia" w:ascii="宋体" w:hAnsi="宋体"/>
                <w:szCs w:val="21"/>
              </w:rPr>
              <w:t>接到客户业务信息</w:t>
            </w:r>
            <w:r>
              <w:rPr>
                <w:rFonts w:ascii="宋体" w:hAnsi="宋体"/>
                <w:szCs w:val="21"/>
              </w:rPr>
              <w:t>—</w:t>
            </w:r>
            <w:r>
              <w:rPr>
                <w:rFonts w:hint="eastAsia" w:ascii="宋体" w:hAnsi="宋体"/>
                <w:szCs w:val="21"/>
              </w:rPr>
              <w:t>ERP系统中录入订单→根据业务需要生成不同合同→根据合同拟制打印相关单据→传递相关单据到关务部和物流配送部并发出相应操作指令→搜集运作中的相关信息并反馈客户→协调客户及公司处理异常问题→配合财务完成与客户的对帐工作→跟催帐款的回收</w:t>
            </w:r>
          </w:p>
        </w:tc>
      </w:tr>
      <w:tr w14:paraId="07DF1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94" w:type="dxa"/>
            <w:vAlign w:val="center"/>
          </w:tcPr>
          <w:p w14:paraId="7F638F9C">
            <w:pPr>
              <w:shd w:val="clear" w:color="auto" w:fill="FFFFFF"/>
              <w:rPr>
                <w:rFonts w:ascii="宋体" w:hAnsi="宋体"/>
                <w:szCs w:val="21"/>
              </w:rPr>
            </w:pPr>
            <w:r>
              <w:rPr>
                <w:rFonts w:hint="eastAsia" w:ascii="宋体" w:hAnsi="宋体"/>
                <w:szCs w:val="21"/>
              </w:rPr>
              <w:t>11、流程制定、客户投诉处理</w:t>
            </w:r>
          </w:p>
        </w:tc>
        <w:tc>
          <w:tcPr>
            <w:tcW w:w="7145" w:type="dxa"/>
          </w:tcPr>
          <w:p w14:paraId="18122853">
            <w:pPr>
              <w:shd w:val="clear" w:color="auto" w:fill="FFFFFF"/>
              <w:rPr>
                <w:rFonts w:ascii="宋体" w:hAnsi="宋体"/>
                <w:szCs w:val="21"/>
              </w:rPr>
            </w:pPr>
            <w:r>
              <w:rPr>
                <w:rFonts w:hint="eastAsia" w:ascii="宋体" w:hAnsi="宋体"/>
                <w:szCs w:val="21"/>
              </w:rPr>
              <w:t>制作新增客户基本操作流程→与运作部及新客户共同进行实际演练→进行日常操作→处理客户日常投诉→完善工作流程</w:t>
            </w:r>
          </w:p>
        </w:tc>
      </w:tr>
      <w:tr w14:paraId="4D689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94" w:type="dxa"/>
            <w:vAlign w:val="center"/>
          </w:tcPr>
          <w:p w14:paraId="72B3794F">
            <w:pPr>
              <w:shd w:val="clear" w:color="auto" w:fill="FFFFFF"/>
              <w:rPr>
                <w:rFonts w:ascii="宋体" w:hAnsi="宋体"/>
                <w:szCs w:val="21"/>
              </w:rPr>
            </w:pPr>
            <w:r>
              <w:rPr>
                <w:rFonts w:hint="eastAsia" w:ascii="宋体" w:hAnsi="宋体"/>
                <w:szCs w:val="21"/>
              </w:rPr>
              <w:t>13、客户服务</w:t>
            </w:r>
          </w:p>
        </w:tc>
        <w:tc>
          <w:tcPr>
            <w:tcW w:w="7145" w:type="dxa"/>
          </w:tcPr>
          <w:p w14:paraId="17AC2CF9">
            <w:pPr>
              <w:shd w:val="clear" w:color="auto" w:fill="FFFFFF"/>
              <w:rPr>
                <w:rFonts w:ascii="宋体" w:hAnsi="宋体"/>
                <w:szCs w:val="21"/>
              </w:rPr>
            </w:pPr>
          </w:p>
        </w:tc>
      </w:tr>
    </w:tbl>
    <w:p w14:paraId="0F93B740">
      <w:pPr>
        <w:widowControl/>
        <w:spacing w:line="360" w:lineRule="auto"/>
        <w:jc w:val="left"/>
        <w:rPr>
          <w:sz w:val="24"/>
        </w:rPr>
      </w:pPr>
    </w:p>
    <w:p w14:paraId="4C0AE1C0">
      <w:pPr>
        <w:widowControl/>
        <w:spacing w:line="360" w:lineRule="auto"/>
        <w:ind w:firstLine="480" w:firstLineChars="200"/>
        <w:jc w:val="left"/>
        <w:rPr>
          <w:sz w:val="24"/>
        </w:rPr>
      </w:pPr>
      <w:r>
        <w:rPr>
          <w:rFonts w:hint="eastAsia"/>
          <w:sz w:val="24"/>
        </w:rPr>
        <w:t>4、</w:t>
      </w:r>
      <w:r>
        <w:rPr>
          <w:sz w:val="24"/>
        </w:rPr>
        <w:t>岗位职业能力分析</w:t>
      </w:r>
    </w:p>
    <w:p w14:paraId="557AB632">
      <w:pPr>
        <w:widowControl/>
        <w:spacing w:line="360" w:lineRule="auto"/>
        <w:ind w:firstLine="480" w:firstLineChars="200"/>
        <w:jc w:val="left"/>
        <w:rPr>
          <w:sz w:val="24"/>
        </w:rPr>
      </w:pPr>
      <w:r>
        <w:rPr>
          <w:rFonts w:hint="eastAsia"/>
          <w:sz w:val="24"/>
        </w:rPr>
        <w:t>（1）物流业务操作岗位能力分析</w:t>
      </w:r>
    </w:p>
    <w:p w14:paraId="3AF7ADF0">
      <w:pPr>
        <w:widowControl/>
        <w:spacing w:line="360" w:lineRule="auto"/>
        <w:ind w:firstLine="480" w:firstLineChars="200"/>
        <w:jc w:val="left"/>
        <w:rPr>
          <w:sz w:val="24"/>
        </w:rPr>
      </w:pPr>
      <w:r>
        <w:rPr>
          <w:rFonts w:hint="eastAsia"/>
          <w:sz w:val="24"/>
        </w:rPr>
        <w:t>物流运输岗位：具备物流信息收集、处理和分析能力；物流运输服务市场需求调查与分析、客户服务管理能力；根据业务内容选择运输工具与方式的能力；具备确定运输工具并合理进行货物配载的能力；优化运输作业线路，制订运输计划与排程，进行运输生产调度和过程管理能力；进行运输报价，制订运输方案，执行和评估运输服务合同的能力；集装箱运输、多式联运运营以及特殊货物运输组织管理能力；仓储与配送岗位：具备仓库规划、选址和设施布局的能力；货物出入库和在库管理能力；库存控制和费用核算能力；选择包装物进行合理包装的能力；仓储配送信息分析与处理能力；按照仓储、配送的质量标准和安全要求，进行组织协调能力；货物装卸和仓储物流设备操作能力。</w:t>
      </w:r>
    </w:p>
    <w:p w14:paraId="12BE36C9">
      <w:pPr>
        <w:widowControl/>
        <w:spacing w:line="360" w:lineRule="auto"/>
        <w:ind w:firstLine="480" w:firstLineChars="200"/>
        <w:jc w:val="left"/>
        <w:rPr>
          <w:sz w:val="24"/>
        </w:rPr>
      </w:pPr>
      <w:r>
        <w:rPr>
          <w:rFonts w:hint="eastAsia"/>
          <w:sz w:val="24"/>
        </w:rPr>
        <w:t>国际物流岗位：具备阅读一般性英文商务函件的能力；国际物流运行中的报关、报检和货代服务的能力；识读并填制与国际物流有关的各类单据的能力；操作运用与国际物流有关的软件的能力；计算简单国际物流运作成本的能力；收集、整理、编制物流数据资料的能力；与国际物流业务相关的设施设备操作管理能力；</w:t>
      </w:r>
    </w:p>
    <w:p w14:paraId="449C328C">
      <w:pPr>
        <w:widowControl/>
        <w:spacing w:line="360" w:lineRule="auto"/>
        <w:ind w:firstLine="480" w:firstLineChars="200"/>
        <w:jc w:val="left"/>
        <w:rPr>
          <w:sz w:val="24"/>
        </w:rPr>
      </w:pPr>
      <w:r>
        <w:rPr>
          <w:rFonts w:hint="eastAsia"/>
          <w:sz w:val="24"/>
        </w:rPr>
        <w:t>（2）物流商务开发岗位能力分析</w:t>
      </w:r>
    </w:p>
    <w:p w14:paraId="4C311EC7">
      <w:pPr>
        <w:widowControl/>
        <w:spacing w:line="360" w:lineRule="auto"/>
        <w:ind w:firstLine="480" w:firstLineChars="200"/>
        <w:jc w:val="left"/>
        <w:rPr>
          <w:sz w:val="24"/>
        </w:rPr>
      </w:pPr>
      <w:r>
        <w:rPr>
          <w:rFonts w:hint="eastAsia"/>
          <w:sz w:val="24"/>
        </w:rPr>
        <w:t>具备组织市场需求调查与分析的能力；简要分析企业的价值链和供应链、细分市场选择目标市场和市场定位的能力；能够进行营销沟通，管理服务质量，进行顾客满意度调查和客户关系管理的能力；提出服务设施和设备管理的营销建议的能力。</w:t>
      </w:r>
    </w:p>
    <w:p w14:paraId="2ECA8D7B">
      <w:pPr>
        <w:widowControl/>
        <w:spacing w:line="360" w:lineRule="auto"/>
        <w:ind w:firstLine="480" w:firstLineChars="200"/>
        <w:jc w:val="left"/>
        <w:rPr>
          <w:sz w:val="24"/>
        </w:rPr>
      </w:pPr>
      <w:r>
        <w:rPr>
          <w:rFonts w:hint="eastAsia"/>
          <w:sz w:val="24"/>
        </w:rPr>
        <w:t>（3）物流信息技术岗位能力分析</w:t>
      </w:r>
    </w:p>
    <w:p w14:paraId="1E68CC2A">
      <w:pPr>
        <w:widowControl/>
        <w:spacing w:line="360" w:lineRule="auto"/>
        <w:ind w:firstLine="480" w:firstLineChars="200"/>
        <w:jc w:val="left"/>
        <w:rPr>
          <w:sz w:val="24"/>
        </w:rPr>
      </w:pPr>
      <w:r>
        <w:rPr>
          <w:rFonts w:hint="eastAsia"/>
          <w:sz w:val="24"/>
        </w:rPr>
        <w:t>具备运用物流信息管理知识处理简单的物流业务流程的能力；熟练操作条码和自动识别技术及其应用的能力；运用GIS、PS、RF等物流相关技术的能力；依据分析和设计物流信息系统架构，主要业务流程，并提出物流信息管理的改进方法的能力。</w:t>
      </w:r>
    </w:p>
    <w:p w14:paraId="1B8C18D0">
      <w:pPr>
        <w:widowControl/>
        <w:spacing w:line="360" w:lineRule="auto"/>
        <w:ind w:firstLine="480" w:firstLineChars="200"/>
        <w:jc w:val="left"/>
        <w:rPr>
          <w:sz w:val="24"/>
        </w:rPr>
      </w:pPr>
      <w:r>
        <w:rPr>
          <w:rFonts w:hint="eastAsia"/>
          <w:sz w:val="24"/>
        </w:rPr>
        <w:t>通过对上述各单位工作岗位及相关能力的调研，现将社会所需的物流管理岗位及相关岗位的职业能力需求总结如下：</w:t>
      </w:r>
    </w:p>
    <w:tbl>
      <w:tblPr>
        <w:tblStyle w:val="24"/>
        <w:tblW w:w="0" w:type="auto"/>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1620"/>
        <w:gridCol w:w="2266"/>
        <w:gridCol w:w="4784"/>
      </w:tblGrid>
      <w:tr w14:paraId="3C32B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tcPr>
          <w:p w14:paraId="51889EC1">
            <w:pPr>
              <w:shd w:val="clear" w:color="auto" w:fill="FFFFFF"/>
              <w:jc w:val="center"/>
              <w:rPr>
                <w:rFonts w:ascii="宋体" w:hAnsi="宋体"/>
                <w:b/>
                <w:szCs w:val="21"/>
              </w:rPr>
            </w:pPr>
            <w:r>
              <w:rPr>
                <w:rFonts w:hint="eastAsia" w:ascii="宋体" w:hAnsi="宋体"/>
                <w:b/>
                <w:szCs w:val="21"/>
              </w:rPr>
              <w:t>序号</w:t>
            </w:r>
          </w:p>
        </w:tc>
        <w:tc>
          <w:tcPr>
            <w:tcW w:w="1620" w:type="dxa"/>
          </w:tcPr>
          <w:p w14:paraId="63B2AFF2">
            <w:pPr>
              <w:shd w:val="clear" w:color="auto" w:fill="FFFFFF"/>
              <w:jc w:val="center"/>
              <w:rPr>
                <w:rFonts w:ascii="宋体" w:hAnsi="宋体"/>
                <w:b/>
                <w:szCs w:val="21"/>
              </w:rPr>
            </w:pPr>
            <w:r>
              <w:rPr>
                <w:rFonts w:hint="eastAsia" w:ascii="宋体" w:hAnsi="宋体"/>
                <w:b/>
                <w:szCs w:val="21"/>
              </w:rPr>
              <w:t>核心工作岗位及相关工作岗位</w:t>
            </w:r>
          </w:p>
        </w:tc>
        <w:tc>
          <w:tcPr>
            <w:tcW w:w="2266" w:type="dxa"/>
          </w:tcPr>
          <w:p w14:paraId="1AF7040E">
            <w:pPr>
              <w:shd w:val="clear" w:color="auto" w:fill="FFFFFF"/>
              <w:spacing w:before="156" w:after="156" w:line="360" w:lineRule="exact"/>
              <w:jc w:val="center"/>
              <w:rPr>
                <w:rFonts w:ascii="宋体" w:hAnsi="宋体"/>
                <w:b/>
                <w:szCs w:val="21"/>
              </w:rPr>
            </w:pPr>
            <w:r>
              <w:rPr>
                <w:rFonts w:hint="eastAsia" w:ascii="宋体" w:hAnsi="宋体"/>
                <w:b/>
                <w:szCs w:val="21"/>
              </w:rPr>
              <w:t>岗位描述</w:t>
            </w:r>
          </w:p>
        </w:tc>
        <w:tc>
          <w:tcPr>
            <w:tcW w:w="4784" w:type="dxa"/>
          </w:tcPr>
          <w:p w14:paraId="1C9F4960">
            <w:pPr>
              <w:shd w:val="clear" w:color="auto" w:fill="FFFFFF"/>
              <w:spacing w:before="156" w:after="156" w:line="360" w:lineRule="exact"/>
              <w:jc w:val="center"/>
              <w:rPr>
                <w:rFonts w:ascii="宋体" w:hAnsi="宋体"/>
                <w:b/>
                <w:szCs w:val="21"/>
              </w:rPr>
            </w:pPr>
            <w:r>
              <w:rPr>
                <w:rFonts w:hint="eastAsia" w:ascii="宋体" w:hAnsi="宋体"/>
                <w:b/>
                <w:szCs w:val="21"/>
              </w:rPr>
              <w:t>职业能力要求及素质</w:t>
            </w:r>
          </w:p>
        </w:tc>
      </w:tr>
      <w:tr w14:paraId="6C994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14:paraId="10A39ACB">
            <w:pPr>
              <w:shd w:val="clear" w:color="auto" w:fill="FFFFFF"/>
              <w:jc w:val="center"/>
              <w:rPr>
                <w:rFonts w:ascii="宋体" w:hAnsi="宋体"/>
                <w:szCs w:val="21"/>
              </w:rPr>
            </w:pPr>
            <w:r>
              <w:rPr>
                <w:rFonts w:hint="eastAsia" w:ascii="宋体" w:hAnsi="宋体"/>
                <w:szCs w:val="21"/>
              </w:rPr>
              <w:t>1</w:t>
            </w:r>
          </w:p>
        </w:tc>
        <w:tc>
          <w:tcPr>
            <w:tcW w:w="1620" w:type="dxa"/>
            <w:vAlign w:val="center"/>
          </w:tcPr>
          <w:p w14:paraId="178635A2">
            <w:pPr>
              <w:shd w:val="clear" w:color="auto" w:fill="FFFFFF"/>
              <w:jc w:val="center"/>
              <w:rPr>
                <w:rFonts w:ascii="宋体" w:hAnsi="宋体"/>
                <w:bCs/>
                <w:szCs w:val="21"/>
              </w:rPr>
            </w:pPr>
            <w:r>
              <w:rPr>
                <w:rFonts w:hint="eastAsia" w:ascii="宋体" w:hAnsi="宋体"/>
                <w:bCs/>
                <w:szCs w:val="21"/>
              </w:rPr>
              <w:t>物流市场开发</w:t>
            </w:r>
          </w:p>
        </w:tc>
        <w:tc>
          <w:tcPr>
            <w:tcW w:w="2266" w:type="dxa"/>
          </w:tcPr>
          <w:p w14:paraId="689FF717">
            <w:pPr>
              <w:shd w:val="clear" w:color="auto" w:fill="FFFFFF"/>
              <w:rPr>
                <w:rFonts w:ascii="宋体" w:hAnsi="宋体"/>
                <w:bCs/>
                <w:szCs w:val="21"/>
              </w:rPr>
            </w:pPr>
            <w:r>
              <w:rPr>
                <w:rFonts w:hint="eastAsia" w:ascii="宋体" w:hAnsi="宋体"/>
                <w:bCs/>
                <w:szCs w:val="21"/>
              </w:rPr>
              <w:t>发掘客户，与客户建立沟通渠道，针对客户需求进行方案设计和成本成本核算，与客户进行沟通谈判，签订物流服务合同</w:t>
            </w:r>
          </w:p>
        </w:tc>
        <w:tc>
          <w:tcPr>
            <w:tcW w:w="4784" w:type="dxa"/>
          </w:tcPr>
          <w:p w14:paraId="0F22CCA2">
            <w:pPr>
              <w:shd w:val="clear" w:color="auto" w:fill="FFFFFF"/>
              <w:rPr>
                <w:rFonts w:ascii="宋体" w:hAnsi="宋体"/>
                <w:bCs/>
                <w:szCs w:val="21"/>
              </w:rPr>
            </w:pPr>
            <w:r>
              <w:rPr>
                <w:rFonts w:hint="eastAsia" w:ascii="宋体" w:hAnsi="宋体"/>
                <w:bCs/>
                <w:szCs w:val="21"/>
              </w:rPr>
              <w:t>1-1熟悉公司的业务；</w:t>
            </w:r>
          </w:p>
          <w:p w14:paraId="2C7BFDB0">
            <w:pPr>
              <w:shd w:val="clear" w:color="auto" w:fill="FFFFFF"/>
              <w:rPr>
                <w:rFonts w:ascii="宋体" w:hAnsi="宋体"/>
                <w:bCs/>
                <w:szCs w:val="21"/>
              </w:rPr>
            </w:pPr>
            <w:r>
              <w:rPr>
                <w:rFonts w:hint="eastAsia" w:ascii="宋体" w:hAnsi="宋体"/>
                <w:bCs/>
                <w:szCs w:val="21"/>
              </w:rPr>
              <w:t>1-2熟练掌握物流专业知识，有物流案例分析能力；</w:t>
            </w:r>
          </w:p>
          <w:p w14:paraId="230B9A86">
            <w:pPr>
              <w:shd w:val="clear" w:color="auto" w:fill="FFFFFF"/>
              <w:rPr>
                <w:rFonts w:ascii="宋体" w:hAnsi="宋体"/>
                <w:bCs/>
                <w:szCs w:val="21"/>
              </w:rPr>
            </w:pPr>
            <w:r>
              <w:rPr>
                <w:rFonts w:hint="eastAsia" w:ascii="宋体" w:hAnsi="宋体"/>
                <w:bCs/>
                <w:szCs w:val="21"/>
              </w:rPr>
              <w:t>1-3具有项目管理和物流方案设计能力；</w:t>
            </w:r>
          </w:p>
          <w:p w14:paraId="4F0D2E40">
            <w:pPr>
              <w:shd w:val="clear" w:color="auto" w:fill="FFFFFF"/>
              <w:rPr>
                <w:rFonts w:ascii="宋体" w:hAnsi="宋体"/>
                <w:bCs/>
                <w:szCs w:val="21"/>
              </w:rPr>
            </w:pPr>
            <w:r>
              <w:rPr>
                <w:rFonts w:hint="eastAsia" w:ascii="宋体" w:hAnsi="宋体"/>
                <w:bCs/>
                <w:szCs w:val="21"/>
              </w:rPr>
              <w:t>1-4懂财务知识，能够进行成本核算；</w:t>
            </w:r>
          </w:p>
          <w:p w14:paraId="1E083F8D">
            <w:pPr>
              <w:shd w:val="clear" w:color="auto" w:fill="FFFFFF"/>
              <w:rPr>
                <w:rFonts w:ascii="宋体" w:hAnsi="宋体"/>
                <w:bCs/>
                <w:szCs w:val="21"/>
              </w:rPr>
            </w:pPr>
            <w:r>
              <w:rPr>
                <w:rFonts w:hint="eastAsia" w:ascii="宋体" w:hAnsi="宋体"/>
                <w:bCs/>
                <w:szCs w:val="21"/>
              </w:rPr>
              <w:t>1-5懂经济法律知识，能利用合同条款保护公司的利益</w:t>
            </w:r>
          </w:p>
          <w:p w14:paraId="7037165C">
            <w:pPr>
              <w:shd w:val="clear" w:color="auto" w:fill="FFFFFF"/>
              <w:rPr>
                <w:rFonts w:ascii="宋体" w:hAnsi="宋体"/>
                <w:bCs/>
                <w:szCs w:val="21"/>
              </w:rPr>
            </w:pPr>
            <w:r>
              <w:rPr>
                <w:rFonts w:hint="eastAsia" w:ascii="宋体" w:hAnsi="宋体"/>
                <w:bCs/>
                <w:szCs w:val="21"/>
              </w:rPr>
              <w:t>1-6具有良好的语言表达能力。</w:t>
            </w:r>
          </w:p>
        </w:tc>
      </w:tr>
      <w:tr w14:paraId="6A40D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14:paraId="02C6AFF1">
            <w:pPr>
              <w:shd w:val="clear" w:color="auto" w:fill="FFFFFF"/>
              <w:jc w:val="center"/>
              <w:rPr>
                <w:rFonts w:ascii="宋体" w:hAnsi="宋体"/>
                <w:szCs w:val="21"/>
              </w:rPr>
            </w:pPr>
            <w:r>
              <w:rPr>
                <w:rFonts w:hint="eastAsia" w:ascii="宋体" w:hAnsi="宋体"/>
                <w:szCs w:val="21"/>
              </w:rPr>
              <w:t>2</w:t>
            </w:r>
          </w:p>
        </w:tc>
        <w:tc>
          <w:tcPr>
            <w:tcW w:w="1620" w:type="dxa"/>
            <w:vAlign w:val="center"/>
          </w:tcPr>
          <w:p w14:paraId="7E0F0677">
            <w:pPr>
              <w:shd w:val="clear" w:color="auto" w:fill="FFFFFF"/>
              <w:jc w:val="center"/>
              <w:rPr>
                <w:rFonts w:ascii="宋体" w:hAnsi="宋体"/>
                <w:bCs/>
                <w:szCs w:val="21"/>
              </w:rPr>
            </w:pPr>
            <w:r>
              <w:rPr>
                <w:rFonts w:hint="eastAsia" w:ascii="宋体" w:hAnsi="宋体"/>
                <w:bCs/>
                <w:szCs w:val="21"/>
              </w:rPr>
              <w:t>物流计划员</w:t>
            </w:r>
          </w:p>
        </w:tc>
        <w:tc>
          <w:tcPr>
            <w:tcW w:w="2266" w:type="dxa"/>
          </w:tcPr>
          <w:p w14:paraId="2BED4DD1">
            <w:pPr>
              <w:shd w:val="clear" w:color="auto" w:fill="FFFFFF"/>
              <w:rPr>
                <w:rFonts w:ascii="宋体" w:hAnsi="宋体"/>
                <w:szCs w:val="21"/>
              </w:rPr>
            </w:pPr>
            <w:r>
              <w:rPr>
                <w:rFonts w:hint="eastAsia" w:ascii="宋体" w:hAnsi="宋体"/>
                <w:szCs w:val="21"/>
              </w:rPr>
              <w:t>分析内部需求和公司库存资源情况，控制库存，编制采购计划</w:t>
            </w:r>
          </w:p>
        </w:tc>
        <w:tc>
          <w:tcPr>
            <w:tcW w:w="4784" w:type="dxa"/>
          </w:tcPr>
          <w:p w14:paraId="7F1E7E80">
            <w:pPr>
              <w:shd w:val="clear" w:color="auto" w:fill="FFFFFF"/>
              <w:rPr>
                <w:rFonts w:ascii="宋体" w:hAnsi="宋体"/>
                <w:szCs w:val="21"/>
              </w:rPr>
            </w:pPr>
            <w:r>
              <w:rPr>
                <w:rFonts w:hint="eastAsia" w:ascii="宋体" w:hAnsi="宋体"/>
                <w:szCs w:val="21"/>
              </w:rPr>
              <w:t>2-1具有信息收集和处理的能力；</w:t>
            </w:r>
          </w:p>
          <w:p w14:paraId="27BB243D">
            <w:pPr>
              <w:shd w:val="clear" w:color="auto" w:fill="FFFFFF"/>
              <w:rPr>
                <w:rFonts w:ascii="宋体" w:hAnsi="宋体"/>
                <w:szCs w:val="21"/>
              </w:rPr>
            </w:pPr>
            <w:r>
              <w:rPr>
                <w:rFonts w:hint="eastAsia" w:ascii="宋体" w:hAnsi="宋体"/>
                <w:szCs w:val="21"/>
              </w:rPr>
              <w:t>2-2熟练掌握物流系统相关软件，具有ERP系统软件操作能力；</w:t>
            </w:r>
          </w:p>
          <w:p w14:paraId="16687362">
            <w:pPr>
              <w:shd w:val="clear" w:color="auto" w:fill="FFFFFF"/>
              <w:rPr>
                <w:rFonts w:ascii="宋体" w:hAnsi="宋体"/>
                <w:szCs w:val="21"/>
              </w:rPr>
            </w:pPr>
            <w:r>
              <w:rPr>
                <w:rFonts w:hint="eastAsia" w:ascii="宋体" w:hAnsi="宋体"/>
                <w:szCs w:val="21"/>
              </w:rPr>
              <w:t>2-3了解和掌握本公司的能力和资源情况进行综合平衡的能力；</w:t>
            </w:r>
          </w:p>
          <w:p w14:paraId="6A763095">
            <w:pPr>
              <w:shd w:val="clear" w:color="auto" w:fill="FFFFFF"/>
              <w:rPr>
                <w:rFonts w:ascii="宋体" w:hAnsi="宋体"/>
                <w:szCs w:val="21"/>
              </w:rPr>
            </w:pPr>
            <w:r>
              <w:rPr>
                <w:rFonts w:hint="eastAsia" w:ascii="宋体" w:hAnsi="宋体"/>
                <w:szCs w:val="21"/>
              </w:rPr>
              <w:t>2-4能科学地编制采购计划；</w:t>
            </w:r>
          </w:p>
          <w:p w14:paraId="6DB6F0FC">
            <w:pPr>
              <w:shd w:val="clear" w:color="auto" w:fill="FFFFFF"/>
              <w:rPr>
                <w:rFonts w:ascii="宋体" w:hAnsi="宋体"/>
                <w:szCs w:val="21"/>
              </w:rPr>
            </w:pPr>
            <w:r>
              <w:rPr>
                <w:rFonts w:hint="eastAsia" w:ascii="宋体" w:hAnsi="宋体"/>
                <w:szCs w:val="21"/>
              </w:rPr>
              <w:t>2-5具有良好的沟通能力。</w:t>
            </w:r>
          </w:p>
        </w:tc>
      </w:tr>
      <w:tr w14:paraId="2342A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14:paraId="32BEB75C">
            <w:pPr>
              <w:shd w:val="clear" w:color="auto" w:fill="FFFFFF"/>
              <w:jc w:val="center"/>
              <w:rPr>
                <w:rFonts w:ascii="宋体" w:hAnsi="宋体"/>
                <w:szCs w:val="21"/>
              </w:rPr>
            </w:pPr>
            <w:r>
              <w:rPr>
                <w:rFonts w:hint="eastAsia" w:ascii="宋体" w:hAnsi="宋体"/>
                <w:szCs w:val="21"/>
              </w:rPr>
              <w:t>3</w:t>
            </w:r>
          </w:p>
        </w:tc>
        <w:tc>
          <w:tcPr>
            <w:tcW w:w="1620" w:type="dxa"/>
            <w:vAlign w:val="center"/>
          </w:tcPr>
          <w:p w14:paraId="7C73A250">
            <w:pPr>
              <w:shd w:val="clear" w:color="auto" w:fill="FFFFFF"/>
              <w:jc w:val="center"/>
              <w:rPr>
                <w:rFonts w:ascii="宋体" w:hAnsi="宋体"/>
                <w:szCs w:val="21"/>
              </w:rPr>
            </w:pPr>
            <w:r>
              <w:rPr>
                <w:rFonts w:hint="eastAsia" w:ascii="宋体" w:hAnsi="宋体"/>
                <w:bCs/>
                <w:szCs w:val="21"/>
              </w:rPr>
              <w:t>采购</w:t>
            </w:r>
          </w:p>
        </w:tc>
        <w:tc>
          <w:tcPr>
            <w:tcW w:w="2266" w:type="dxa"/>
          </w:tcPr>
          <w:p w14:paraId="40D512BB">
            <w:pPr>
              <w:shd w:val="clear" w:color="auto" w:fill="FFFFFF"/>
              <w:rPr>
                <w:rFonts w:ascii="宋体" w:hAnsi="宋体"/>
                <w:szCs w:val="21"/>
              </w:rPr>
            </w:pPr>
            <w:r>
              <w:rPr>
                <w:rFonts w:hint="eastAsia" w:ascii="宋体" w:hAnsi="宋体"/>
                <w:szCs w:val="21"/>
              </w:rPr>
              <w:t>明确需求，收集客户资料，进行供应市场分析，组织询价和报价工作，寻找和选择供应商，进行供应商关系管理和采购合同管理，对价格进行维护</w:t>
            </w:r>
          </w:p>
        </w:tc>
        <w:tc>
          <w:tcPr>
            <w:tcW w:w="4784" w:type="dxa"/>
          </w:tcPr>
          <w:p w14:paraId="3F750D4C">
            <w:pPr>
              <w:shd w:val="clear" w:color="auto" w:fill="FFFFFF"/>
              <w:rPr>
                <w:rFonts w:ascii="宋体" w:hAnsi="宋体"/>
                <w:szCs w:val="21"/>
              </w:rPr>
            </w:pPr>
            <w:r>
              <w:rPr>
                <w:rFonts w:hint="eastAsia" w:ascii="宋体" w:hAnsi="宋体"/>
                <w:szCs w:val="21"/>
              </w:rPr>
              <w:t>3-1收集信息的能力；</w:t>
            </w:r>
          </w:p>
          <w:p w14:paraId="33D83C27">
            <w:pPr>
              <w:shd w:val="clear" w:color="auto" w:fill="FFFFFF"/>
              <w:rPr>
                <w:rFonts w:ascii="宋体" w:hAnsi="宋体"/>
                <w:szCs w:val="21"/>
              </w:rPr>
            </w:pPr>
            <w:r>
              <w:rPr>
                <w:rFonts w:hint="eastAsia" w:ascii="宋体" w:hAnsi="宋体"/>
                <w:szCs w:val="21"/>
              </w:rPr>
              <w:t>3-2对相关信息敏感,及时作出判断和决策的能力；</w:t>
            </w:r>
          </w:p>
          <w:p w14:paraId="51EAEF8A">
            <w:pPr>
              <w:shd w:val="clear" w:color="auto" w:fill="FFFFFF"/>
              <w:rPr>
                <w:rFonts w:ascii="宋体" w:hAnsi="宋体"/>
                <w:szCs w:val="21"/>
              </w:rPr>
            </w:pPr>
            <w:r>
              <w:rPr>
                <w:rFonts w:hint="eastAsia" w:ascii="宋体" w:hAnsi="宋体"/>
                <w:szCs w:val="21"/>
              </w:rPr>
              <w:t>3-3懂得产品成本的构成和具有成本分析能力；</w:t>
            </w:r>
          </w:p>
          <w:p w14:paraId="201D2B51">
            <w:pPr>
              <w:shd w:val="clear" w:color="auto" w:fill="FFFFFF"/>
              <w:rPr>
                <w:rFonts w:ascii="宋体" w:hAnsi="宋体"/>
                <w:szCs w:val="21"/>
              </w:rPr>
            </w:pPr>
            <w:r>
              <w:rPr>
                <w:rFonts w:hint="eastAsia" w:ascii="宋体" w:hAnsi="宋体"/>
                <w:szCs w:val="21"/>
              </w:rPr>
              <w:t>3-4熟悉物资消耗特性及市场供应特点，具有对供应市场进行分析的能力；</w:t>
            </w:r>
          </w:p>
          <w:p w14:paraId="53C42BE7">
            <w:pPr>
              <w:shd w:val="clear" w:color="auto" w:fill="FFFFFF"/>
              <w:rPr>
                <w:rFonts w:ascii="宋体" w:hAnsi="宋体"/>
                <w:szCs w:val="21"/>
              </w:rPr>
            </w:pPr>
            <w:r>
              <w:rPr>
                <w:rFonts w:hint="eastAsia" w:ascii="宋体" w:hAnsi="宋体"/>
                <w:szCs w:val="21"/>
              </w:rPr>
              <w:t>3-5进行招投标采购管理能力；</w:t>
            </w:r>
          </w:p>
          <w:p w14:paraId="5A3322A2">
            <w:pPr>
              <w:shd w:val="clear" w:color="auto" w:fill="FFFFFF"/>
              <w:rPr>
                <w:rFonts w:ascii="宋体" w:hAnsi="宋体"/>
                <w:szCs w:val="21"/>
              </w:rPr>
            </w:pPr>
            <w:r>
              <w:rPr>
                <w:rFonts w:hint="eastAsia" w:ascii="宋体" w:hAnsi="宋体"/>
                <w:szCs w:val="21"/>
              </w:rPr>
              <w:t>3-6懂法律知识，具有拟定和把握合同条款，维护自身权益的能力；</w:t>
            </w:r>
          </w:p>
          <w:p w14:paraId="46FEF226">
            <w:pPr>
              <w:shd w:val="clear" w:color="auto" w:fill="FFFFFF"/>
              <w:rPr>
                <w:rFonts w:ascii="宋体" w:hAnsi="宋体"/>
                <w:szCs w:val="21"/>
              </w:rPr>
            </w:pPr>
            <w:r>
              <w:rPr>
                <w:rFonts w:hint="eastAsia" w:ascii="宋体" w:hAnsi="宋体"/>
                <w:szCs w:val="21"/>
              </w:rPr>
              <w:t>3-7良好的沟通能力和语言能力。</w:t>
            </w:r>
          </w:p>
        </w:tc>
      </w:tr>
      <w:tr w14:paraId="7D8D9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14:paraId="3AB591B7">
            <w:pPr>
              <w:shd w:val="clear" w:color="auto" w:fill="FFFFFF"/>
              <w:jc w:val="center"/>
              <w:rPr>
                <w:rFonts w:ascii="宋体" w:hAnsi="宋体"/>
                <w:szCs w:val="21"/>
              </w:rPr>
            </w:pPr>
            <w:r>
              <w:rPr>
                <w:rFonts w:hint="eastAsia" w:ascii="宋体" w:hAnsi="宋体"/>
                <w:szCs w:val="21"/>
              </w:rPr>
              <w:t>4</w:t>
            </w:r>
          </w:p>
        </w:tc>
        <w:tc>
          <w:tcPr>
            <w:tcW w:w="1620" w:type="dxa"/>
            <w:vAlign w:val="center"/>
          </w:tcPr>
          <w:p w14:paraId="289E6A53">
            <w:pPr>
              <w:shd w:val="clear" w:color="auto" w:fill="FFFFFF"/>
              <w:jc w:val="center"/>
              <w:rPr>
                <w:rFonts w:ascii="宋体" w:hAnsi="宋体"/>
                <w:szCs w:val="21"/>
              </w:rPr>
            </w:pPr>
            <w:r>
              <w:rPr>
                <w:rFonts w:hint="eastAsia" w:ascii="宋体" w:hAnsi="宋体"/>
                <w:bCs/>
                <w:szCs w:val="21"/>
              </w:rPr>
              <w:t>仓管员</w:t>
            </w:r>
          </w:p>
        </w:tc>
        <w:tc>
          <w:tcPr>
            <w:tcW w:w="2266" w:type="dxa"/>
          </w:tcPr>
          <w:p w14:paraId="493E26AA">
            <w:pPr>
              <w:shd w:val="clear" w:color="auto" w:fill="FFFFFF"/>
              <w:rPr>
                <w:rFonts w:ascii="宋体" w:hAnsi="宋体"/>
                <w:szCs w:val="21"/>
              </w:rPr>
            </w:pPr>
            <w:r>
              <w:rPr>
                <w:rFonts w:hint="eastAsia" w:ascii="宋体" w:hAnsi="宋体"/>
                <w:szCs w:val="21"/>
              </w:rPr>
              <w:t>商品接运前的准备，针对商品的特性进行装卸方案的规划设计，进货入库作业，保管作业，发货作业和盘点作业</w:t>
            </w:r>
          </w:p>
          <w:p w14:paraId="35FB6A5C">
            <w:pPr>
              <w:shd w:val="clear" w:color="auto" w:fill="FFFFFF"/>
              <w:rPr>
                <w:rFonts w:ascii="宋体" w:hAnsi="宋体"/>
                <w:szCs w:val="21"/>
              </w:rPr>
            </w:pPr>
          </w:p>
        </w:tc>
        <w:tc>
          <w:tcPr>
            <w:tcW w:w="4784" w:type="dxa"/>
          </w:tcPr>
          <w:p w14:paraId="66367843">
            <w:pPr>
              <w:shd w:val="clear" w:color="auto" w:fill="FFFFFF"/>
              <w:rPr>
                <w:rFonts w:ascii="宋体" w:hAnsi="宋体"/>
                <w:szCs w:val="21"/>
              </w:rPr>
            </w:pPr>
            <w:r>
              <w:rPr>
                <w:rFonts w:hint="eastAsia" w:ascii="宋体" w:hAnsi="宋体"/>
                <w:szCs w:val="21"/>
              </w:rPr>
              <w:t>4-1懂得仓库作业的基本流程；</w:t>
            </w:r>
          </w:p>
          <w:p w14:paraId="75F72095">
            <w:pPr>
              <w:shd w:val="clear" w:color="auto" w:fill="FFFFFF"/>
              <w:ind w:left="480" w:hanging="480"/>
              <w:rPr>
                <w:rFonts w:ascii="宋体" w:hAnsi="宋体"/>
                <w:szCs w:val="21"/>
              </w:rPr>
            </w:pPr>
            <w:r>
              <w:rPr>
                <w:rFonts w:hint="eastAsia" w:ascii="宋体" w:hAnsi="宋体"/>
                <w:szCs w:val="21"/>
              </w:rPr>
              <w:t>4-2具有进行商品检验的能力；</w:t>
            </w:r>
          </w:p>
          <w:p w14:paraId="29D579B8">
            <w:pPr>
              <w:shd w:val="clear" w:color="auto" w:fill="FFFFFF"/>
              <w:rPr>
                <w:rFonts w:ascii="宋体" w:hAnsi="宋体"/>
                <w:szCs w:val="21"/>
              </w:rPr>
            </w:pPr>
            <w:r>
              <w:rPr>
                <w:rFonts w:hint="eastAsia" w:ascii="宋体" w:hAnsi="宋体"/>
                <w:szCs w:val="21"/>
              </w:rPr>
              <w:t>4-3具有针对商品的特性科学合理地进行仓储空间规划和优化的能力；</w:t>
            </w:r>
          </w:p>
          <w:p w14:paraId="66122985">
            <w:pPr>
              <w:shd w:val="clear" w:color="auto" w:fill="FFFFFF"/>
              <w:rPr>
                <w:rFonts w:ascii="宋体" w:hAnsi="宋体"/>
                <w:szCs w:val="21"/>
              </w:rPr>
            </w:pPr>
            <w:r>
              <w:rPr>
                <w:rFonts w:hint="eastAsia" w:ascii="宋体" w:hAnsi="宋体"/>
                <w:szCs w:val="21"/>
              </w:rPr>
              <w:t>4-4具有商品知识，具有针对不同商品特性选用装卸机具设备的能力；</w:t>
            </w:r>
          </w:p>
          <w:p w14:paraId="1F24C8A5">
            <w:pPr>
              <w:shd w:val="clear" w:color="auto" w:fill="FFFFFF"/>
              <w:rPr>
                <w:rFonts w:ascii="宋体" w:hAnsi="宋体"/>
                <w:szCs w:val="21"/>
              </w:rPr>
            </w:pPr>
            <w:r>
              <w:rPr>
                <w:rFonts w:hint="eastAsia" w:ascii="宋体" w:hAnsi="宋体"/>
                <w:szCs w:val="21"/>
              </w:rPr>
              <w:t>4-5具有入库作业的能力；</w:t>
            </w:r>
          </w:p>
          <w:p w14:paraId="6E5C6E5C">
            <w:pPr>
              <w:shd w:val="clear" w:color="auto" w:fill="FFFFFF"/>
              <w:rPr>
                <w:rFonts w:ascii="宋体" w:hAnsi="宋体"/>
                <w:szCs w:val="21"/>
              </w:rPr>
            </w:pPr>
            <w:r>
              <w:rPr>
                <w:rFonts w:hint="eastAsia" w:ascii="宋体" w:hAnsi="宋体"/>
                <w:szCs w:val="21"/>
              </w:rPr>
              <w:t>4-6具有使用各种分拣设备和设施的能力；</w:t>
            </w:r>
          </w:p>
          <w:p w14:paraId="7194A577">
            <w:pPr>
              <w:shd w:val="clear" w:color="auto" w:fill="FFFFFF"/>
              <w:rPr>
                <w:rFonts w:ascii="宋体" w:hAnsi="宋体"/>
                <w:szCs w:val="21"/>
              </w:rPr>
            </w:pPr>
            <w:r>
              <w:rPr>
                <w:rFonts w:hint="eastAsia" w:ascii="宋体" w:hAnsi="宋体"/>
                <w:szCs w:val="21"/>
              </w:rPr>
              <w:t>4-7具有进行分拣信息的处理；</w:t>
            </w:r>
          </w:p>
          <w:p w14:paraId="07B9F27B">
            <w:pPr>
              <w:shd w:val="clear" w:color="auto" w:fill="FFFFFF"/>
              <w:rPr>
                <w:rFonts w:ascii="宋体" w:hAnsi="宋体"/>
                <w:szCs w:val="21"/>
              </w:rPr>
            </w:pPr>
            <w:r>
              <w:rPr>
                <w:rFonts w:hint="eastAsia" w:ascii="宋体" w:hAnsi="宋体"/>
                <w:szCs w:val="21"/>
              </w:rPr>
              <w:t>4-8具有物流系统相关软件的操作能力；</w:t>
            </w:r>
          </w:p>
          <w:p w14:paraId="4DD6E744">
            <w:pPr>
              <w:shd w:val="clear" w:color="auto" w:fill="FFFFFF"/>
              <w:rPr>
                <w:rFonts w:ascii="宋体" w:hAnsi="宋体"/>
                <w:szCs w:val="21"/>
              </w:rPr>
            </w:pPr>
            <w:r>
              <w:rPr>
                <w:rFonts w:hint="eastAsia" w:ascii="宋体" w:hAnsi="宋体"/>
                <w:szCs w:val="21"/>
              </w:rPr>
              <w:t>4-9能够合理地选用和使用仓储资源和响应的设施设备；</w:t>
            </w:r>
          </w:p>
          <w:p w14:paraId="4A033C4B">
            <w:pPr>
              <w:shd w:val="clear" w:color="auto" w:fill="FFFFFF"/>
              <w:ind w:left="-67" w:firstLine="29"/>
              <w:rPr>
                <w:rFonts w:ascii="宋体" w:hAnsi="宋体"/>
                <w:szCs w:val="21"/>
              </w:rPr>
            </w:pPr>
            <w:r>
              <w:rPr>
                <w:rFonts w:hint="eastAsia" w:ascii="宋体" w:hAnsi="宋体"/>
                <w:szCs w:val="21"/>
              </w:rPr>
              <w:t>4-10能针对不同货物或商品进行科学养护；</w:t>
            </w:r>
          </w:p>
          <w:p w14:paraId="33B7E051">
            <w:pPr>
              <w:shd w:val="clear" w:color="auto" w:fill="FFFFFF"/>
              <w:ind w:left="480" w:hanging="480"/>
              <w:rPr>
                <w:rFonts w:ascii="宋体" w:hAnsi="宋体"/>
                <w:szCs w:val="21"/>
              </w:rPr>
            </w:pPr>
            <w:r>
              <w:rPr>
                <w:rFonts w:hint="eastAsia" w:ascii="宋体" w:hAnsi="宋体"/>
                <w:szCs w:val="21"/>
              </w:rPr>
              <w:t>4-11能对盘点结果进行分析处理；</w:t>
            </w:r>
          </w:p>
          <w:p w14:paraId="40BA30F9">
            <w:pPr>
              <w:shd w:val="clear" w:color="auto" w:fill="FFFFFF"/>
              <w:rPr>
                <w:rFonts w:ascii="宋体" w:hAnsi="宋体"/>
                <w:szCs w:val="21"/>
              </w:rPr>
            </w:pPr>
            <w:r>
              <w:rPr>
                <w:rFonts w:hint="eastAsia" w:ascii="宋体" w:hAnsi="宋体"/>
                <w:szCs w:val="21"/>
              </w:rPr>
              <w:t>4-12能对储存货物或商品进行相关信息的处理。</w:t>
            </w:r>
          </w:p>
        </w:tc>
      </w:tr>
      <w:tr w14:paraId="56F6B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14:paraId="6CD69983">
            <w:pPr>
              <w:shd w:val="clear" w:color="auto" w:fill="FFFFFF"/>
              <w:jc w:val="center"/>
              <w:rPr>
                <w:rFonts w:ascii="宋体" w:hAnsi="宋体"/>
                <w:szCs w:val="21"/>
              </w:rPr>
            </w:pPr>
            <w:r>
              <w:rPr>
                <w:rFonts w:hint="eastAsia" w:ascii="宋体" w:hAnsi="宋体"/>
                <w:szCs w:val="21"/>
              </w:rPr>
              <w:t>5</w:t>
            </w:r>
          </w:p>
        </w:tc>
        <w:tc>
          <w:tcPr>
            <w:tcW w:w="1620" w:type="dxa"/>
            <w:vAlign w:val="center"/>
          </w:tcPr>
          <w:p w14:paraId="4D6D3A09">
            <w:pPr>
              <w:shd w:val="clear" w:color="auto" w:fill="FFFFFF"/>
              <w:jc w:val="center"/>
              <w:rPr>
                <w:rFonts w:ascii="宋体" w:hAnsi="宋体"/>
                <w:bCs/>
                <w:szCs w:val="21"/>
              </w:rPr>
            </w:pPr>
            <w:r>
              <w:rPr>
                <w:rFonts w:hint="eastAsia" w:ascii="宋体" w:hAnsi="宋体"/>
                <w:bCs/>
                <w:szCs w:val="21"/>
              </w:rPr>
              <w:t>运输计划与调度</w:t>
            </w:r>
          </w:p>
        </w:tc>
        <w:tc>
          <w:tcPr>
            <w:tcW w:w="2266" w:type="dxa"/>
          </w:tcPr>
          <w:p w14:paraId="0972F8D3">
            <w:pPr>
              <w:shd w:val="clear" w:color="auto" w:fill="FFFFFF"/>
              <w:rPr>
                <w:rFonts w:ascii="宋体" w:hAnsi="宋体"/>
                <w:szCs w:val="21"/>
              </w:rPr>
            </w:pPr>
            <w:r>
              <w:rPr>
                <w:rFonts w:hint="eastAsia" w:ascii="宋体" w:hAnsi="宋体"/>
                <w:szCs w:val="21"/>
              </w:rPr>
              <w:t>取送货的车辆调配、指挥；与供货方目的站的协调；运输计划的制订与装载的安排；相关单据的填写、交接和归档；运输、配送、车辆台账的更新；生产工具使用记录和保管；司机的调配管理；车辆的维修保养和燃油管理</w:t>
            </w:r>
          </w:p>
        </w:tc>
        <w:tc>
          <w:tcPr>
            <w:tcW w:w="4784" w:type="dxa"/>
          </w:tcPr>
          <w:p w14:paraId="0B5CED56">
            <w:pPr>
              <w:shd w:val="clear" w:color="auto" w:fill="FFFFFF"/>
              <w:rPr>
                <w:rFonts w:ascii="宋体" w:hAnsi="宋体"/>
                <w:szCs w:val="21"/>
              </w:rPr>
            </w:pPr>
            <w:r>
              <w:rPr>
                <w:rFonts w:hint="eastAsia" w:ascii="宋体" w:hAnsi="宋体"/>
                <w:szCs w:val="21"/>
              </w:rPr>
              <w:t>5-1具有</w:t>
            </w:r>
            <w:r>
              <w:rPr>
                <w:rFonts w:ascii="宋体" w:hAnsi="宋体"/>
                <w:szCs w:val="21"/>
              </w:rPr>
              <w:t>严谨</w:t>
            </w:r>
            <w:r>
              <w:rPr>
                <w:rFonts w:hint="eastAsia" w:ascii="宋体" w:hAnsi="宋体"/>
                <w:szCs w:val="21"/>
              </w:rPr>
              <w:t>、</w:t>
            </w:r>
            <w:r>
              <w:rPr>
                <w:rFonts w:ascii="宋体" w:hAnsi="宋体"/>
                <w:szCs w:val="21"/>
              </w:rPr>
              <w:t>认真、工作踏实</w:t>
            </w:r>
            <w:r>
              <w:rPr>
                <w:rFonts w:hint="eastAsia" w:ascii="宋体" w:hAnsi="宋体"/>
                <w:szCs w:val="21"/>
              </w:rPr>
              <w:t>和</w:t>
            </w:r>
            <w:r>
              <w:rPr>
                <w:rFonts w:ascii="宋体" w:hAnsi="宋体"/>
                <w:szCs w:val="21"/>
              </w:rPr>
              <w:t>吃苦耐劳</w:t>
            </w:r>
            <w:r>
              <w:rPr>
                <w:rFonts w:hint="eastAsia" w:ascii="宋体" w:hAnsi="宋体"/>
                <w:szCs w:val="21"/>
              </w:rPr>
              <w:t>的</w:t>
            </w:r>
            <w:r>
              <w:rPr>
                <w:rFonts w:ascii="宋体" w:hAnsi="宋体"/>
                <w:szCs w:val="21"/>
              </w:rPr>
              <w:t>工作</w:t>
            </w:r>
            <w:r>
              <w:rPr>
                <w:rFonts w:hint="eastAsia" w:ascii="宋体" w:hAnsi="宋体"/>
                <w:szCs w:val="21"/>
              </w:rPr>
              <w:t>态度</w:t>
            </w:r>
            <w:r>
              <w:rPr>
                <w:rFonts w:ascii="宋体" w:hAnsi="宋体"/>
                <w:szCs w:val="21"/>
              </w:rPr>
              <w:t>，能够适应物流行业工作操作时间</w:t>
            </w:r>
            <w:r>
              <w:rPr>
                <w:rFonts w:hint="eastAsia" w:ascii="宋体" w:hAnsi="宋体"/>
                <w:szCs w:val="21"/>
              </w:rPr>
              <w:t>；</w:t>
            </w:r>
          </w:p>
          <w:p w14:paraId="3D2D9C74">
            <w:pPr>
              <w:shd w:val="clear" w:color="auto" w:fill="FFFFFF"/>
              <w:rPr>
                <w:rFonts w:ascii="宋体" w:hAnsi="宋体"/>
                <w:szCs w:val="21"/>
              </w:rPr>
            </w:pPr>
            <w:r>
              <w:rPr>
                <w:rFonts w:hint="eastAsia" w:ascii="宋体" w:hAnsi="宋体"/>
                <w:szCs w:val="21"/>
              </w:rPr>
              <w:t>5-2</w:t>
            </w:r>
            <w:r>
              <w:rPr>
                <w:rFonts w:ascii="宋体" w:hAnsi="宋体"/>
                <w:szCs w:val="21"/>
              </w:rPr>
              <w:t>熟悉</w:t>
            </w:r>
            <w:r>
              <w:rPr>
                <w:rFonts w:hint="eastAsia" w:ascii="宋体" w:hAnsi="宋体"/>
                <w:szCs w:val="21"/>
              </w:rPr>
              <w:t>当地运输路线和运输市场供求信息；</w:t>
            </w:r>
          </w:p>
          <w:p w14:paraId="36966F30">
            <w:pPr>
              <w:shd w:val="clear" w:color="auto" w:fill="FFFFFF"/>
              <w:rPr>
                <w:rFonts w:ascii="宋体" w:hAnsi="宋体"/>
                <w:szCs w:val="21"/>
              </w:rPr>
            </w:pPr>
            <w:r>
              <w:rPr>
                <w:rFonts w:hint="eastAsia" w:ascii="宋体" w:hAnsi="宋体"/>
                <w:szCs w:val="21"/>
              </w:rPr>
              <w:t>5-3熟悉货物特性，具有货物配载和加固的规划和设计能力；</w:t>
            </w:r>
          </w:p>
          <w:p w14:paraId="2525C8CB">
            <w:pPr>
              <w:shd w:val="clear" w:color="auto" w:fill="FFFFFF"/>
              <w:rPr>
                <w:rFonts w:ascii="宋体" w:hAnsi="宋体"/>
                <w:szCs w:val="21"/>
              </w:rPr>
            </w:pPr>
            <w:r>
              <w:rPr>
                <w:rFonts w:hint="eastAsia" w:ascii="宋体" w:hAnsi="宋体"/>
                <w:szCs w:val="21"/>
              </w:rPr>
              <w:t>5-4具有独立处理突发事件的能力；</w:t>
            </w:r>
          </w:p>
          <w:p w14:paraId="6FFECA17">
            <w:pPr>
              <w:shd w:val="clear" w:color="auto" w:fill="FFFFFF"/>
              <w:rPr>
                <w:rFonts w:ascii="宋体" w:hAnsi="宋体"/>
                <w:szCs w:val="21"/>
              </w:rPr>
            </w:pPr>
            <w:r>
              <w:rPr>
                <w:rFonts w:hint="eastAsia" w:ascii="宋体" w:hAnsi="宋体"/>
                <w:szCs w:val="21"/>
              </w:rPr>
              <w:t>5-5</w:t>
            </w:r>
            <w:r>
              <w:rPr>
                <w:rFonts w:ascii="宋体" w:hAnsi="宋体"/>
                <w:szCs w:val="21"/>
              </w:rPr>
              <w:t>有较强的协调沟通能力</w:t>
            </w:r>
            <w:r>
              <w:rPr>
                <w:rFonts w:hint="eastAsia" w:ascii="宋体" w:hAnsi="宋体"/>
                <w:szCs w:val="21"/>
              </w:rPr>
              <w:t>和</w:t>
            </w:r>
            <w:r>
              <w:rPr>
                <w:rFonts w:ascii="宋体" w:hAnsi="宋体"/>
                <w:szCs w:val="21"/>
              </w:rPr>
              <w:t>较</w:t>
            </w:r>
            <w:r>
              <w:rPr>
                <w:rFonts w:hint="eastAsia" w:ascii="宋体" w:hAnsi="宋体"/>
                <w:szCs w:val="21"/>
              </w:rPr>
              <w:t>好</w:t>
            </w:r>
            <w:r>
              <w:rPr>
                <w:rFonts w:ascii="宋体" w:hAnsi="宋体"/>
                <w:szCs w:val="21"/>
              </w:rPr>
              <w:t>的团队精神，能够服从上级的安排，能够协助上级制定工作计划和制作工作方案</w:t>
            </w:r>
            <w:r>
              <w:rPr>
                <w:rFonts w:hint="eastAsia" w:ascii="宋体" w:hAnsi="宋体"/>
                <w:szCs w:val="21"/>
              </w:rPr>
              <w:t>；</w:t>
            </w:r>
          </w:p>
        </w:tc>
      </w:tr>
      <w:tr w14:paraId="0BE9E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14:paraId="33CDA97F">
            <w:pPr>
              <w:shd w:val="clear" w:color="auto" w:fill="FFFFFF"/>
              <w:jc w:val="center"/>
              <w:rPr>
                <w:rFonts w:ascii="宋体" w:hAnsi="宋体"/>
                <w:szCs w:val="21"/>
              </w:rPr>
            </w:pPr>
            <w:r>
              <w:rPr>
                <w:rFonts w:hint="eastAsia" w:ascii="宋体" w:hAnsi="宋体"/>
                <w:szCs w:val="21"/>
              </w:rPr>
              <w:t>6</w:t>
            </w:r>
          </w:p>
        </w:tc>
        <w:tc>
          <w:tcPr>
            <w:tcW w:w="1620" w:type="dxa"/>
            <w:vAlign w:val="center"/>
          </w:tcPr>
          <w:p w14:paraId="7BE3777F">
            <w:pPr>
              <w:shd w:val="clear" w:color="auto" w:fill="FFFFFF"/>
              <w:ind w:firstLine="12"/>
              <w:jc w:val="center"/>
              <w:rPr>
                <w:rFonts w:ascii="宋体" w:hAnsi="宋体"/>
                <w:bCs/>
                <w:szCs w:val="21"/>
              </w:rPr>
            </w:pPr>
            <w:r>
              <w:rPr>
                <w:rFonts w:hint="eastAsia" w:ascii="宋体" w:hAnsi="宋体"/>
                <w:bCs/>
                <w:szCs w:val="21"/>
              </w:rPr>
              <w:t>配送</w:t>
            </w:r>
          </w:p>
        </w:tc>
        <w:tc>
          <w:tcPr>
            <w:tcW w:w="2266" w:type="dxa"/>
          </w:tcPr>
          <w:p w14:paraId="0DCDB090">
            <w:pPr>
              <w:shd w:val="clear" w:color="auto" w:fill="FFFFFF"/>
              <w:rPr>
                <w:rFonts w:ascii="宋体" w:hAnsi="宋体"/>
                <w:szCs w:val="21"/>
              </w:rPr>
            </w:pPr>
            <w:r>
              <w:rPr>
                <w:rFonts w:hint="eastAsia" w:ascii="宋体" w:hAnsi="宋体"/>
                <w:szCs w:val="21"/>
              </w:rPr>
              <w:t>接受并执行配送指令；制定配送计划；进行车辆的日常调度；货物或商品的集配载；执行过程中的信息反馈</w:t>
            </w:r>
          </w:p>
        </w:tc>
        <w:tc>
          <w:tcPr>
            <w:tcW w:w="4784" w:type="dxa"/>
          </w:tcPr>
          <w:p w14:paraId="6C098BE3">
            <w:pPr>
              <w:shd w:val="clear" w:color="auto" w:fill="FFFFFF"/>
              <w:rPr>
                <w:rFonts w:ascii="宋体" w:hAnsi="宋体"/>
                <w:szCs w:val="21"/>
              </w:rPr>
            </w:pPr>
            <w:r>
              <w:rPr>
                <w:rFonts w:hint="eastAsia" w:ascii="宋体" w:hAnsi="宋体"/>
                <w:szCs w:val="21"/>
              </w:rPr>
              <w:t>6-1熟悉深圳的地理位置和线路情况；</w:t>
            </w:r>
          </w:p>
          <w:p w14:paraId="35D1286F">
            <w:pPr>
              <w:shd w:val="clear" w:color="auto" w:fill="FFFFFF"/>
              <w:rPr>
                <w:rFonts w:ascii="宋体" w:hAnsi="宋体"/>
                <w:szCs w:val="21"/>
              </w:rPr>
            </w:pPr>
            <w:r>
              <w:rPr>
                <w:rFonts w:hint="eastAsia" w:ascii="宋体" w:hAnsi="宋体"/>
                <w:szCs w:val="21"/>
              </w:rPr>
              <w:t>6-2掌握车辆调度原则，具有进行车辆合理调度的能力；</w:t>
            </w:r>
          </w:p>
          <w:p w14:paraId="341298FB">
            <w:pPr>
              <w:shd w:val="clear" w:color="auto" w:fill="FFFFFF"/>
              <w:rPr>
                <w:rFonts w:ascii="宋体" w:hAnsi="宋体"/>
                <w:szCs w:val="21"/>
              </w:rPr>
            </w:pPr>
            <w:r>
              <w:rPr>
                <w:rFonts w:hint="eastAsia" w:ascii="宋体" w:hAnsi="宋体"/>
                <w:szCs w:val="21"/>
              </w:rPr>
              <w:t>6-3有较好的统筹规划能力；</w:t>
            </w:r>
          </w:p>
          <w:p w14:paraId="31BDA0E7">
            <w:pPr>
              <w:shd w:val="clear" w:color="auto" w:fill="FFFFFF"/>
              <w:rPr>
                <w:rFonts w:ascii="宋体" w:hAnsi="宋体"/>
                <w:szCs w:val="21"/>
              </w:rPr>
            </w:pPr>
            <w:r>
              <w:rPr>
                <w:rFonts w:hint="eastAsia" w:ascii="宋体" w:hAnsi="宋体"/>
                <w:szCs w:val="21"/>
              </w:rPr>
              <w:t>6-4具有合理选用包装材料的能力；</w:t>
            </w:r>
          </w:p>
          <w:p w14:paraId="4A16A740">
            <w:pPr>
              <w:shd w:val="clear" w:color="auto" w:fill="FFFFFF"/>
              <w:rPr>
                <w:rFonts w:ascii="宋体" w:hAnsi="宋体"/>
                <w:szCs w:val="21"/>
              </w:rPr>
            </w:pPr>
            <w:r>
              <w:rPr>
                <w:rFonts w:hint="eastAsia" w:ascii="宋体" w:hAnsi="宋体"/>
                <w:szCs w:val="21"/>
              </w:rPr>
              <w:t>6-5具有运用包装技法实施包装的能力；</w:t>
            </w:r>
          </w:p>
          <w:p w14:paraId="42FE1FD4">
            <w:pPr>
              <w:shd w:val="clear" w:color="auto" w:fill="FFFFFF"/>
              <w:rPr>
                <w:rFonts w:ascii="宋体" w:hAnsi="宋体"/>
                <w:szCs w:val="21"/>
              </w:rPr>
            </w:pPr>
            <w:r>
              <w:rPr>
                <w:rFonts w:hint="eastAsia" w:ascii="宋体" w:hAnsi="宋体"/>
                <w:szCs w:val="21"/>
              </w:rPr>
              <w:t>6-6具有包装设备设施的使用能力。</w:t>
            </w:r>
          </w:p>
          <w:p w14:paraId="0CABC9B3">
            <w:pPr>
              <w:shd w:val="clear" w:color="auto" w:fill="FFFFFF"/>
              <w:rPr>
                <w:rFonts w:ascii="宋体" w:hAnsi="宋体"/>
                <w:szCs w:val="21"/>
              </w:rPr>
            </w:pPr>
            <w:r>
              <w:rPr>
                <w:rFonts w:hint="eastAsia" w:ascii="宋体" w:hAnsi="宋体"/>
                <w:szCs w:val="21"/>
              </w:rPr>
              <w:t>6-7具有针对货物特性和客户要求进行科学配载的能力；</w:t>
            </w:r>
          </w:p>
          <w:p w14:paraId="025F520F">
            <w:pPr>
              <w:shd w:val="clear" w:color="auto" w:fill="FFFFFF"/>
              <w:rPr>
                <w:rFonts w:ascii="宋体" w:hAnsi="宋体"/>
                <w:szCs w:val="21"/>
              </w:rPr>
            </w:pPr>
            <w:r>
              <w:rPr>
                <w:rFonts w:hint="eastAsia" w:ascii="宋体" w:hAnsi="宋体"/>
                <w:szCs w:val="21"/>
              </w:rPr>
              <w:t>6-8具有物流系统相关软件操作能力；</w:t>
            </w:r>
          </w:p>
          <w:p w14:paraId="2C305ED9">
            <w:pPr>
              <w:shd w:val="clear" w:color="auto" w:fill="FFFFFF"/>
              <w:rPr>
                <w:rFonts w:ascii="宋体" w:hAnsi="宋体"/>
                <w:szCs w:val="21"/>
              </w:rPr>
            </w:pPr>
            <w:r>
              <w:rPr>
                <w:rFonts w:hint="eastAsia" w:ascii="宋体" w:hAnsi="宋体"/>
                <w:szCs w:val="21"/>
              </w:rPr>
              <w:t>6-9具有较好的服务意思和责任感；</w:t>
            </w:r>
          </w:p>
          <w:p w14:paraId="7F6868F6">
            <w:pPr>
              <w:shd w:val="clear" w:color="auto" w:fill="FFFFFF"/>
              <w:rPr>
                <w:rFonts w:ascii="宋体" w:hAnsi="宋体"/>
                <w:szCs w:val="21"/>
              </w:rPr>
            </w:pPr>
            <w:r>
              <w:rPr>
                <w:rFonts w:hint="eastAsia" w:ascii="宋体" w:hAnsi="宋体"/>
                <w:szCs w:val="21"/>
              </w:rPr>
              <w:t>6-10具有配送运作监控的能力。</w:t>
            </w:r>
          </w:p>
        </w:tc>
      </w:tr>
      <w:tr w14:paraId="6FE02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14:paraId="02D14CEB">
            <w:pPr>
              <w:shd w:val="clear" w:color="auto" w:fill="FFFFFF"/>
              <w:jc w:val="center"/>
              <w:rPr>
                <w:rFonts w:ascii="宋体" w:hAnsi="宋体"/>
                <w:szCs w:val="21"/>
              </w:rPr>
            </w:pPr>
            <w:r>
              <w:rPr>
                <w:rFonts w:hint="eastAsia" w:ascii="宋体" w:hAnsi="宋体"/>
                <w:szCs w:val="21"/>
              </w:rPr>
              <w:t>7</w:t>
            </w:r>
          </w:p>
        </w:tc>
        <w:tc>
          <w:tcPr>
            <w:tcW w:w="1620" w:type="dxa"/>
            <w:vAlign w:val="center"/>
          </w:tcPr>
          <w:p w14:paraId="0F24BD19">
            <w:pPr>
              <w:shd w:val="clear" w:color="auto" w:fill="FFFFFF"/>
              <w:jc w:val="center"/>
              <w:rPr>
                <w:rFonts w:ascii="宋体" w:hAnsi="宋体"/>
                <w:bCs/>
                <w:szCs w:val="21"/>
              </w:rPr>
            </w:pPr>
          </w:p>
          <w:p w14:paraId="0DE50138">
            <w:pPr>
              <w:shd w:val="clear" w:color="auto" w:fill="FFFFFF"/>
              <w:jc w:val="center"/>
              <w:rPr>
                <w:rFonts w:ascii="宋体" w:hAnsi="宋体"/>
                <w:bCs/>
                <w:szCs w:val="21"/>
              </w:rPr>
            </w:pPr>
            <w:r>
              <w:rPr>
                <w:rFonts w:hint="eastAsia" w:ascii="宋体" w:hAnsi="宋体"/>
                <w:bCs/>
                <w:szCs w:val="21"/>
              </w:rPr>
              <w:t>报关员</w:t>
            </w:r>
          </w:p>
        </w:tc>
        <w:tc>
          <w:tcPr>
            <w:tcW w:w="2266" w:type="dxa"/>
          </w:tcPr>
          <w:p w14:paraId="35453B1D">
            <w:pPr>
              <w:shd w:val="clear" w:color="auto" w:fill="FFFFFF"/>
              <w:rPr>
                <w:rFonts w:ascii="宋体" w:hAnsi="宋体"/>
                <w:szCs w:val="21"/>
              </w:rPr>
            </w:pPr>
            <w:r>
              <w:rPr>
                <w:rFonts w:hint="eastAsia" w:ascii="宋体" w:hAnsi="宋体"/>
                <w:szCs w:val="21"/>
              </w:rPr>
              <w:t>准备相关报关单证；进出口商品归类；进出口税费计算；配合海关查验；海关相关软件系统的操作；文件档案的管理</w:t>
            </w:r>
          </w:p>
        </w:tc>
        <w:tc>
          <w:tcPr>
            <w:tcW w:w="4784" w:type="dxa"/>
          </w:tcPr>
          <w:p w14:paraId="1F0B8833">
            <w:pPr>
              <w:shd w:val="clear" w:color="auto" w:fill="FFFFFF"/>
              <w:tabs>
                <w:tab w:val="center" w:pos="4153"/>
                <w:tab w:val="right" w:pos="8306"/>
              </w:tabs>
              <w:snapToGrid w:val="0"/>
              <w:rPr>
                <w:rFonts w:ascii="宋体" w:hAnsi="宋体"/>
                <w:szCs w:val="21"/>
              </w:rPr>
            </w:pPr>
            <w:r>
              <w:rPr>
                <w:rFonts w:hint="eastAsia" w:ascii="宋体" w:hAnsi="宋体" w:cs="Courier New"/>
                <w:szCs w:val="21"/>
              </w:rPr>
              <w:t>7-1</w:t>
            </w:r>
            <w:r>
              <w:rPr>
                <w:rFonts w:hint="eastAsia" w:ascii="宋体" w:hAnsi="宋体"/>
                <w:szCs w:val="21"/>
              </w:rPr>
              <w:t>熟悉海关报关、报检流程</w:t>
            </w:r>
          </w:p>
          <w:p w14:paraId="444AA2C0">
            <w:pPr>
              <w:shd w:val="clear" w:color="auto" w:fill="FFFFFF"/>
              <w:tabs>
                <w:tab w:val="center" w:pos="4153"/>
                <w:tab w:val="right" w:pos="8306"/>
              </w:tabs>
              <w:snapToGrid w:val="0"/>
              <w:rPr>
                <w:rFonts w:ascii="宋体" w:hAnsi="宋体"/>
                <w:szCs w:val="21"/>
              </w:rPr>
            </w:pPr>
            <w:r>
              <w:rPr>
                <w:rFonts w:hint="eastAsia" w:ascii="宋体" w:hAnsi="宋体"/>
                <w:szCs w:val="21"/>
              </w:rPr>
              <w:t>7-2对商品进行正确归类能力；</w:t>
            </w:r>
          </w:p>
          <w:p w14:paraId="31D4A505">
            <w:pPr>
              <w:shd w:val="clear" w:color="auto" w:fill="FFFFFF"/>
              <w:tabs>
                <w:tab w:val="center" w:pos="4153"/>
                <w:tab w:val="right" w:pos="8306"/>
              </w:tabs>
              <w:snapToGrid w:val="0"/>
              <w:rPr>
                <w:rFonts w:ascii="宋体" w:hAnsi="宋体"/>
                <w:szCs w:val="21"/>
              </w:rPr>
            </w:pPr>
            <w:r>
              <w:rPr>
                <w:rFonts w:hint="eastAsia" w:ascii="宋体" w:hAnsi="宋体"/>
                <w:szCs w:val="21"/>
              </w:rPr>
              <w:t>7-3收集及制作进出口货物报关单证能力；</w:t>
            </w:r>
          </w:p>
          <w:p w14:paraId="61DB16AF">
            <w:pPr>
              <w:shd w:val="clear" w:color="auto" w:fill="FFFFFF"/>
              <w:tabs>
                <w:tab w:val="center" w:pos="4153"/>
                <w:tab w:val="right" w:pos="8306"/>
              </w:tabs>
              <w:snapToGrid w:val="0"/>
              <w:rPr>
                <w:rFonts w:ascii="宋体" w:hAnsi="宋体"/>
                <w:szCs w:val="21"/>
              </w:rPr>
            </w:pPr>
            <w:r>
              <w:rPr>
                <w:rFonts w:hint="eastAsia" w:ascii="宋体" w:hAnsi="宋体"/>
                <w:szCs w:val="21"/>
              </w:rPr>
              <w:t>7-4掌握进出口税费的种类及其计算方法；</w:t>
            </w:r>
          </w:p>
          <w:p w14:paraId="460317CA">
            <w:pPr>
              <w:shd w:val="clear" w:color="auto" w:fill="FFFFFF"/>
              <w:tabs>
                <w:tab w:val="center" w:pos="4153"/>
                <w:tab w:val="right" w:pos="8306"/>
              </w:tabs>
              <w:snapToGrid w:val="0"/>
              <w:rPr>
                <w:rFonts w:ascii="宋体" w:hAnsi="宋体"/>
                <w:szCs w:val="21"/>
              </w:rPr>
            </w:pPr>
            <w:r>
              <w:rPr>
                <w:rFonts w:hint="eastAsia" w:ascii="宋体" w:hAnsi="宋体"/>
                <w:szCs w:val="21"/>
              </w:rPr>
              <w:t>7-5报关流程整体把控能力；</w:t>
            </w:r>
          </w:p>
          <w:p w14:paraId="71857DDE">
            <w:pPr>
              <w:shd w:val="clear" w:color="auto" w:fill="FFFFFF"/>
              <w:tabs>
                <w:tab w:val="center" w:pos="4153"/>
                <w:tab w:val="right" w:pos="8306"/>
              </w:tabs>
              <w:snapToGrid w:val="0"/>
              <w:rPr>
                <w:rFonts w:ascii="宋体" w:hAnsi="宋体"/>
                <w:szCs w:val="21"/>
              </w:rPr>
            </w:pPr>
            <w:r>
              <w:rPr>
                <w:rFonts w:hint="eastAsia" w:ascii="宋体" w:hAnsi="宋体"/>
                <w:szCs w:val="21"/>
              </w:rPr>
              <w:t>7-6</w:t>
            </w:r>
            <w:r>
              <w:rPr>
                <w:rFonts w:hint="eastAsia" w:ascii="宋体" w:hAnsi="宋体" w:cs="Courier New"/>
                <w:szCs w:val="21"/>
              </w:rPr>
              <w:t>海关相关软件系统的操作能力；</w:t>
            </w:r>
          </w:p>
          <w:p w14:paraId="182AB153">
            <w:pPr>
              <w:shd w:val="clear" w:color="auto" w:fill="FFFFFF"/>
              <w:rPr>
                <w:rFonts w:ascii="宋体" w:hAnsi="宋体"/>
                <w:szCs w:val="21"/>
              </w:rPr>
            </w:pPr>
            <w:r>
              <w:rPr>
                <w:rFonts w:hint="eastAsia" w:ascii="宋体" w:hAnsi="宋体"/>
                <w:szCs w:val="21"/>
              </w:rPr>
              <w:t>7-7交流沟通、独立工作能力；</w:t>
            </w:r>
          </w:p>
          <w:p w14:paraId="5BD6D0E2">
            <w:pPr>
              <w:shd w:val="clear" w:color="auto" w:fill="FFFFFF"/>
              <w:rPr>
                <w:rFonts w:ascii="宋体" w:hAnsi="宋体"/>
                <w:szCs w:val="21"/>
              </w:rPr>
            </w:pPr>
            <w:r>
              <w:rPr>
                <w:rFonts w:hint="eastAsia" w:ascii="宋体" w:hAnsi="宋体"/>
                <w:szCs w:val="21"/>
              </w:rPr>
              <w:t>7-8文档资料的管理能力。</w:t>
            </w:r>
          </w:p>
        </w:tc>
      </w:tr>
      <w:tr w14:paraId="0047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14:paraId="6111D42B">
            <w:pPr>
              <w:shd w:val="clear" w:color="auto" w:fill="FFFFFF"/>
              <w:jc w:val="center"/>
              <w:rPr>
                <w:rFonts w:ascii="宋体" w:hAnsi="宋体"/>
                <w:szCs w:val="21"/>
              </w:rPr>
            </w:pPr>
            <w:r>
              <w:rPr>
                <w:rFonts w:hint="eastAsia" w:ascii="宋体" w:hAnsi="宋体"/>
                <w:szCs w:val="21"/>
              </w:rPr>
              <w:t>8</w:t>
            </w:r>
          </w:p>
        </w:tc>
        <w:tc>
          <w:tcPr>
            <w:tcW w:w="1620" w:type="dxa"/>
            <w:vAlign w:val="center"/>
          </w:tcPr>
          <w:p w14:paraId="60921CFB">
            <w:pPr>
              <w:shd w:val="clear" w:color="auto" w:fill="FFFFFF"/>
              <w:jc w:val="center"/>
              <w:rPr>
                <w:rFonts w:ascii="宋体" w:hAnsi="宋体"/>
                <w:szCs w:val="21"/>
              </w:rPr>
            </w:pPr>
            <w:r>
              <w:rPr>
                <w:rFonts w:hint="eastAsia" w:ascii="宋体" w:hAnsi="宋体"/>
                <w:szCs w:val="21"/>
              </w:rPr>
              <w:t>客户服务</w:t>
            </w:r>
          </w:p>
        </w:tc>
        <w:tc>
          <w:tcPr>
            <w:tcW w:w="2266" w:type="dxa"/>
          </w:tcPr>
          <w:p w14:paraId="42D7D0FF">
            <w:pPr>
              <w:shd w:val="clear" w:color="auto" w:fill="FFFFFF"/>
              <w:rPr>
                <w:rFonts w:ascii="宋体" w:hAnsi="宋体"/>
                <w:szCs w:val="21"/>
              </w:rPr>
            </w:pPr>
            <w:r>
              <w:rPr>
                <w:rFonts w:hint="eastAsia" w:ascii="宋体" w:hAnsi="宋体"/>
                <w:szCs w:val="21"/>
              </w:rPr>
              <w:t>接受客户客户需求订单；订单实施的组织和监督；对配送、运输过程中出现的异常情况进行跟踪处理；协调客户关系，进行投诉处理；与相关部门的沟通；对问题处理的情况进行记录和反馈。</w:t>
            </w:r>
          </w:p>
        </w:tc>
        <w:tc>
          <w:tcPr>
            <w:tcW w:w="4784" w:type="dxa"/>
          </w:tcPr>
          <w:p w14:paraId="038C687C">
            <w:pPr>
              <w:shd w:val="clear" w:color="auto" w:fill="FFFFFF"/>
              <w:rPr>
                <w:rFonts w:ascii="宋体" w:hAnsi="宋体"/>
                <w:szCs w:val="21"/>
              </w:rPr>
            </w:pPr>
            <w:r>
              <w:rPr>
                <w:rFonts w:hint="eastAsia" w:ascii="宋体" w:hAnsi="宋体"/>
                <w:szCs w:val="21"/>
              </w:rPr>
              <w:t>8-1</w:t>
            </w:r>
            <w:r>
              <w:rPr>
                <w:rFonts w:ascii="宋体" w:hAnsi="宋体"/>
                <w:szCs w:val="21"/>
              </w:rPr>
              <w:t>了解客户管理</w:t>
            </w:r>
            <w:r>
              <w:rPr>
                <w:rFonts w:hint="eastAsia" w:ascii="宋体" w:hAnsi="宋体"/>
                <w:szCs w:val="21"/>
              </w:rPr>
              <w:t>知识</w:t>
            </w:r>
            <w:r>
              <w:rPr>
                <w:rFonts w:ascii="宋体" w:hAnsi="宋体"/>
                <w:szCs w:val="21"/>
              </w:rPr>
              <w:t>，懂</w:t>
            </w:r>
            <w:r>
              <w:rPr>
                <w:rFonts w:hint="eastAsia" w:ascii="宋体" w:hAnsi="宋体"/>
                <w:szCs w:val="21"/>
              </w:rPr>
              <w:t>商务</w:t>
            </w:r>
            <w:r>
              <w:rPr>
                <w:rFonts w:ascii="宋体" w:hAnsi="宋体"/>
                <w:szCs w:val="21"/>
              </w:rPr>
              <w:t>礼仪</w:t>
            </w:r>
            <w:r>
              <w:rPr>
                <w:rFonts w:hint="eastAsia" w:ascii="宋体" w:hAnsi="宋体"/>
                <w:szCs w:val="21"/>
              </w:rPr>
              <w:t>，具有</w:t>
            </w:r>
            <w:r>
              <w:rPr>
                <w:rFonts w:ascii="宋体" w:hAnsi="宋体"/>
                <w:szCs w:val="21"/>
              </w:rPr>
              <w:t>客户联络跟踪</w:t>
            </w:r>
            <w:r>
              <w:rPr>
                <w:rFonts w:hint="eastAsia" w:ascii="宋体" w:hAnsi="宋体"/>
                <w:szCs w:val="21"/>
              </w:rPr>
              <w:t>的能力；</w:t>
            </w:r>
          </w:p>
          <w:p w14:paraId="3518ED83">
            <w:pPr>
              <w:shd w:val="clear" w:color="auto" w:fill="FFFFFF"/>
              <w:rPr>
                <w:rFonts w:ascii="宋体" w:hAnsi="宋体"/>
                <w:szCs w:val="21"/>
              </w:rPr>
            </w:pPr>
            <w:r>
              <w:rPr>
                <w:rFonts w:hint="eastAsia" w:ascii="宋体" w:hAnsi="宋体"/>
                <w:szCs w:val="21"/>
              </w:rPr>
              <w:t>8-2懂配送、运输作业的相关流程和法规；</w:t>
            </w:r>
          </w:p>
          <w:p w14:paraId="5F9FA19B">
            <w:pPr>
              <w:shd w:val="clear" w:color="auto" w:fill="FFFFFF"/>
              <w:rPr>
                <w:rFonts w:ascii="宋体" w:hAnsi="宋体"/>
                <w:szCs w:val="21"/>
              </w:rPr>
            </w:pPr>
            <w:r>
              <w:rPr>
                <w:rFonts w:hint="eastAsia" w:ascii="宋体" w:hAnsi="宋体"/>
                <w:szCs w:val="21"/>
              </w:rPr>
              <w:t>8-3具有及时果断地处理问题的能力；</w:t>
            </w:r>
          </w:p>
          <w:p w14:paraId="7E4BE950">
            <w:pPr>
              <w:shd w:val="clear" w:color="auto" w:fill="FFFFFF"/>
              <w:rPr>
                <w:rFonts w:ascii="宋体" w:hAnsi="宋体"/>
                <w:szCs w:val="21"/>
              </w:rPr>
            </w:pPr>
            <w:r>
              <w:rPr>
                <w:rFonts w:hint="eastAsia" w:ascii="宋体" w:hAnsi="宋体"/>
                <w:szCs w:val="21"/>
              </w:rPr>
              <w:t>8-4具有良好的沟通能力。</w:t>
            </w:r>
          </w:p>
        </w:tc>
      </w:tr>
      <w:tr w14:paraId="775FC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14:paraId="1D339496">
            <w:pPr>
              <w:shd w:val="clear" w:color="auto" w:fill="FFFFFF"/>
              <w:jc w:val="center"/>
              <w:rPr>
                <w:rFonts w:ascii="宋体" w:hAnsi="宋体"/>
                <w:szCs w:val="21"/>
              </w:rPr>
            </w:pPr>
            <w:r>
              <w:rPr>
                <w:rFonts w:hint="eastAsia" w:ascii="宋体" w:hAnsi="宋体"/>
                <w:szCs w:val="21"/>
              </w:rPr>
              <w:t>9</w:t>
            </w:r>
          </w:p>
        </w:tc>
        <w:tc>
          <w:tcPr>
            <w:tcW w:w="1620" w:type="dxa"/>
            <w:vAlign w:val="center"/>
          </w:tcPr>
          <w:p w14:paraId="520C401F">
            <w:pPr>
              <w:shd w:val="clear" w:color="auto" w:fill="FFFFFF"/>
              <w:jc w:val="center"/>
              <w:rPr>
                <w:rFonts w:ascii="宋体" w:hAnsi="宋体"/>
                <w:szCs w:val="21"/>
              </w:rPr>
            </w:pPr>
            <w:r>
              <w:rPr>
                <w:rFonts w:hint="eastAsia" w:ascii="宋体" w:hAnsi="宋体"/>
                <w:szCs w:val="21"/>
              </w:rPr>
              <w:t>货代员</w:t>
            </w:r>
          </w:p>
        </w:tc>
        <w:tc>
          <w:tcPr>
            <w:tcW w:w="2266" w:type="dxa"/>
          </w:tcPr>
          <w:p w14:paraId="6DD997D2">
            <w:pPr>
              <w:shd w:val="clear" w:color="auto" w:fill="FFFFFF"/>
              <w:rPr>
                <w:rFonts w:ascii="宋体" w:hAnsi="宋体"/>
                <w:szCs w:val="21"/>
              </w:rPr>
            </w:pPr>
            <w:r>
              <w:rPr>
                <w:rFonts w:hint="eastAsia" w:ascii="宋体" w:hAnsi="宋体"/>
                <w:szCs w:val="21"/>
              </w:rPr>
              <w:t>收集客户信息；发掘和维护客户；线路选择；成本分析；制订方案；系统录入；对单核单；签发运输单证；电放单证</w:t>
            </w:r>
          </w:p>
        </w:tc>
        <w:tc>
          <w:tcPr>
            <w:tcW w:w="4784" w:type="dxa"/>
          </w:tcPr>
          <w:p w14:paraId="07CD76C1">
            <w:pPr>
              <w:shd w:val="clear" w:color="auto" w:fill="FFFFFF"/>
              <w:rPr>
                <w:rFonts w:ascii="宋体" w:hAnsi="宋体"/>
                <w:szCs w:val="21"/>
              </w:rPr>
            </w:pPr>
            <w:r>
              <w:rPr>
                <w:rFonts w:hint="eastAsia" w:ascii="宋体" w:hAnsi="宋体"/>
                <w:szCs w:val="21"/>
              </w:rPr>
              <w:t>9-1熟货物运输特性；</w:t>
            </w:r>
          </w:p>
          <w:p w14:paraId="30DAB1D9">
            <w:pPr>
              <w:shd w:val="clear" w:color="auto" w:fill="FFFFFF"/>
              <w:rPr>
                <w:rFonts w:ascii="宋体" w:hAnsi="宋体"/>
                <w:szCs w:val="21"/>
              </w:rPr>
            </w:pPr>
            <w:r>
              <w:rPr>
                <w:rFonts w:hint="eastAsia" w:ascii="宋体" w:hAnsi="宋体"/>
                <w:szCs w:val="21"/>
              </w:rPr>
              <w:t>9-2具有熟练使用自动化办公设备的能力；</w:t>
            </w:r>
          </w:p>
          <w:p w14:paraId="728C190F">
            <w:pPr>
              <w:shd w:val="clear" w:color="auto" w:fill="FFFFFF"/>
              <w:rPr>
                <w:rFonts w:ascii="宋体" w:hAnsi="宋体"/>
                <w:szCs w:val="21"/>
              </w:rPr>
            </w:pPr>
            <w:r>
              <w:rPr>
                <w:rFonts w:hint="eastAsia" w:ascii="宋体" w:hAnsi="宋体"/>
                <w:szCs w:val="21"/>
              </w:rPr>
              <w:t>9-3具有相关软件系统的操作能力；</w:t>
            </w:r>
          </w:p>
          <w:p w14:paraId="1946AA2B">
            <w:pPr>
              <w:shd w:val="clear" w:color="auto" w:fill="FFFFFF"/>
              <w:rPr>
                <w:rFonts w:ascii="宋体" w:hAnsi="宋体"/>
                <w:szCs w:val="21"/>
              </w:rPr>
            </w:pPr>
            <w:r>
              <w:rPr>
                <w:rFonts w:hint="eastAsia" w:ascii="宋体" w:hAnsi="宋体"/>
                <w:szCs w:val="21"/>
              </w:rPr>
              <w:t>9-4具有运输方式的优化和选择能力；</w:t>
            </w:r>
          </w:p>
          <w:p w14:paraId="3E6832A3">
            <w:pPr>
              <w:shd w:val="clear" w:color="auto" w:fill="FFFFFF"/>
              <w:rPr>
                <w:rFonts w:ascii="宋体" w:hAnsi="宋体"/>
                <w:szCs w:val="21"/>
              </w:rPr>
            </w:pPr>
            <w:r>
              <w:rPr>
                <w:rFonts w:hint="eastAsia" w:ascii="宋体" w:hAnsi="宋体"/>
                <w:szCs w:val="21"/>
              </w:rPr>
              <w:t>9-5具有运输成本核算能力；具有对运输供应商的选择和监控能力；</w:t>
            </w:r>
          </w:p>
          <w:p w14:paraId="7FE3CE9D">
            <w:pPr>
              <w:shd w:val="clear" w:color="auto" w:fill="FFFFFF"/>
              <w:rPr>
                <w:rFonts w:ascii="宋体" w:hAnsi="宋体"/>
                <w:szCs w:val="21"/>
              </w:rPr>
            </w:pPr>
            <w:r>
              <w:rPr>
                <w:rFonts w:hint="eastAsia" w:ascii="宋体" w:hAnsi="宋体"/>
                <w:szCs w:val="21"/>
              </w:rPr>
              <w:t>9-6掌握处理各类单证的能力；</w:t>
            </w:r>
          </w:p>
          <w:p w14:paraId="4D20C42D">
            <w:pPr>
              <w:shd w:val="clear" w:color="auto" w:fill="FFFFFF"/>
              <w:tabs>
                <w:tab w:val="center" w:pos="4153"/>
                <w:tab w:val="right" w:pos="8306"/>
              </w:tabs>
              <w:snapToGrid w:val="0"/>
              <w:rPr>
                <w:rFonts w:ascii="宋体" w:hAnsi="宋体" w:cs="Courier New"/>
                <w:szCs w:val="21"/>
              </w:rPr>
            </w:pPr>
            <w:r>
              <w:rPr>
                <w:rFonts w:hint="eastAsia" w:ascii="宋体" w:hAnsi="宋体" w:cs="Courier New"/>
                <w:szCs w:val="21"/>
              </w:rPr>
              <w:t>9-7具有英文交流和良好的沟通能力能力。</w:t>
            </w:r>
          </w:p>
        </w:tc>
      </w:tr>
    </w:tbl>
    <w:p w14:paraId="1CD2D699">
      <w:pPr>
        <w:widowControl/>
        <w:spacing w:line="360" w:lineRule="auto"/>
        <w:ind w:firstLine="480" w:firstLineChars="200"/>
        <w:jc w:val="left"/>
        <w:rPr>
          <w:sz w:val="24"/>
        </w:rPr>
      </w:pPr>
    </w:p>
    <w:p w14:paraId="419511FD">
      <w:pPr>
        <w:widowControl/>
        <w:spacing w:line="360" w:lineRule="auto"/>
        <w:ind w:firstLine="600" w:firstLineChars="200"/>
        <w:jc w:val="left"/>
        <w:rPr>
          <w:rFonts w:ascii="黑体" w:eastAsia="黑体"/>
          <w:sz w:val="30"/>
          <w:szCs w:val="30"/>
        </w:rPr>
      </w:pPr>
      <w:r>
        <w:rPr>
          <w:rFonts w:ascii="黑体" w:eastAsia="黑体"/>
          <w:sz w:val="30"/>
          <w:szCs w:val="30"/>
        </w:rPr>
        <w:t>三</w:t>
      </w:r>
      <w:r>
        <w:rPr>
          <w:rFonts w:hint="eastAsia" w:ascii="黑体" w:eastAsia="黑体"/>
          <w:sz w:val="30"/>
          <w:szCs w:val="30"/>
        </w:rPr>
        <w:t>、</w:t>
      </w:r>
      <w:r>
        <w:rPr>
          <w:rFonts w:ascii="黑体" w:eastAsia="黑体"/>
          <w:sz w:val="30"/>
          <w:szCs w:val="30"/>
        </w:rPr>
        <w:t>调研结果及建议</w:t>
      </w:r>
    </w:p>
    <w:p w14:paraId="4CE770C3">
      <w:pPr>
        <w:widowControl/>
        <w:spacing w:line="360" w:lineRule="auto"/>
        <w:ind w:firstLine="480" w:firstLineChars="200"/>
        <w:jc w:val="left"/>
        <w:rPr>
          <w:sz w:val="24"/>
        </w:rPr>
      </w:pPr>
      <w:r>
        <w:rPr>
          <w:rFonts w:hint="eastAsia"/>
          <w:sz w:val="24"/>
        </w:rPr>
        <w:t>本次调查的物流企业（快递业）主要以民营企业或私人控股的企业为主 ；本次调查中的物流企业大致可以分为四类 ：快递企业、第四方物流企业、跨境物流企业、提供物流管理平台的企业 ；被调查的公司所设的物流岗位各不相同，大致主要有物流费用分析、物流策划、仓储管理、运输调度、配送管理、物流信息等岗位 ；被调查的物流企业对所需人才的学历要求 90% 以上选择的是大专或本科，选择中专、中技的只有 2 家企业 ；根据调查，目前物流业所需人才类别主要有配送管理、报关报检、仓储管理、物流营销及综合管理 ；调查表明，企业对物流人才比较看重的素质为工作态度、相关经验、专业知识与技能和学习能力四方面。调查显示，企业认为物流专业人才比较欠缺的专业知识主要为 ：配送、物流信息技术、国际货代等方面 ；认为新入职毕业生要提高的能力有（按顺序）：沟通能力、环境适应能力、书面表达能力、人际交往能力、创造性解决问题的能力、承担风险的能力以及资源整合的能力 ；根据调查，企业一致认为物流专业应届毕业生就业不能发挥效应的原因是学校培养力度不够，不能与市场、企业很好地对接，导致企业还需要再培训 ；询问企业遇到难题时是否愿意与院校专业教师共同探讨，结果各占50%，勾选“愿意”的一定程度是因为调查者就是老师，不好意思顺手选择，填写“不愿意”的企业认为物流业发展较快，物流专业的老师自身由于长期在校内教书，知识滞后，不是很了解行业的发展情况，缺少实践经验和解决问题的能力，不能帮助企业解决任何问题 ；大多数企业表示不是很愿意进行校企合作，少数愿意合作企业目的是希望学校给他们提供“用工输出”，或者是合作开发项目（针对大学）。</w:t>
      </w:r>
    </w:p>
    <w:p w14:paraId="77E74D83">
      <w:pPr>
        <w:widowControl/>
        <w:spacing w:line="360" w:lineRule="auto"/>
        <w:ind w:firstLine="480" w:firstLineChars="200"/>
        <w:jc w:val="left"/>
        <w:rPr>
          <w:sz w:val="24"/>
        </w:rPr>
      </w:pPr>
      <w:r>
        <w:rPr>
          <w:rFonts w:hint="eastAsia"/>
          <w:sz w:val="24"/>
        </w:rPr>
        <w:t>结果分析</w:t>
      </w:r>
    </w:p>
    <w:p w14:paraId="33AF6A6A">
      <w:pPr>
        <w:widowControl/>
        <w:spacing w:line="360" w:lineRule="auto"/>
        <w:ind w:firstLine="480" w:firstLineChars="200"/>
        <w:jc w:val="left"/>
        <w:rPr>
          <w:sz w:val="24"/>
        </w:rPr>
      </w:pPr>
      <w:r>
        <w:rPr>
          <w:rFonts w:hint="eastAsia"/>
          <w:sz w:val="24"/>
        </w:rPr>
        <w:t>1. 电子商务的迅猛发展无形中带动了物流业的迅速发展这次展会，快递企业占了很大的比例，如深圳递四方、顺丰速递、上海德邦物流等。其次是跨境物流发展迅猛，随着跨境电子商务近年来的快速发展，跨境物流特别是“海外仓”发展较快，但同时对人才要求也提出了相应较高的标准。</w:t>
      </w:r>
    </w:p>
    <w:p w14:paraId="62516780">
      <w:pPr>
        <w:widowControl/>
        <w:spacing w:line="360" w:lineRule="auto"/>
        <w:ind w:firstLine="480" w:firstLineChars="200"/>
        <w:jc w:val="left"/>
        <w:rPr>
          <w:sz w:val="24"/>
        </w:rPr>
      </w:pPr>
      <w:r>
        <w:rPr>
          <w:rFonts w:hint="eastAsia"/>
          <w:sz w:val="24"/>
        </w:rPr>
        <w:t>2.对物流人才的需求有五点认识一是物流中技（或中专）层次的毕业生就业面非常窄。调查问卷显示，只有两家需要中专层次的物流专业毕业生，其中一家还是中介机构。其就业方向基本就是快递业。高职相对会好很多；二是所谓的物流客服岗位，并不是像笔者原来想象的与移动客服岗位相似，而是针对外贸物流，它要求客服掌握外语技能（尤其是小语种的客服人员较缺乏，比如俄语）；再者就是第三方和第四方物流平台及物流产业园区需要少量的物流客服，这类客服主要在线上平台工作 ；最后就是大客户物流专员，属于物流营销方向，主要职责是拉大客户进入本公司开展物流业务。</w:t>
      </w:r>
    </w:p>
    <w:p w14:paraId="498BB54B">
      <w:pPr>
        <w:widowControl/>
        <w:spacing w:line="360" w:lineRule="auto"/>
        <w:ind w:firstLine="480" w:firstLineChars="200"/>
        <w:jc w:val="left"/>
        <w:rPr>
          <w:sz w:val="24"/>
        </w:rPr>
      </w:pPr>
      <w:r>
        <w:rPr>
          <w:rFonts w:hint="eastAsia"/>
          <w:sz w:val="24"/>
        </w:rPr>
        <w:t>综上所述,我省中小企业物流专业应用性人才的需求,从数量上看，已经跨过规模增长的临界点,从质量上看,必将迎来一个追求品质和注重实效的挑战期。因此，只要我院努力提高现代物流管理专业办学水平，现代物流管理专业学生的就业出路就不存在问题。</w:t>
      </w:r>
    </w:p>
    <w:p w14:paraId="45E68123">
      <w:pPr>
        <w:widowControl/>
        <w:spacing w:line="360" w:lineRule="auto"/>
        <w:ind w:firstLine="480" w:firstLineChars="200"/>
        <w:jc w:val="left"/>
        <w:rPr>
          <w:sz w:val="24"/>
        </w:rPr>
      </w:pPr>
      <w:r>
        <w:rPr>
          <w:rFonts w:hint="eastAsia"/>
          <w:sz w:val="24"/>
        </w:rPr>
        <w:t>我院现代物流管理专业人才培养瞄准生产和流通企业基本物流运作和供应链方面迅速增加的中层物流管理人才需求，有针对性的进行培养目标设定和课程设置，对接物流管理人才需求。</w:t>
      </w:r>
    </w:p>
    <w:p w14:paraId="761E93E8">
      <w:pPr>
        <w:widowControl/>
        <w:spacing w:line="360" w:lineRule="auto"/>
        <w:ind w:firstLine="480" w:firstLineChars="200"/>
        <w:jc w:val="left"/>
        <w:rPr>
          <w:sz w:val="24"/>
        </w:rPr>
      </w:pPr>
      <w:r>
        <w:rPr>
          <w:rFonts w:hint="eastAsia"/>
          <w:sz w:val="24"/>
        </w:rPr>
        <w:t>根据山东省教育厅等 11 部门发布的《关于办好新时代职业教育的十条意见》《山东省职业学校校企合作促进办法》等文件要求，全面贯彻党的教育方针，落实立德树人根本任务，大力弘扬工匠精神，厚植工匠文化，健全德技并修、工学结合校企协同育人机制和多方参与的质量评价机制，进一步深化产教融合、校企合作，依托校中产业园资源优势，全面推进现代学徒制工作，进一步深化 “双园融合、多元育人、产教一体”的创新人才培养模式。</w:t>
      </w:r>
    </w:p>
    <w:p w14:paraId="5116A28D">
      <w:pPr>
        <w:widowControl/>
        <w:spacing w:line="360" w:lineRule="auto"/>
        <w:ind w:firstLine="480" w:firstLineChars="200"/>
        <w:jc w:val="left"/>
        <w:rPr>
          <w:sz w:val="24"/>
        </w:rPr>
      </w:pPr>
      <w:r>
        <w:rPr>
          <w:rFonts w:hint="eastAsia"/>
          <w:sz w:val="24"/>
        </w:rPr>
        <w:t>1、</w:t>
      </w:r>
      <w:r>
        <w:rPr>
          <w:sz w:val="24"/>
        </w:rPr>
        <w:t>专业培养目标</w:t>
      </w:r>
    </w:p>
    <w:p w14:paraId="36FD5919">
      <w:pPr>
        <w:widowControl/>
        <w:spacing w:line="360" w:lineRule="auto"/>
        <w:ind w:firstLine="480" w:firstLineChars="200"/>
        <w:jc w:val="left"/>
        <w:rPr>
          <w:sz w:val="24"/>
        </w:rPr>
      </w:pPr>
      <w:r>
        <w:rPr>
          <w:rFonts w:hint="eastAsia"/>
          <w:sz w:val="24"/>
        </w:rPr>
        <w:t>总体培养目标：培养在综合型物流企业的中、低层运营管理职业岗位从事管理技能操作的高端技能型人才。</w:t>
      </w:r>
    </w:p>
    <w:p w14:paraId="04E49A7D">
      <w:pPr>
        <w:widowControl/>
        <w:spacing w:line="360" w:lineRule="auto"/>
        <w:ind w:firstLine="480" w:firstLineChars="200"/>
        <w:jc w:val="left"/>
        <w:rPr>
          <w:sz w:val="24"/>
        </w:rPr>
      </w:pPr>
      <w:r>
        <w:rPr>
          <w:rFonts w:hint="eastAsia"/>
          <w:sz w:val="24"/>
        </w:rPr>
        <w:t>专业培养目标：</w:t>
      </w:r>
    </w:p>
    <w:p w14:paraId="5A5AC30A">
      <w:pPr>
        <w:widowControl/>
        <w:spacing w:line="360" w:lineRule="auto"/>
        <w:ind w:firstLine="480" w:firstLineChars="200"/>
        <w:jc w:val="left"/>
        <w:rPr>
          <w:sz w:val="24"/>
        </w:rPr>
      </w:pPr>
      <w:r>
        <w:rPr>
          <w:rFonts w:hint="eastAsia"/>
          <w:sz w:val="24"/>
        </w:rPr>
        <w:t>本专业群培养拥护党的基本路线，德、智、体、美、劳全面发展，服务于地方经济发展，掌握基本的互联网信息技术和扎实的现代商贸专业理论基础，具有强硬的智慧营销能力、电商运营能力、供应链操作能力、跨境电商及创新创业能力和良好职业道德修养，面向现代商贸企业服务、管理一线的技术技能型、创新型、复合型人才。在此基础上，本专业人才培养方向更倾向于培养满足物流专业相关岗位要求的人才。结合1+X物流管理职业技能等级标准中级职业能力要求，本专业旨在培养培养符合1+X物流管理职业技能等级标准中级职业能力要求，掌握物流管理的专业基础知识，具有良好的职业道德，具备从事物流市场调研与开发、仓储与配送、运输、国际物流管理的实际操作能力，成为在现代物流业领域中具有一定的专业基础知识和较强实践能力的高端技能型专门人才。从事企业物流管理、国际物流管理、采购、供应链管理、物流系统分析与设计及相关的管理与技术工作。主干课程：电商基础概论、仓储与配送管理实务、运输管理实务、第三方物流、快递物流实务、国际物流实务、物流信息技术与应用、采购与供应链管理、物流企业管理等。经过系统的教学培养和学生实训，使学生达标1+X物流管理职业技能等级标准中级职业能力要求，满足物流专业相关岗位要求。</w:t>
      </w:r>
    </w:p>
    <w:p w14:paraId="5438FF0D">
      <w:pPr>
        <w:widowControl/>
        <w:spacing w:line="360" w:lineRule="auto"/>
        <w:ind w:firstLine="480" w:firstLineChars="200"/>
        <w:jc w:val="left"/>
        <w:rPr>
          <w:sz w:val="24"/>
        </w:rPr>
      </w:pPr>
      <w:r>
        <w:rPr>
          <w:rFonts w:hint="eastAsia"/>
          <w:sz w:val="24"/>
        </w:rPr>
        <w:t>2、</w:t>
      </w:r>
      <w:r>
        <w:rPr>
          <w:sz w:val="24"/>
        </w:rPr>
        <w:t>专业培养规格</w:t>
      </w:r>
    </w:p>
    <w:bookmarkEnd w:id="104"/>
    <w:bookmarkEnd w:id="105"/>
    <w:bookmarkEnd w:id="106"/>
    <w:bookmarkEnd w:id="107"/>
    <w:bookmarkEnd w:id="108"/>
    <w:bookmarkEnd w:id="109"/>
    <w:bookmarkEnd w:id="110"/>
    <w:bookmarkEnd w:id="111"/>
    <w:bookmarkEnd w:id="112"/>
    <w:bookmarkEnd w:id="113"/>
    <w:bookmarkEnd w:id="114"/>
    <w:p w14:paraId="7E0AD4AE">
      <w:pPr>
        <w:widowControl/>
        <w:spacing w:line="480" w:lineRule="atLeast"/>
        <w:ind w:firstLine="480" w:firstLineChars="200"/>
        <w:jc w:val="left"/>
        <w:rPr>
          <w:rFonts w:ascii="宋体" w:hAnsi="宋体" w:cs="宋体"/>
          <w:color w:val="000000"/>
          <w:sz w:val="24"/>
        </w:rPr>
      </w:pPr>
      <w:r>
        <w:rPr>
          <w:rFonts w:hint="eastAsia" w:ascii="宋体" w:hAnsi="宋体" w:cs="宋体"/>
          <w:color w:val="000000"/>
          <w:sz w:val="24"/>
        </w:rPr>
        <w:t>以习近平新时代中国特色社会主义思想为指导，全面贯彻党的教育方针，落实立德树人根本任务，深化产教融合、校企合作，健全德技并修、工学结合的育人机制和多方参与的质量评价机制，深入推进教师、教材、教法改革，总结现代学徒制试点成功经验和典型案例，在本校物流专业中，全面推广由政府引导、行业参与、社会支持、企业和职业学校双主体育人的中国特色现代学徒制。</w:t>
      </w:r>
    </w:p>
    <w:p w14:paraId="74F2FD2A">
      <w:pPr>
        <w:spacing w:line="460" w:lineRule="exact"/>
        <w:outlineLvl w:val="2"/>
        <w:rPr>
          <w:rFonts w:ascii="宋体" w:hAnsi="宋体" w:cs="宋体"/>
          <w:b/>
          <w:color w:val="000000"/>
          <w:sz w:val="24"/>
        </w:rPr>
      </w:pPr>
      <w:r>
        <w:rPr>
          <w:rFonts w:hint="eastAsia" w:ascii="宋体" w:hAnsi="宋体" w:cs="宋体"/>
          <w:b/>
          <w:color w:val="000000"/>
          <w:sz w:val="24"/>
        </w:rPr>
        <w:t>（一）素质要求</w:t>
      </w:r>
    </w:p>
    <w:p w14:paraId="5EC684E4">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思想政治素质：通过学习马克思主义、毛泽东思想和中国特色社会主义理论体系的观点和思想方法，树立正确的世界观、人生观和价值观；具有较好的道德修养和身心素质，树立遵纪守法、遵章守纪的法制观念。</w:t>
      </w:r>
    </w:p>
    <w:p w14:paraId="23B43905">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2．职业素质：具有良好的职业道德和敬业精神，做到吃苦耐劳、踏实肯干；树立诚实守信意识和责任意识，有良好的社会责任感和使命感。</w:t>
      </w:r>
    </w:p>
    <w:p w14:paraId="3368AAFB">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（1）具有良好的职业道德，爱岗敬业，忠于职守。</w:t>
      </w:r>
    </w:p>
    <w:p w14:paraId="4C9016E4">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（2）具有坚强的意志力和自信力，踏实肯干、吃苦耐劳、开拓创新。</w:t>
      </w:r>
    </w:p>
    <w:p w14:paraId="41191B78">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（3）具有基本的人文社会科学知识，养成良好的学习态度和学习方法。</w:t>
      </w:r>
    </w:p>
    <w:p w14:paraId="3D77AB49">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3．人文素养与科学素质：具有较为宽阔的视野，文理交融；具有一定的科学思维和科学探索精神；具备健康、高雅的审美情趣和正确的审美观点、较强的审美能力。</w:t>
      </w:r>
    </w:p>
    <w:p w14:paraId="3615732F">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4．身心素质：具有一定的体育运动和生理卫生知识，养成良好的锻炼身体、讲究卫生的习惯，掌握一定的运动技能，达到国家规定的体育健康标准；具有坚韧不拔的毅力、积极乐观的态度、良好的人际关系、健全的人格品质。</w:t>
      </w:r>
    </w:p>
    <w:p w14:paraId="442BBF7F">
      <w:pPr>
        <w:spacing w:line="460" w:lineRule="exact"/>
        <w:outlineLvl w:val="2"/>
        <w:rPr>
          <w:rFonts w:ascii="宋体" w:hAnsi="宋体" w:cs="宋体"/>
          <w:b/>
          <w:color w:val="000000"/>
          <w:sz w:val="24"/>
        </w:rPr>
      </w:pPr>
      <w:r>
        <w:rPr>
          <w:rFonts w:hint="eastAsia" w:ascii="宋体" w:hAnsi="宋体" w:cs="宋体"/>
          <w:b/>
          <w:color w:val="000000"/>
          <w:sz w:val="24"/>
        </w:rPr>
        <w:t>（二）知识要求</w:t>
      </w:r>
    </w:p>
    <w:p w14:paraId="644B0028">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1.掌握高等技术应用型人才必备的外语和其它文化知识</w:t>
      </w:r>
    </w:p>
    <w:p w14:paraId="6F0DDEA2">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2.掌握营销职业道德和公关礼仪的基本知识</w:t>
      </w:r>
    </w:p>
    <w:p w14:paraId="34BE5459">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3.系统掌握物流基本理论与基本知识</w:t>
      </w:r>
    </w:p>
    <w:p w14:paraId="6405CD48">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4.熟练掌握采购、仓储、运输、客服、出纳和运营管理等物流管理方面的工作技巧和方法</w:t>
      </w:r>
    </w:p>
    <w:p w14:paraId="209D15CC">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5.掌握国内外物流管理相关理论、贸易政策与法规知识</w:t>
      </w:r>
    </w:p>
    <w:p w14:paraId="7CCDB142">
      <w:pPr>
        <w:spacing w:line="460" w:lineRule="exact"/>
        <w:outlineLvl w:val="2"/>
        <w:rPr>
          <w:rFonts w:ascii="宋体" w:hAnsi="宋体" w:cs="宋体"/>
          <w:b/>
          <w:color w:val="000000"/>
          <w:sz w:val="24"/>
        </w:rPr>
      </w:pPr>
      <w:r>
        <w:rPr>
          <w:rFonts w:hint="eastAsia" w:ascii="宋体" w:hAnsi="宋体" w:cs="宋体"/>
          <w:b/>
          <w:color w:val="000000"/>
          <w:sz w:val="24"/>
        </w:rPr>
        <w:t>（三）能力要求</w:t>
      </w:r>
    </w:p>
    <w:p w14:paraId="07FBFB3B">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1.通用能力：</w:t>
      </w:r>
    </w:p>
    <w:p w14:paraId="7E4DF586">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（1）具备基本的计算机操作与办公软件应用能力</w:t>
      </w:r>
    </w:p>
    <w:p w14:paraId="4581E403">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（2）具备较好的语言表达与文字写作能力</w:t>
      </w:r>
    </w:p>
    <w:p w14:paraId="4C6CA7E4">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（3）具备较好的团队合作能力</w:t>
      </w:r>
    </w:p>
    <w:p w14:paraId="01C106EF">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（4）具备较好的自主学习能力</w:t>
      </w:r>
    </w:p>
    <w:p w14:paraId="518F5A41">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（5）具备良好的分析问题、解决问题的能力</w:t>
      </w:r>
    </w:p>
    <w:p w14:paraId="7F63C806">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（6）具备一定的实践及创新能力</w:t>
      </w:r>
    </w:p>
    <w:p w14:paraId="6816F51F">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2.专门能力及拓展能力：有目的的、符合现代物流管理专业要求的、按照一定方法独立完成任务、解决问题和评价结果的能力，根据典型工作任务所对应的职业行动领域的进一步细化的能力要求有：</w:t>
      </w:r>
    </w:p>
    <w:p w14:paraId="62FA15AE">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（1）传统物流的基础上，掌握运输、仓储、库存、装卸搬运以及包装等物流操作技能基本能力</w:t>
      </w:r>
    </w:p>
    <w:p w14:paraId="2C6DA45A">
      <w:pPr>
        <w:adjustRightInd w:val="0"/>
        <w:snapToGrid w:val="0"/>
        <w:spacing w:line="460" w:lineRule="exact"/>
        <w:ind w:left="420" w:leftChars="200"/>
        <w:rPr>
          <w:rFonts w:ascii="宋体" w:hAnsi="宋体" w:cs="宋体"/>
          <w:bCs/>
          <w:sz w:val="24"/>
        </w:rPr>
      </w:pPr>
      <w:r>
        <w:rPr>
          <w:rFonts w:hint="eastAsia" w:ascii="宋体" w:hAnsi="宋体" w:cs="宋体"/>
          <w:bCs/>
          <w:sz w:val="24"/>
        </w:rPr>
        <w:t>（2）引入高科技手段，运用计算机进行信息联网能力</w:t>
      </w:r>
    </w:p>
    <w:p w14:paraId="6154D0BA">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（3）对物流信息进行科学管理能力</w:t>
      </w:r>
    </w:p>
    <w:p w14:paraId="1C22E219">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（4）初步具备国际物流基本操作能力</w:t>
      </w:r>
    </w:p>
    <w:p w14:paraId="63D16EF6">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（5）初步具备微小物流公司创业的能力</w:t>
      </w:r>
    </w:p>
    <w:p w14:paraId="04CB7E8E">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具体见下表所示：</w:t>
      </w:r>
    </w:p>
    <w:p w14:paraId="6008BC9A">
      <w:pPr>
        <w:shd w:val="clear" w:color="auto" w:fill="FFFFFF"/>
        <w:spacing w:line="500" w:lineRule="exact"/>
        <w:rPr>
          <w:rFonts w:ascii="宋体"/>
          <w:bCs/>
          <w:sz w:val="24"/>
        </w:rPr>
      </w:pPr>
    </w:p>
    <w:p w14:paraId="4EF14377">
      <w:pPr>
        <w:shd w:val="clear" w:color="auto" w:fill="FFFFFF"/>
        <w:spacing w:line="500" w:lineRule="exact"/>
        <w:jc w:val="center"/>
        <w:rPr>
          <w:rFonts w:ascii="宋体"/>
          <w:bCs/>
          <w:szCs w:val="21"/>
        </w:rPr>
      </w:pPr>
      <w:r>
        <w:rPr>
          <w:rFonts w:hint="eastAsia" w:ascii="宋体" w:hAnsi="宋体"/>
          <w:bCs/>
          <w:szCs w:val="21"/>
        </w:rPr>
        <w:t>表</w:t>
      </w:r>
      <w:r>
        <w:rPr>
          <w:rFonts w:ascii="宋体" w:hAnsi="宋体"/>
          <w:bCs/>
          <w:szCs w:val="21"/>
        </w:rPr>
        <w:t xml:space="preserve">4.1   </w:t>
      </w:r>
      <w:r>
        <w:rPr>
          <w:rFonts w:hint="eastAsia" w:ascii="宋体" w:hAnsi="宋体"/>
          <w:bCs/>
          <w:szCs w:val="21"/>
        </w:rPr>
        <w:t>能力结构总体要求</w:t>
      </w:r>
    </w:p>
    <w:tbl>
      <w:tblPr>
        <w:tblStyle w:val="24"/>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8"/>
        <w:gridCol w:w="2650"/>
        <w:gridCol w:w="2210"/>
      </w:tblGrid>
      <w:tr w14:paraId="601F3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8" w:type="dxa"/>
          </w:tcPr>
          <w:p w14:paraId="2101EB19">
            <w:pPr>
              <w:shd w:val="clear" w:color="auto" w:fill="FFFFFF"/>
              <w:spacing w:line="500" w:lineRule="exact"/>
              <w:jc w:val="center"/>
              <w:rPr>
                <w:rFonts w:ascii="宋体"/>
                <w:szCs w:val="21"/>
              </w:rPr>
            </w:pPr>
            <w:r>
              <w:rPr>
                <w:rFonts w:hint="eastAsia" w:ascii="宋体" w:hAnsi="宋体"/>
                <w:szCs w:val="21"/>
              </w:rPr>
              <w:t>专业能力</w:t>
            </w:r>
          </w:p>
        </w:tc>
        <w:tc>
          <w:tcPr>
            <w:tcW w:w="2650" w:type="dxa"/>
          </w:tcPr>
          <w:p w14:paraId="5568452A">
            <w:pPr>
              <w:shd w:val="clear" w:color="auto" w:fill="FFFFFF"/>
              <w:spacing w:line="500" w:lineRule="exact"/>
              <w:jc w:val="center"/>
              <w:rPr>
                <w:rFonts w:ascii="宋体"/>
                <w:szCs w:val="21"/>
              </w:rPr>
            </w:pPr>
            <w:r>
              <w:rPr>
                <w:rFonts w:hint="eastAsia" w:ascii="宋体" w:hAnsi="宋体"/>
                <w:szCs w:val="21"/>
              </w:rPr>
              <w:t>社会能力</w:t>
            </w:r>
          </w:p>
        </w:tc>
        <w:tc>
          <w:tcPr>
            <w:tcW w:w="2210" w:type="dxa"/>
          </w:tcPr>
          <w:p w14:paraId="0B269D23">
            <w:pPr>
              <w:shd w:val="clear" w:color="auto" w:fill="FFFFFF"/>
              <w:spacing w:line="500" w:lineRule="exact"/>
              <w:jc w:val="center"/>
              <w:rPr>
                <w:rFonts w:ascii="宋体"/>
                <w:szCs w:val="21"/>
              </w:rPr>
            </w:pPr>
            <w:r>
              <w:rPr>
                <w:rFonts w:hint="eastAsia" w:ascii="宋体" w:hAnsi="宋体"/>
                <w:szCs w:val="21"/>
              </w:rPr>
              <w:t>方法能力</w:t>
            </w:r>
          </w:p>
        </w:tc>
      </w:tr>
      <w:tr w14:paraId="2BF48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4428" w:type="dxa"/>
          </w:tcPr>
          <w:p w14:paraId="25A92930">
            <w:pPr>
              <w:shd w:val="clear" w:color="auto" w:fill="FFFFFF"/>
              <w:spacing w:line="500" w:lineRule="exact"/>
              <w:rPr>
                <w:rFonts w:ascii="宋体"/>
                <w:szCs w:val="21"/>
              </w:rPr>
            </w:pPr>
            <w:r>
              <w:rPr>
                <w:rFonts w:ascii="宋体" w:hAnsi="宋体"/>
                <w:szCs w:val="21"/>
              </w:rPr>
              <w:t>1</w:t>
            </w:r>
            <w:r>
              <w:rPr>
                <w:rFonts w:hint="eastAsia" w:ascii="宋体" w:hAnsi="宋体"/>
                <w:szCs w:val="21"/>
              </w:rPr>
              <w:t>、熟练掌握物流专业知识，具有物流相关工作的管理能力</w:t>
            </w:r>
          </w:p>
          <w:p w14:paraId="3BB7DF2B">
            <w:pPr>
              <w:shd w:val="clear" w:color="auto" w:fill="FFFFFF"/>
              <w:spacing w:line="500" w:lineRule="exact"/>
              <w:rPr>
                <w:rFonts w:ascii="宋体"/>
                <w:szCs w:val="21"/>
              </w:rPr>
            </w:pPr>
            <w:r>
              <w:rPr>
                <w:rFonts w:ascii="宋体" w:hAnsi="宋体"/>
                <w:szCs w:val="21"/>
              </w:rPr>
              <w:t>2</w:t>
            </w:r>
            <w:r>
              <w:rPr>
                <w:rFonts w:hint="eastAsia" w:ascii="宋体" w:hAnsi="宋体"/>
                <w:szCs w:val="21"/>
              </w:rPr>
              <w:t>、具有物流相关信息收集和处理的能力</w:t>
            </w:r>
          </w:p>
          <w:p w14:paraId="79649975">
            <w:pPr>
              <w:shd w:val="clear" w:color="auto" w:fill="FFFFFF"/>
              <w:spacing w:line="500" w:lineRule="exact"/>
              <w:rPr>
                <w:rFonts w:ascii="宋体"/>
                <w:szCs w:val="21"/>
              </w:rPr>
            </w:pPr>
            <w:r>
              <w:rPr>
                <w:rFonts w:ascii="宋体" w:hAnsi="宋体"/>
                <w:szCs w:val="21"/>
              </w:rPr>
              <w:t>3</w:t>
            </w:r>
            <w:r>
              <w:rPr>
                <w:rFonts w:hint="eastAsia" w:ascii="宋体" w:hAnsi="宋体"/>
                <w:szCs w:val="21"/>
              </w:rPr>
              <w:t>、具有成本分析和财务运作能力</w:t>
            </w:r>
          </w:p>
          <w:p w14:paraId="55E92B15">
            <w:pPr>
              <w:shd w:val="clear" w:color="auto" w:fill="FFFFFF"/>
              <w:spacing w:line="500" w:lineRule="exact"/>
              <w:rPr>
                <w:rFonts w:ascii="宋体"/>
                <w:szCs w:val="21"/>
              </w:rPr>
            </w:pPr>
            <w:r>
              <w:rPr>
                <w:rFonts w:ascii="宋体" w:hAnsi="宋体"/>
                <w:szCs w:val="21"/>
              </w:rPr>
              <w:t>4</w:t>
            </w:r>
            <w:r>
              <w:rPr>
                <w:rFonts w:hint="eastAsia" w:ascii="宋体" w:hAnsi="宋体"/>
                <w:szCs w:val="21"/>
              </w:rPr>
              <w:t>、具有物流方案规划设计和优化的能力</w:t>
            </w:r>
          </w:p>
          <w:p w14:paraId="34FF38EF">
            <w:pPr>
              <w:shd w:val="clear" w:color="auto" w:fill="FFFFFF"/>
              <w:spacing w:line="500" w:lineRule="exact"/>
              <w:rPr>
                <w:rFonts w:ascii="宋体"/>
                <w:szCs w:val="21"/>
              </w:rPr>
            </w:pPr>
            <w:r>
              <w:rPr>
                <w:rFonts w:ascii="宋体" w:hAnsi="宋体"/>
                <w:szCs w:val="21"/>
              </w:rPr>
              <w:t>5</w:t>
            </w:r>
            <w:r>
              <w:rPr>
                <w:rFonts w:hint="eastAsia" w:ascii="宋体" w:hAnsi="宋体"/>
                <w:szCs w:val="21"/>
              </w:rPr>
              <w:t>、具有运用现代信息技术和设备从事相关物流工作的能力</w:t>
            </w:r>
          </w:p>
          <w:p w14:paraId="08DF7442">
            <w:pPr>
              <w:shd w:val="clear" w:color="auto" w:fill="FFFFFF"/>
              <w:spacing w:line="500" w:lineRule="exact"/>
              <w:rPr>
                <w:rFonts w:ascii="宋体"/>
                <w:szCs w:val="21"/>
              </w:rPr>
            </w:pPr>
            <w:r>
              <w:rPr>
                <w:rFonts w:ascii="宋体" w:hAnsi="宋体"/>
                <w:szCs w:val="21"/>
              </w:rPr>
              <w:t>6</w:t>
            </w:r>
            <w:r>
              <w:rPr>
                <w:rFonts w:hint="eastAsia" w:ascii="宋体" w:hAnsi="宋体"/>
                <w:szCs w:val="21"/>
              </w:rPr>
              <w:t>、具有物流相关软件的操作能力</w:t>
            </w:r>
          </w:p>
          <w:p w14:paraId="04E7C506">
            <w:pPr>
              <w:shd w:val="clear" w:color="auto" w:fill="FFFFFF"/>
              <w:spacing w:line="500" w:lineRule="exact"/>
              <w:rPr>
                <w:rFonts w:ascii="宋体"/>
                <w:szCs w:val="21"/>
              </w:rPr>
            </w:pPr>
            <w:r>
              <w:rPr>
                <w:rFonts w:ascii="宋体" w:hAnsi="宋体"/>
                <w:szCs w:val="21"/>
              </w:rPr>
              <w:t>7</w:t>
            </w:r>
            <w:r>
              <w:rPr>
                <w:rFonts w:hint="eastAsia" w:ascii="宋体" w:hAnsi="宋体"/>
                <w:szCs w:val="21"/>
              </w:rPr>
              <w:t>、具有运用相关法律知识维护自身权益的能力</w:t>
            </w:r>
          </w:p>
          <w:p w14:paraId="4489E996">
            <w:pPr>
              <w:shd w:val="clear" w:color="auto" w:fill="FFFFFF"/>
              <w:spacing w:line="500" w:lineRule="exact"/>
              <w:rPr>
                <w:rFonts w:ascii="仿宋_GB2312" w:hAnsi="宋体" w:eastAsia="仿宋_GB2312"/>
                <w:szCs w:val="21"/>
              </w:rPr>
            </w:pPr>
            <w:r>
              <w:rPr>
                <w:rFonts w:ascii="宋体" w:hAnsi="宋体"/>
                <w:szCs w:val="21"/>
              </w:rPr>
              <w:t>8</w:t>
            </w:r>
            <w:r>
              <w:rPr>
                <w:rFonts w:hint="eastAsia" w:ascii="宋体" w:hAnsi="宋体"/>
                <w:szCs w:val="21"/>
              </w:rPr>
              <w:t>、具有物流案例分析能力</w:t>
            </w:r>
          </w:p>
        </w:tc>
        <w:tc>
          <w:tcPr>
            <w:tcW w:w="2650" w:type="dxa"/>
          </w:tcPr>
          <w:p w14:paraId="7F325697">
            <w:pPr>
              <w:shd w:val="clear" w:color="auto" w:fill="FFFFFF"/>
              <w:spacing w:line="500" w:lineRule="exact"/>
              <w:rPr>
                <w:rFonts w:ascii="宋体"/>
                <w:szCs w:val="21"/>
              </w:rPr>
            </w:pPr>
            <w:r>
              <w:rPr>
                <w:rFonts w:ascii="宋体" w:hAnsi="宋体"/>
                <w:szCs w:val="21"/>
              </w:rPr>
              <w:t>1</w:t>
            </w:r>
            <w:r>
              <w:rPr>
                <w:rFonts w:hint="eastAsia" w:ascii="宋体" w:hAnsi="宋体"/>
                <w:szCs w:val="21"/>
              </w:rPr>
              <w:t>、沟通能力</w:t>
            </w:r>
          </w:p>
          <w:p w14:paraId="76BFCA05">
            <w:pPr>
              <w:shd w:val="clear" w:color="auto" w:fill="FFFFFF"/>
              <w:spacing w:line="500" w:lineRule="exact"/>
              <w:rPr>
                <w:rFonts w:ascii="宋体"/>
                <w:szCs w:val="21"/>
              </w:rPr>
            </w:pPr>
            <w:r>
              <w:rPr>
                <w:rFonts w:ascii="宋体" w:hAnsi="宋体"/>
                <w:szCs w:val="21"/>
              </w:rPr>
              <w:t>2</w:t>
            </w:r>
            <w:r>
              <w:rPr>
                <w:rFonts w:hint="eastAsia" w:ascii="宋体" w:hAnsi="宋体"/>
                <w:szCs w:val="21"/>
              </w:rPr>
              <w:t>、社交能力</w:t>
            </w:r>
          </w:p>
          <w:p w14:paraId="5D4C0A8F">
            <w:pPr>
              <w:shd w:val="clear" w:color="auto" w:fill="FFFFFF"/>
              <w:spacing w:line="500" w:lineRule="exact"/>
              <w:rPr>
                <w:rFonts w:ascii="宋体"/>
                <w:szCs w:val="21"/>
              </w:rPr>
            </w:pPr>
            <w:r>
              <w:rPr>
                <w:rFonts w:ascii="宋体" w:hAnsi="宋体"/>
                <w:szCs w:val="21"/>
              </w:rPr>
              <w:t>3</w:t>
            </w:r>
            <w:r>
              <w:rPr>
                <w:rFonts w:hint="eastAsia" w:ascii="宋体" w:hAnsi="宋体"/>
                <w:szCs w:val="21"/>
              </w:rPr>
              <w:t>、文字表达能力</w:t>
            </w:r>
          </w:p>
          <w:p w14:paraId="05573466">
            <w:pPr>
              <w:shd w:val="clear" w:color="auto" w:fill="FFFFFF"/>
              <w:spacing w:line="500" w:lineRule="exact"/>
              <w:rPr>
                <w:rFonts w:ascii="宋体"/>
                <w:szCs w:val="21"/>
              </w:rPr>
            </w:pPr>
            <w:r>
              <w:rPr>
                <w:rFonts w:ascii="宋体" w:hAnsi="宋体"/>
                <w:szCs w:val="21"/>
              </w:rPr>
              <w:t>4</w:t>
            </w:r>
            <w:r>
              <w:rPr>
                <w:rFonts w:hint="eastAsia" w:ascii="宋体" w:hAnsi="宋体"/>
                <w:szCs w:val="21"/>
              </w:rPr>
              <w:t>、为人处事得体大方</w:t>
            </w:r>
          </w:p>
          <w:p w14:paraId="52BA6834">
            <w:pPr>
              <w:shd w:val="clear" w:color="auto" w:fill="FFFFFF"/>
              <w:spacing w:line="500" w:lineRule="exact"/>
              <w:rPr>
                <w:rFonts w:ascii="宋体"/>
                <w:szCs w:val="21"/>
              </w:rPr>
            </w:pPr>
            <w:r>
              <w:rPr>
                <w:rFonts w:ascii="宋体" w:hAnsi="宋体"/>
                <w:szCs w:val="21"/>
              </w:rPr>
              <w:t>5</w:t>
            </w:r>
            <w:r>
              <w:rPr>
                <w:rFonts w:hint="eastAsia" w:ascii="宋体" w:hAnsi="宋体"/>
                <w:szCs w:val="21"/>
              </w:rPr>
              <w:t>、具有亲和力</w:t>
            </w:r>
          </w:p>
          <w:p w14:paraId="2B6049F7">
            <w:pPr>
              <w:shd w:val="clear" w:color="auto" w:fill="FFFFFF"/>
              <w:spacing w:line="500" w:lineRule="exact"/>
              <w:rPr>
                <w:rFonts w:ascii="仿宋_GB2312" w:hAnsi="宋体" w:eastAsia="仿宋_GB2312"/>
                <w:szCs w:val="21"/>
              </w:rPr>
            </w:pPr>
            <w:r>
              <w:rPr>
                <w:rFonts w:ascii="宋体" w:hAnsi="宋体"/>
                <w:szCs w:val="21"/>
              </w:rPr>
              <w:t>6</w:t>
            </w:r>
            <w:r>
              <w:rPr>
                <w:rFonts w:hint="eastAsia" w:ascii="宋体" w:hAnsi="宋体"/>
                <w:szCs w:val="21"/>
              </w:rPr>
              <w:t>、经受挫折的能力</w:t>
            </w:r>
          </w:p>
        </w:tc>
        <w:tc>
          <w:tcPr>
            <w:tcW w:w="2210" w:type="dxa"/>
          </w:tcPr>
          <w:p w14:paraId="2160F15C">
            <w:pPr>
              <w:shd w:val="clear" w:color="auto" w:fill="FFFFFF"/>
              <w:spacing w:line="500" w:lineRule="exact"/>
              <w:rPr>
                <w:rFonts w:ascii="宋体"/>
                <w:szCs w:val="21"/>
              </w:rPr>
            </w:pPr>
            <w:r>
              <w:rPr>
                <w:rFonts w:ascii="宋体" w:hAnsi="宋体"/>
                <w:szCs w:val="21"/>
              </w:rPr>
              <w:t>1</w:t>
            </w:r>
            <w:r>
              <w:rPr>
                <w:rFonts w:hint="eastAsia" w:ascii="宋体" w:hAnsi="宋体"/>
                <w:szCs w:val="21"/>
              </w:rPr>
              <w:t>、学习能力</w:t>
            </w:r>
          </w:p>
          <w:p w14:paraId="51AF77E5">
            <w:pPr>
              <w:shd w:val="clear" w:color="auto" w:fill="FFFFFF"/>
              <w:spacing w:line="500" w:lineRule="exact"/>
              <w:rPr>
                <w:rFonts w:ascii="宋体"/>
                <w:szCs w:val="21"/>
              </w:rPr>
            </w:pPr>
            <w:r>
              <w:rPr>
                <w:rFonts w:ascii="宋体" w:hAnsi="宋体"/>
                <w:szCs w:val="21"/>
              </w:rPr>
              <w:t>2</w:t>
            </w:r>
            <w:r>
              <w:rPr>
                <w:rFonts w:hint="eastAsia" w:ascii="宋体" w:hAnsi="宋体"/>
                <w:szCs w:val="21"/>
              </w:rPr>
              <w:t>、数据分析</w:t>
            </w:r>
          </w:p>
          <w:p w14:paraId="2E01BDBA">
            <w:pPr>
              <w:shd w:val="clear" w:color="auto" w:fill="FFFFFF"/>
              <w:spacing w:line="500" w:lineRule="exact"/>
              <w:rPr>
                <w:rFonts w:ascii="宋体"/>
                <w:szCs w:val="21"/>
              </w:rPr>
            </w:pPr>
            <w:r>
              <w:rPr>
                <w:rFonts w:hint="eastAsia" w:ascii="宋体" w:hAnsi="宋体"/>
                <w:szCs w:val="21"/>
              </w:rPr>
              <w:t>与处理能力</w:t>
            </w:r>
          </w:p>
          <w:p w14:paraId="3AB240EE">
            <w:pPr>
              <w:shd w:val="clear" w:color="auto" w:fill="FFFFFF"/>
              <w:spacing w:line="500" w:lineRule="exact"/>
              <w:rPr>
                <w:rFonts w:ascii="宋体"/>
                <w:szCs w:val="21"/>
              </w:rPr>
            </w:pPr>
            <w:r>
              <w:rPr>
                <w:rFonts w:ascii="宋体" w:hAnsi="宋体"/>
                <w:szCs w:val="21"/>
              </w:rPr>
              <w:t>3</w:t>
            </w:r>
            <w:r>
              <w:rPr>
                <w:rFonts w:hint="eastAsia" w:ascii="宋体" w:hAnsi="宋体"/>
                <w:szCs w:val="21"/>
              </w:rPr>
              <w:t>、问题解决能力</w:t>
            </w:r>
          </w:p>
          <w:p w14:paraId="796EE545">
            <w:pPr>
              <w:shd w:val="clear" w:color="auto" w:fill="FFFFFF"/>
              <w:spacing w:line="500" w:lineRule="exact"/>
              <w:rPr>
                <w:rFonts w:ascii="宋体"/>
                <w:szCs w:val="21"/>
              </w:rPr>
            </w:pPr>
            <w:r>
              <w:rPr>
                <w:rFonts w:ascii="宋体" w:hAnsi="宋体"/>
                <w:szCs w:val="21"/>
              </w:rPr>
              <w:t>4</w:t>
            </w:r>
            <w:r>
              <w:rPr>
                <w:rFonts w:hint="eastAsia" w:ascii="宋体" w:hAnsi="宋体"/>
                <w:szCs w:val="21"/>
              </w:rPr>
              <w:t>、总结能力</w:t>
            </w:r>
          </w:p>
          <w:p w14:paraId="7C6FBE29">
            <w:pPr>
              <w:shd w:val="clear" w:color="auto" w:fill="FFFFFF"/>
              <w:spacing w:line="500" w:lineRule="exact"/>
              <w:rPr>
                <w:rFonts w:ascii="宋体"/>
                <w:szCs w:val="21"/>
              </w:rPr>
            </w:pPr>
            <w:r>
              <w:rPr>
                <w:rFonts w:ascii="宋体" w:hAnsi="宋体"/>
                <w:szCs w:val="21"/>
              </w:rPr>
              <w:t>5</w:t>
            </w:r>
            <w:r>
              <w:rPr>
                <w:rFonts w:hint="eastAsia" w:ascii="宋体" w:hAnsi="宋体"/>
                <w:szCs w:val="21"/>
              </w:rPr>
              <w:t>、创新能力</w:t>
            </w:r>
          </w:p>
          <w:p w14:paraId="291E87CB">
            <w:pPr>
              <w:shd w:val="clear" w:color="auto" w:fill="FFFFFF"/>
              <w:spacing w:line="500" w:lineRule="exact"/>
              <w:rPr>
                <w:rFonts w:ascii="宋体"/>
                <w:szCs w:val="21"/>
              </w:rPr>
            </w:pPr>
            <w:r>
              <w:rPr>
                <w:rFonts w:ascii="宋体" w:hAnsi="宋体"/>
                <w:szCs w:val="21"/>
              </w:rPr>
              <w:t>6</w:t>
            </w:r>
            <w:r>
              <w:rPr>
                <w:rFonts w:hint="eastAsia" w:ascii="宋体" w:hAnsi="宋体"/>
                <w:szCs w:val="21"/>
              </w:rPr>
              <w:t>、适应能力</w:t>
            </w:r>
          </w:p>
          <w:p w14:paraId="56CEF336">
            <w:pPr>
              <w:shd w:val="clear" w:color="auto" w:fill="FFFFFF"/>
              <w:spacing w:line="500" w:lineRule="exact"/>
              <w:rPr>
                <w:rFonts w:ascii="仿宋_GB2312" w:hAnsi="宋体" w:eastAsia="仿宋_GB2312"/>
                <w:szCs w:val="21"/>
              </w:rPr>
            </w:pPr>
            <w:r>
              <w:rPr>
                <w:rFonts w:ascii="宋体" w:hAnsi="宋体"/>
                <w:szCs w:val="21"/>
              </w:rPr>
              <w:t>7</w:t>
            </w:r>
            <w:r>
              <w:rPr>
                <w:rFonts w:hint="eastAsia" w:ascii="宋体" w:hAnsi="宋体"/>
                <w:szCs w:val="21"/>
              </w:rPr>
              <w:t>、营销推介能力</w:t>
            </w:r>
          </w:p>
        </w:tc>
      </w:tr>
    </w:tbl>
    <w:p w14:paraId="2D631141">
      <w:pPr>
        <w:keepNext/>
        <w:keepLines/>
        <w:spacing w:line="500" w:lineRule="exact"/>
        <w:outlineLvl w:val="2"/>
        <w:rPr>
          <w:rFonts w:ascii="仿宋_GB2312" w:eastAsia="仿宋_GB2312"/>
          <w:bCs/>
          <w:sz w:val="28"/>
          <w:szCs w:val="32"/>
        </w:rPr>
      </w:pPr>
      <w:r>
        <w:rPr>
          <w:rFonts w:hint="eastAsia" w:eastAsia="黑体"/>
          <w:bCs/>
          <w:sz w:val="28"/>
          <w:szCs w:val="32"/>
        </w:rPr>
        <w:t>（四）核心岗位资格证书</w:t>
      </w:r>
    </w:p>
    <w:p w14:paraId="57604B86">
      <w:pPr>
        <w:shd w:val="clear" w:color="auto" w:fill="FFFFFF"/>
        <w:spacing w:line="500" w:lineRule="exact"/>
        <w:ind w:left="134" w:firstLine="353"/>
        <w:rPr>
          <w:rFonts w:ascii="宋体"/>
          <w:bCs/>
          <w:sz w:val="24"/>
        </w:rPr>
      </w:pPr>
      <w:r>
        <w:rPr>
          <w:rFonts w:hint="eastAsia" w:ascii="宋体" w:hAnsi="宋体"/>
          <w:bCs/>
          <w:sz w:val="24"/>
        </w:rPr>
        <w:t>核心岗位资格证书见表</w:t>
      </w:r>
      <w:r>
        <w:rPr>
          <w:rFonts w:ascii="宋体" w:hAnsi="宋体"/>
          <w:bCs/>
          <w:sz w:val="24"/>
        </w:rPr>
        <w:t>4.2</w:t>
      </w:r>
      <w:r>
        <w:rPr>
          <w:rFonts w:hint="eastAsia" w:ascii="宋体" w:hAnsi="宋体"/>
          <w:bCs/>
          <w:sz w:val="24"/>
        </w:rPr>
        <w:t>。</w:t>
      </w:r>
    </w:p>
    <w:p w14:paraId="796BC108">
      <w:pPr>
        <w:shd w:val="clear" w:color="auto" w:fill="FFFFFF"/>
        <w:spacing w:line="500" w:lineRule="exact"/>
        <w:ind w:left="134" w:firstLine="46"/>
        <w:jc w:val="center"/>
        <w:rPr>
          <w:rFonts w:ascii="仿宋_GB2312" w:hAnsi="宋体" w:eastAsia="仿宋_GB2312"/>
          <w:bCs/>
          <w:szCs w:val="21"/>
        </w:rPr>
      </w:pPr>
      <w:r>
        <w:rPr>
          <w:rFonts w:hint="eastAsia" w:ascii="宋体" w:hAnsi="宋体"/>
          <w:bCs/>
          <w:szCs w:val="21"/>
        </w:rPr>
        <w:t>表</w:t>
      </w:r>
      <w:r>
        <w:rPr>
          <w:rFonts w:ascii="宋体" w:hAnsi="宋体"/>
          <w:bCs/>
          <w:szCs w:val="21"/>
        </w:rPr>
        <w:t xml:space="preserve">4.2  </w:t>
      </w:r>
      <w:r>
        <w:rPr>
          <w:rFonts w:hint="eastAsia" w:ascii="宋体" w:hAnsi="宋体"/>
          <w:bCs/>
          <w:szCs w:val="21"/>
        </w:rPr>
        <w:t>核心岗位资格证书</w:t>
      </w:r>
    </w:p>
    <w:tbl>
      <w:tblPr>
        <w:tblStyle w:val="24"/>
        <w:tblW w:w="8736"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980"/>
        <w:gridCol w:w="3996"/>
        <w:gridCol w:w="2114"/>
      </w:tblGrid>
      <w:tr w14:paraId="6E192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Pr>
          <w:p w14:paraId="13C2EED5">
            <w:pPr>
              <w:shd w:val="clear" w:color="auto" w:fill="FFFFFF"/>
              <w:spacing w:before="156" w:after="156" w:line="500" w:lineRule="exact"/>
              <w:rPr>
                <w:rFonts w:ascii="宋体"/>
                <w:szCs w:val="21"/>
              </w:rPr>
            </w:pPr>
            <w:r>
              <w:rPr>
                <w:rFonts w:hint="eastAsia" w:ascii="宋体" w:hAnsi="宋体"/>
                <w:szCs w:val="21"/>
              </w:rPr>
              <w:t>序号</w:t>
            </w:r>
          </w:p>
        </w:tc>
        <w:tc>
          <w:tcPr>
            <w:tcW w:w="1980" w:type="dxa"/>
          </w:tcPr>
          <w:p w14:paraId="4E28D37C">
            <w:pPr>
              <w:shd w:val="clear" w:color="auto" w:fill="FFFFFF"/>
              <w:spacing w:before="156" w:after="156" w:line="500" w:lineRule="exact"/>
              <w:jc w:val="center"/>
              <w:rPr>
                <w:rFonts w:ascii="宋体"/>
                <w:szCs w:val="21"/>
              </w:rPr>
            </w:pPr>
            <w:r>
              <w:rPr>
                <w:rFonts w:hint="eastAsia" w:ascii="宋体" w:hAnsi="宋体"/>
                <w:szCs w:val="21"/>
              </w:rPr>
              <w:t>职业资格名称</w:t>
            </w:r>
          </w:p>
        </w:tc>
        <w:tc>
          <w:tcPr>
            <w:tcW w:w="3996" w:type="dxa"/>
          </w:tcPr>
          <w:p w14:paraId="47D47C2D">
            <w:pPr>
              <w:shd w:val="clear" w:color="auto" w:fill="FFFFFF"/>
              <w:spacing w:before="156" w:after="156" w:line="500" w:lineRule="exact"/>
              <w:jc w:val="center"/>
              <w:rPr>
                <w:rFonts w:ascii="宋体"/>
                <w:szCs w:val="21"/>
              </w:rPr>
            </w:pPr>
            <w:r>
              <w:rPr>
                <w:rFonts w:hint="eastAsia" w:ascii="宋体" w:hAnsi="宋体"/>
                <w:szCs w:val="21"/>
              </w:rPr>
              <w:t>颁证单位</w:t>
            </w:r>
          </w:p>
        </w:tc>
        <w:tc>
          <w:tcPr>
            <w:tcW w:w="2114" w:type="dxa"/>
          </w:tcPr>
          <w:p w14:paraId="60C428ED">
            <w:pPr>
              <w:shd w:val="clear" w:color="auto" w:fill="FFFFFF"/>
              <w:spacing w:before="156" w:after="156" w:line="500" w:lineRule="exact"/>
              <w:jc w:val="center"/>
              <w:rPr>
                <w:rFonts w:ascii="宋体"/>
                <w:szCs w:val="21"/>
              </w:rPr>
            </w:pPr>
            <w:r>
              <w:rPr>
                <w:rFonts w:hint="eastAsia" w:ascii="宋体" w:hAnsi="宋体"/>
                <w:szCs w:val="21"/>
              </w:rPr>
              <w:t>等级</w:t>
            </w:r>
          </w:p>
        </w:tc>
      </w:tr>
      <w:tr w14:paraId="0E874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646" w:type="dxa"/>
          </w:tcPr>
          <w:p w14:paraId="6665D207">
            <w:pPr>
              <w:shd w:val="clear" w:color="auto" w:fill="FFFFFF"/>
              <w:spacing w:before="156" w:after="156" w:line="500" w:lineRule="exact"/>
              <w:ind w:firstLine="210" w:firstLineChars="100"/>
              <w:rPr>
                <w:rFonts w:ascii="宋体" w:hAnsi="宋体"/>
                <w:szCs w:val="21"/>
              </w:rPr>
            </w:pPr>
            <w:r>
              <w:rPr>
                <w:rFonts w:hint="eastAsia" w:ascii="宋体" w:hAnsi="宋体"/>
                <w:szCs w:val="21"/>
              </w:rPr>
              <w:t>1</w:t>
            </w:r>
          </w:p>
        </w:tc>
        <w:tc>
          <w:tcPr>
            <w:tcW w:w="1980" w:type="dxa"/>
          </w:tcPr>
          <w:p w14:paraId="2787A55A">
            <w:pPr>
              <w:shd w:val="clear" w:color="auto" w:fill="FFFFFF"/>
              <w:spacing w:before="156" w:after="156" w:line="500" w:lineRule="exact"/>
              <w:jc w:val="center"/>
              <w:rPr>
                <w:rFonts w:ascii="宋体" w:hAnsi="宋体"/>
                <w:szCs w:val="21"/>
              </w:rPr>
            </w:pPr>
            <w:r>
              <w:rPr>
                <w:rFonts w:hint="eastAsia" w:ascii="宋体" w:hAnsi="宋体"/>
                <w:szCs w:val="21"/>
              </w:rPr>
              <w:t>1</w:t>
            </w:r>
            <w:r>
              <w:rPr>
                <w:rFonts w:ascii="宋体" w:hAnsi="宋体"/>
                <w:szCs w:val="21"/>
              </w:rPr>
              <w:t>+X物流管理证书</w:t>
            </w:r>
          </w:p>
        </w:tc>
        <w:tc>
          <w:tcPr>
            <w:tcW w:w="3996" w:type="dxa"/>
          </w:tcPr>
          <w:p w14:paraId="76A29080">
            <w:pPr>
              <w:shd w:val="clear" w:color="auto" w:fill="FFFFFF"/>
              <w:spacing w:before="156" w:after="156" w:line="500" w:lineRule="exact"/>
              <w:jc w:val="center"/>
              <w:rPr>
                <w:rFonts w:ascii="宋体" w:hAnsi="宋体"/>
                <w:szCs w:val="21"/>
              </w:rPr>
            </w:pPr>
            <w:r>
              <w:rPr>
                <w:rFonts w:hint="eastAsia" w:ascii="宋体" w:hAnsi="宋体"/>
                <w:szCs w:val="21"/>
              </w:rPr>
              <w:t>1+X物流管理证书委员会</w:t>
            </w:r>
          </w:p>
        </w:tc>
        <w:tc>
          <w:tcPr>
            <w:tcW w:w="2114" w:type="dxa"/>
          </w:tcPr>
          <w:p w14:paraId="443B019E">
            <w:pPr>
              <w:shd w:val="clear" w:color="auto" w:fill="FFFFFF"/>
              <w:spacing w:before="156" w:after="156" w:line="500" w:lineRule="exact"/>
              <w:rPr>
                <w:rFonts w:ascii="宋体" w:hAnsi="宋体"/>
                <w:szCs w:val="21"/>
              </w:rPr>
            </w:pPr>
            <w:r>
              <w:rPr>
                <w:rFonts w:hint="eastAsia" w:ascii="宋体" w:hAnsi="宋体"/>
                <w:szCs w:val="21"/>
              </w:rPr>
              <w:t>中级</w:t>
            </w:r>
          </w:p>
        </w:tc>
      </w:tr>
      <w:tr w14:paraId="6F273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Pr>
          <w:p w14:paraId="52A5E3E7">
            <w:pPr>
              <w:shd w:val="clear" w:color="auto" w:fill="FFFFFF"/>
              <w:spacing w:line="500" w:lineRule="exact"/>
              <w:jc w:val="center"/>
              <w:rPr>
                <w:rFonts w:ascii="宋体"/>
                <w:szCs w:val="21"/>
              </w:rPr>
            </w:pPr>
            <w:r>
              <w:rPr>
                <w:rFonts w:ascii="宋体" w:hAnsi="宋体"/>
                <w:szCs w:val="21"/>
              </w:rPr>
              <w:t>2</w:t>
            </w:r>
          </w:p>
        </w:tc>
        <w:tc>
          <w:tcPr>
            <w:tcW w:w="1980" w:type="dxa"/>
          </w:tcPr>
          <w:p w14:paraId="517C81A0">
            <w:pPr>
              <w:shd w:val="clear" w:color="auto" w:fill="FFFFFF"/>
              <w:spacing w:line="500" w:lineRule="exact"/>
              <w:rPr>
                <w:rFonts w:ascii="宋体"/>
                <w:szCs w:val="21"/>
              </w:rPr>
            </w:pPr>
            <w:r>
              <w:rPr>
                <w:rFonts w:hint="eastAsia" w:ascii="宋体" w:hAnsi="宋体"/>
                <w:szCs w:val="21"/>
              </w:rPr>
              <w:t>物流员</w:t>
            </w:r>
          </w:p>
        </w:tc>
        <w:tc>
          <w:tcPr>
            <w:tcW w:w="3996" w:type="dxa"/>
          </w:tcPr>
          <w:p w14:paraId="2028BD7E">
            <w:pPr>
              <w:shd w:val="clear" w:color="auto" w:fill="FFFFFF"/>
              <w:spacing w:line="500" w:lineRule="exact"/>
              <w:rPr>
                <w:rFonts w:ascii="宋体"/>
                <w:szCs w:val="21"/>
              </w:rPr>
            </w:pPr>
            <w:r>
              <w:rPr>
                <w:rFonts w:hint="eastAsia" w:ascii="宋体" w:hAnsi="宋体"/>
                <w:szCs w:val="21"/>
              </w:rPr>
              <w:t>中华人民共和国劳动与社会保障部</w:t>
            </w:r>
          </w:p>
        </w:tc>
        <w:tc>
          <w:tcPr>
            <w:tcW w:w="2114" w:type="dxa"/>
          </w:tcPr>
          <w:p w14:paraId="2193E817">
            <w:pPr>
              <w:shd w:val="clear" w:color="auto" w:fill="FFFFFF"/>
              <w:spacing w:line="500" w:lineRule="exact"/>
              <w:rPr>
                <w:rFonts w:ascii="宋体"/>
                <w:szCs w:val="21"/>
              </w:rPr>
            </w:pPr>
            <w:r>
              <w:rPr>
                <w:rFonts w:hint="eastAsia" w:ascii="宋体" w:hAnsi="宋体"/>
                <w:szCs w:val="21"/>
              </w:rPr>
              <w:t>初级</w:t>
            </w:r>
          </w:p>
        </w:tc>
      </w:tr>
      <w:tr w14:paraId="7D65A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vMerge w:val="restart"/>
          </w:tcPr>
          <w:p w14:paraId="044DD34B">
            <w:pPr>
              <w:shd w:val="clear" w:color="auto" w:fill="FFFFFF"/>
              <w:spacing w:line="500" w:lineRule="exact"/>
              <w:jc w:val="center"/>
              <w:rPr>
                <w:rFonts w:ascii="宋体"/>
                <w:szCs w:val="21"/>
              </w:rPr>
            </w:pPr>
            <w:r>
              <w:rPr>
                <w:rFonts w:ascii="宋体" w:hAnsi="宋体"/>
                <w:szCs w:val="21"/>
              </w:rPr>
              <w:t>3</w:t>
            </w:r>
          </w:p>
          <w:p w14:paraId="5AF0FB82">
            <w:pPr>
              <w:shd w:val="clear" w:color="auto" w:fill="FFFFFF"/>
              <w:spacing w:line="500" w:lineRule="exact"/>
              <w:jc w:val="center"/>
              <w:rPr>
                <w:rFonts w:ascii="宋体"/>
                <w:szCs w:val="21"/>
              </w:rPr>
            </w:pPr>
          </w:p>
        </w:tc>
        <w:tc>
          <w:tcPr>
            <w:tcW w:w="1980" w:type="dxa"/>
          </w:tcPr>
          <w:p w14:paraId="30EE18C8">
            <w:pPr>
              <w:shd w:val="clear" w:color="auto" w:fill="FFFFFF"/>
              <w:spacing w:line="500" w:lineRule="exact"/>
              <w:rPr>
                <w:rFonts w:ascii="宋体"/>
                <w:szCs w:val="21"/>
              </w:rPr>
            </w:pPr>
            <w:r>
              <w:rPr>
                <w:rFonts w:hint="eastAsia" w:ascii="宋体" w:hAnsi="宋体"/>
                <w:szCs w:val="21"/>
              </w:rPr>
              <w:t>助理物流师</w:t>
            </w:r>
          </w:p>
        </w:tc>
        <w:tc>
          <w:tcPr>
            <w:tcW w:w="3996" w:type="dxa"/>
          </w:tcPr>
          <w:p w14:paraId="2E85D048">
            <w:pPr>
              <w:shd w:val="clear" w:color="auto" w:fill="FFFFFF"/>
              <w:spacing w:line="500" w:lineRule="exact"/>
              <w:rPr>
                <w:rFonts w:ascii="宋体"/>
                <w:szCs w:val="21"/>
              </w:rPr>
            </w:pPr>
            <w:r>
              <w:rPr>
                <w:rFonts w:hint="eastAsia" w:ascii="宋体" w:hAnsi="宋体"/>
                <w:szCs w:val="21"/>
              </w:rPr>
              <w:t>中华人民共和国劳动与社会保障部</w:t>
            </w:r>
          </w:p>
        </w:tc>
        <w:tc>
          <w:tcPr>
            <w:tcW w:w="2114" w:type="dxa"/>
          </w:tcPr>
          <w:p w14:paraId="179A10AE">
            <w:pPr>
              <w:shd w:val="clear" w:color="auto" w:fill="FFFFFF"/>
              <w:spacing w:line="500" w:lineRule="exact"/>
              <w:rPr>
                <w:rFonts w:ascii="宋体"/>
                <w:szCs w:val="21"/>
              </w:rPr>
            </w:pPr>
            <w:r>
              <w:rPr>
                <w:rFonts w:hint="eastAsia" w:ascii="宋体" w:hAnsi="宋体"/>
                <w:szCs w:val="21"/>
              </w:rPr>
              <w:t>三级</w:t>
            </w:r>
          </w:p>
        </w:tc>
      </w:tr>
      <w:tr w14:paraId="4B956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vMerge w:val="continue"/>
          </w:tcPr>
          <w:p w14:paraId="37BB551C">
            <w:pPr>
              <w:shd w:val="clear" w:color="auto" w:fill="FFFFFF"/>
              <w:spacing w:line="500" w:lineRule="exact"/>
              <w:jc w:val="center"/>
              <w:rPr>
                <w:rFonts w:ascii="宋体"/>
                <w:szCs w:val="21"/>
              </w:rPr>
            </w:pPr>
          </w:p>
        </w:tc>
        <w:tc>
          <w:tcPr>
            <w:tcW w:w="1980" w:type="dxa"/>
          </w:tcPr>
          <w:p w14:paraId="7DCC64AF">
            <w:pPr>
              <w:shd w:val="clear" w:color="auto" w:fill="FFFFFF"/>
              <w:spacing w:line="500" w:lineRule="exact"/>
              <w:rPr>
                <w:rFonts w:ascii="宋体"/>
                <w:szCs w:val="21"/>
              </w:rPr>
            </w:pPr>
          </w:p>
        </w:tc>
        <w:tc>
          <w:tcPr>
            <w:tcW w:w="3996" w:type="dxa"/>
          </w:tcPr>
          <w:p w14:paraId="5050C15D">
            <w:pPr>
              <w:shd w:val="clear" w:color="auto" w:fill="FFFFFF"/>
              <w:spacing w:line="500" w:lineRule="exact"/>
              <w:rPr>
                <w:rFonts w:ascii="宋体"/>
                <w:szCs w:val="21"/>
              </w:rPr>
            </w:pPr>
            <w:r>
              <w:rPr>
                <w:rFonts w:hint="eastAsia" w:ascii="宋体" w:hAnsi="宋体"/>
                <w:szCs w:val="21"/>
              </w:rPr>
              <w:t>中华人民共和国采购与供应联合会</w:t>
            </w:r>
          </w:p>
        </w:tc>
        <w:tc>
          <w:tcPr>
            <w:tcW w:w="2114" w:type="dxa"/>
          </w:tcPr>
          <w:p w14:paraId="32B57CDA">
            <w:pPr>
              <w:shd w:val="clear" w:color="auto" w:fill="FFFFFF"/>
              <w:spacing w:line="500" w:lineRule="exact"/>
              <w:rPr>
                <w:rFonts w:ascii="宋体"/>
                <w:szCs w:val="21"/>
              </w:rPr>
            </w:pPr>
            <w:r>
              <w:rPr>
                <w:rFonts w:hint="eastAsia" w:ascii="宋体" w:hAnsi="宋体"/>
                <w:szCs w:val="21"/>
              </w:rPr>
              <w:t>三级</w:t>
            </w:r>
          </w:p>
        </w:tc>
      </w:tr>
      <w:tr w14:paraId="3095D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Pr>
          <w:p w14:paraId="19499AC5">
            <w:pPr>
              <w:shd w:val="clear" w:color="auto" w:fill="FFFFFF"/>
              <w:spacing w:line="500" w:lineRule="exact"/>
              <w:jc w:val="center"/>
              <w:rPr>
                <w:rFonts w:ascii="宋体"/>
                <w:szCs w:val="21"/>
              </w:rPr>
            </w:pPr>
            <w:r>
              <w:rPr>
                <w:rFonts w:ascii="宋体" w:hAnsi="宋体"/>
                <w:szCs w:val="21"/>
              </w:rPr>
              <w:t>4</w:t>
            </w:r>
          </w:p>
        </w:tc>
        <w:tc>
          <w:tcPr>
            <w:tcW w:w="1980" w:type="dxa"/>
          </w:tcPr>
          <w:p w14:paraId="1D1076A3">
            <w:pPr>
              <w:shd w:val="clear" w:color="auto" w:fill="FFFFFF"/>
              <w:spacing w:line="500" w:lineRule="exact"/>
              <w:rPr>
                <w:rFonts w:ascii="宋体"/>
                <w:szCs w:val="21"/>
              </w:rPr>
            </w:pPr>
            <w:r>
              <w:rPr>
                <w:rFonts w:hint="eastAsia" w:ascii="宋体" w:hAnsi="宋体"/>
                <w:szCs w:val="21"/>
              </w:rPr>
              <w:t>采购师</w:t>
            </w:r>
          </w:p>
        </w:tc>
        <w:tc>
          <w:tcPr>
            <w:tcW w:w="3996" w:type="dxa"/>
          </w:tcPr>
          <w:p w14:paraId="07643AF3">
            <w:pPr>
              <w:shd w:val="clear" w:color="auto" w:fill="FFFFFF"/>
              <w:spacing w:line="500" w:lineRule="exact"/>
              <w:rPr>
                <w:rFonts w:ascii="宋体"/>
                <w:szCs w:val="21"/>
              </w:rPr>
            </w:pPr>
            <w:r>
              <w:rPr>
                <w:rFonts w:hint="eastAsia" w:ascii="宋体" w:hAnsi="宋体"/>
                <w:szCs w:val="21"/>
              </w:rPr>
              <w:t>中华人民共和国劳动与社会保障部</w:t>
            </w:r>
          </w:p>
        </w:tc>
        <w:tc>
          <w:tcPr>
            <w:tcW w:w="2114" w:type="dxa"/>
          </w:tcPr>
          <w:p w14:paraId="11FD7F1B">
            <w:pPr>
              <w:shd w:val="clear" w:color="auto" w:fill="FFFFFF"/>
              <w:spacing w:line="500" w:lineRule="exact"/>
              <w:rPr>
                <w:rFonts w:ascii="宋体"/>
                <w:szCs w:val="21"/>
              </w:rPr>
            </w:pPr>
            <w:r>
              <w:rPr>
                <w:rFonts w:hint="eastAsia" w:ascii="宋体" w:hAnsi="宋体"/>
                <w:szCs w:val="21"/>
              </w:rPr>
              <w:t>初级</w:t>
            </w:r>
          </w:p>
        </w:tc>
      </w:tr>
      <w:tr w14:paraId="563C4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Pr>
          <w:p w14:paraId="28D45DB0">
            <w:pPr>
              <w:shd w:val="clear" w:color="auto" w:fill="FFFFFF"/>
              <w:spacing w:line="500" w:lineRule="exact"/>
              <w:jc w:val="center"/>
              <w:rPr>
                <w:rFonts w:ascii="宋体"/>
                <w:szCs w:val="21"/>
              </w:rPr>
            </w:pPr>
            <w:r>
              <w:rPr>
                <w:rFonts w:ascii="宋体" w:hAnsi="宋体"/>
                <w:szCs w:val="21"/>
              </w:rPr>
              <w:t>5</w:t>
            </w:r>
          </w:p>
        </w:tc>
        <w:tc>
          <w:tcPr>
            <w:tcW w:w="1980" w:type="dxa"/>
          </w:tcPr>
          <w:p w14:paraId="39A7C2F2">
            <w:pPr>
              <w:shd w:val="clear" w:color="auto" w:fill="FFFFFF"/>
              <w:spacing w:line="500" w:lineRule="exact"/>
              <w:rPr>
                <w:rFonts w:ascii="宋体"/>
                <w:szCs w:val="21"/>
              </w:rPr>
            </w:pPr>
            <w:r>
              <w:rPr>
                <w:rFonts w:hint="eastAsia" w:ascii="宋体" w:hAnsi="宋体"/>
                <w:szCs w:val="21"/>
              </w:rPr>
              <w:t>单证员</w:t>
            </w:r>
          </w:p>
        </w:tc>
        <w:tc>
          <w:tcPr>
            <w:tcW w:w="3996" w:type="dxa"/>
          </w:tcPr>
          <w:p w14:paraId="27F5DFB1">
            <w:pPr>
              <w:shd w:val="clear" w:color="auto" w:fill="FFFFFF"/>
              <w:spacing w:line="500" w:lineRule="exact"/>
              <w:rPr>
                <w:rFonts w:ascii="宋体"/>
                <w:szCs w:val="21"/>
              </w:rPr>
            </w:pPr>
            <w:r>
              <w:fldChar w:fldCharType="begin"/>
            </w:r>
            <w:r>
              <w:instrText xml:space="preserve"> HYPERLINK "http://baike.baidu.com/view/1467938.htm" \t "_blank" </w:instrText>
            </w:r>
            <w:r>
              <w:fldChar w:fldCharType="separate"/>
            </w:r>
            <w:r>
              <w:rPr>
                <w:rFonts w:hint="eastAsia" w:ascii="宋体" w:hAnsi="宋体"/>
              </w:rPr>
              <w:t>中国对外贸易经济合作企业协会</w:t>
            </w:r>
            <w:r>
              <w:rPr>
                <w:rFonts w:hint="eastAsia" w:ascii="宋体" w:hAnsi="宋体"/>
              </w:rPr>
              <w:fldChar w:fldCharType="end"/>
            </w:r>
          </w:p>
        </w:tc>
        <w:tc>
          <w:tcPr>
            <w:tcW w:w="2114" w:type="dxa"/>
          </w:tcPr>
          <w:p w14:paraId="04C5C9EF">
            <w:pPr>
              <w:shd w:val="clear" w:color="auto" w:fill="FFFFFF"/>
              <w:spacing w:line="500" w:lineRule="exact"/>
              <w:rPr>
                <w:rFonts w:ascii="宋体"/>
                <w:szCs w:val="21"/>
              </w:rPr>
            </w:pPr>
          </w:p>
        </w:tc>
      </w:tr>
      <w:tr w14:paraId="1AB80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Pr>
          <w:p w14:paraId="0A3E0632">
            <w:pPr>
              <w:shd w:val="clear" w:color="auto" w:fill="FFFFFF"/>
              <w:spacing w:line="500" w:lineRule="exact"/>
              <w:jc w:val="center"/>
              <w:rPr>
                <w:rFonts w:ascii="宋体"/>
                <w:szCs w:val="21"/>
              </w:rPr>
            </w:pPr>
            <w:r>
              <w:rPr>
                <w:rFonts w:ascii="宋体" w:hAnsi="宋体"/>
                <w:szCs w:val="21"/>
              </w:rPr>
              <w:t>6</w:t>
            </w:r>
          </w:p>
        </w:tc>
        <w:tc>
          <w:tcPr>
            <w:tcW w:w="1980" w:type="dxa"/>
          </w:tcPr>
          <w:p w14:paraId="12F5E9DB">
            <w:pPr>
              <w:shd w:val="clear" w:color="auto" w:fill="FFFFFF"/>
              <w:spacing w:line="500" w:lineRule="exact"/>
              <w:rPr>
                <w:rFonts w:ascii="宋体"/>
                <w:szCs w:val="21"/>
              </w:rPr>
            </w:pPr>
            <w:r>
              <w:rPr>
                <w:rFonts w:hint="eastAsia" w:ascii="宋体" w:hAnsi="宋体"/>
                <w:szCs w:val="21"/>
              </w:rPr>
              <w:t>货代从业资格证</w:t>
            </w:r>
          </w:p>
        </w:tc>
        <w:tc>
          <w:tcPr>
            <w:tcW w:w="3996" w:type="dxa"/>
          </w:tcPr>
          <w:p w14:paraId="17728319">
            <w:pPr>
              <w:shd w:val="clear" w:color="auto" w:fill="FFFFFF"/>
              <w:spacing w:line="500" w:lineRule="exact"/>
              <w:rPr>
                <w:rFonts w:ascii="宋体"/>
                <w:szCs w:val="21"/>
              </w:rPr>
            </w:pPr>
            <w:r>
              <w:rPr>
                <w:rFonts w:hint="eastAsia" w:ascii="宋体" w:hAnsi="宋体"/>
                <w:szCs w:val="21"/>
              </w:rPr>
              <w:t>中国国际货运代理协会</w:t>
            </w:r>
          </w:p>
        </w:tc>
        <w:tc>
          <w:tcPr>
            <w:tcW w:w="2114" w:type="dxa"/>
          </w:tcPr>
          <w:p w14:paraId="6BC1DAB0">
            <w:pPr>
              <w:shd w:val="clear" w:color="auto" w:fill="FFFFFF"/>
              <w:spacing w:line="500" w:lineRule="exact"/>
              <w:rPr>
                <w:rFonts w:ascii="宋体"/>
                <w:szCs w:val="21"/>
              </w:rPr>
            </w:pPr>
          </w:p>
        </w:tc>
      </w:tr>
    </w:tbl>
    <w:p w14:paraId="0DF832F3">
      <w:pPr>
        <w:spacing w:line="460" w:lineRule="exact"/>
        <w:rPr>
          <w:rFonts w:ascii="黑体" w:hAnsi="黑体" w:eastAsia="黑体"/>
          <w:sz w:val="28"/>
        </w:rPr>
      </w:pPr>
      <w:r>
        <w:rPr>
          <w:rFonts w:hint="eastAsia" w:ascii="黑体" w:hAnsi="黑体" w:eastAsia="黑体"/>
          <w:sz w:val="28"/>
        </w:rPr>
        <w:t>（五）专业课程设置</w:t>
      </w:r>
    </w:p>
    <w:p w14:paraId="1A426CDF">
      <w:pPr>
        <w:keepNext w:val="0"/>
        <w:keepLines w:val="0"/>
        <w:pageBreakBefore w:val="0"/>
        <w:widowControl w:val="0"/>
        <w:kinsoku/>
        <w:wordWrap/>
        <w:overflowPunct/>
        <w:topLinePunct w:val="0"/>
        <w:autoSpaceDE/>
        <w:autoSpaceDN/>
        <w:bidi w:val="0"/>
        <w:adjustRightInd/>
        <w:snapToGrid/>
        <w:spacing w:line="460" w:lineRule="exact"/>
        <w:textAlignment w:val="auto"/>
        <w:rPr>
          <w:rFonts w:hAnsi="宋体"/>
          <w:sz w:val="24"/>
        </w:rPr>
      </w:pPr>
      <w:r>
        <w:rPr>
          <w:rFonts w:hint="eastAsia" w:hAnsi="宋体"/>
          <w:sz w:val="24"/>
        </w:rPr>
        <w:t>1、课程体系构建</w:t>
      </w:r>
    </w:p>
    <w:p w14:paraId="71B56D3C">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Ansi="宋体"/>
          <w:sz w:val="24"/>
        </w:rPr>
      </w:pPr>
      <w:r>
        <w:rPr>
          <w:rFonts w:hint="eastAsia" w:hAnsi="宋体"/>
          <w:sz w:val="24"/>
        </w:rPr>
        <w:t>以工定学</w:t>
      </w:r>
    </w:p>
    <w:p w14:paraId="6575CA81">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Ansi="宋体"/>
          <w:sz w:val="24"/>
        </w:rPr>
      </w:pPr>
      <w:r>
        <w:rPr>
          <w:rFonts w:hint="eastAsia" w:hAnsi="宋体"/>
          <w:sz w:val="24"/>
        </w:rPr>
        <w:t>为了使工学结合落到实处，应由企业的工作岗位对能力的需求决定专业技能的范畴，从而由专业技能对知识的需求出发，构建并优化专业课程体系。</w:t>
      </w:r>
    </w:p>
    <w:p w14:paraId="16DBDD02">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Ansi="宋体"/>
          <w:sz w:val="24"/>
        </w:rPr>
      </w:pPr>
      <w:r>
        <w:rPr>
          <w:rFonts w:hint="eastAsia" w:hAnsi="宋体"/>
          <w:sz w:val="24"/>
        </w:rPr>
        <w:t>（1）结合企业人才需求定位职业能力方向；</w:t>
      </w:r>
    </w:p>
    <w:p w14:paraId="0D9CCCE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Ansi="宋体"/>
          <w:sz w:val="24"/>
        </w:rPr>
      </w:pPr>
      <w:r>
        <w:rPr>
          <w:rFonts w:hint="eastAsia" w:hAnsi="宋体"/>
          <w:sz w:val="24"/>
        </w:rPr>
        <w:t>（2）根据企业人才需求设置课程体系；</w:t>
      </w:r>
    </w:p>
    <w:p w14:paraId="387AB63E">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Ansi="宋体"/>
          <w:sz w:val="24"/>
        </w:rPr>
      </w:pPr>
      <w:r>
        <w:rPr>
          <w:rFonts w:hint="eastAsia" w:hAnsi="宋体"/>
          <w:sz w:val="24"/>
        </w:rPr>
        <w:t>（3）工作过程系统化的课程体系设置。</w:t>
      </w:r>
    </w:p>
    <w:p w14:paraId="0ECBA5D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hAnsi="宋体"/>
          <w:sz w:val="24"/>
        </w:rPr>
      </w:pPr>
      <w:r>
        <w:rPr>
          <w:rFonts w:hint="eastAsia" w:hAnsi="宋体"/>
          <w:sz w:val="24"/>
        </w:rPr>
        <w:t>以工促学</w:t>
      </w:r>
    </w:p>
    <w:p w14:paraId="2750992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Ansi="宋体"/>
          <w:sz w:val="24"/>
        </w:rPr>
      </w:pPr>
      <w:r>
        <w:rPr>
          <w:rFonts w:hint="eastAsia" w:hAnsi="宋体"/>
          <w:sz w:val="24"/>
        </w:rPr>
        <w:t>通过让学生在学习的过程中接触工作岗位，能够让工学结合产生积极的效果。这种方式可以让学生了解不同的岗位的职业技能需求，并且能让学生在学习的过程中强化自身对工作岗位的理解，了解岗位的能力需求，从而检查自身所学知识的不足和差距，以此来促进知识的学习，达到以工促学的目的。</w:t>
      </w:r>
    </w:p>
    <w:p w14:paraId="425CE026">
      <w:pPr>
        <w:spacing w:line="460" w:lineRule="exact"/>
        <w:rPr>
          <w:rFonts w:hAnsi="宋体"/>
          <w:sz w:val="24"/>
        </w:rPr>
      </w:pPr>
      <w:r>
        <w:rPr>
          <w:rFonts w:hint="eastAsia" w:hAnsi="宋体"/>
          <w:sz w:val="24"/>
        </w:rPr>
        <w:t>2、职业能力课程开发</w:t>
      </w:r>
    </w:p>
    <w:p w14:paraId="52AC084E">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Ansi="宋体"/>
          <w:sz w:val="24"/>
        </w:rPr>
      </w:pPr>
      <w:r>
        <w:rPr>
          <w:rFonts w:hint="eastAsia" w:hAnsi="宋体"/>
          <w:sz w:val="24"/>
        </w:rPr>
        <w:t>课程内容的选择和重构着眼于专业的整个课程体系，明确具体的知识、技能、素质等要求，打破传统学科课程的束缚，将课程内容进行整合重构；</w:t>
      </w:r>
    </w:p>
    <w:p w14:paraId="3C46439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Ansi="宋体"/>
          <w:sz w:val="24"/>
        </w:rPr>
      </w:pPr>
      <w:r>
        <w:rPr>
          <w:rFonts w:hint="eastAsia" w:hAnsi="宋体"/>
          <w:sz w:val="24"/>
        </w:rPr>
        <w:t>教学情境构建应以实际岗位操作中的任务（项目）作为教学任务，由简单到复杂的几个任务或者综合性的项目贯穿整个课程内容，然后将与任务（项目）相关的知识与技能贯穿在任务（项目）完成的过程中。按照咨询、计划、决策、实施、检查、评估“六步教学法”构建任务驱动、行动导向的课程内容。</w:t>
      </w:r>
    </w:p>
    <w:p w14:paraId="10984A1B">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Ansi="宋体"/>
          <w:sz w:val="24"/>
        </w:rPr>
      </w:pPr>
      <w:r>
        <w:rPr>
          <w:rFonts w:hint="eastAsia" w:hAnsi="宋体"/>
          <w:sz w:val="24"/>
        </w:rPr>
        <w:t>第一阶段（第1、2学期）——专业基础课程群的模拟项目教学模式</w:t>
      </w:r>
    </w:p>
    <w:p w14:paraId="5260E89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Ansi="宋体"/>
          <w:sz w:val="24"/>
        </w:rPr>
      </w:pPr>
      <w:r>
        <w:rPr>
          <w:rFonts w:hint="eastAsia" w:hAnsi="宋体"/>
          <w:sz w:val="24"/>
        </w:rPr>
        <w:t>以基础知识、基本技能的学习内容为主，模拟项目、比赛项目渗透到专业课，实现基础课为专业课搭桥的实践性教学体系。</w:t>
      </w:r>
    </w:p>
    <w:p w14:paraId="464413F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Ansi="宋体"/>
          <w:sz w:val="24"/>
        </w:rPr>
      </w:pPr>
      <w:r>
        <w:rPr>
          <w:rFonts w:hint="eastAsia" w:hAnsi="宋体"/>
          <w:sz w:val="24"/>
        </w:rPr>
        <w:t>第二阶段（第3、4学期）——专业课程群的仿真项目教学模式</w:t>
      </w:r>
    </w:p>
    <w:p w14:paraId="0610978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Ansi="宋体"/>
          <w:sz w:val="24"/>
        </w:rPr>
      </w:pPr>
      <w:r>
        <w:rPr>
          <w:rFonts w:hint="eastAsia" w:hAnsi="宋体"/>
          <w:sz w:val="24"/>
        </w:rPr>
        <w:t xml:space="preserve">以专业课实践教学为主，实现“一题一案例”的命题探究式的实践教学体系。 以专业课的学习为主，以项目为载体，从纵深两个方向逐步进阶，以提高学生的综合设计能力。两个方向进阶是指：一是在学习过程的时间维度进行能力进阶，在把项目教学贯穿于教学全过程，从单项训练—专项训练—综合训练—顶岗实习。二是从项目本身的深度进阶，从部分项目到完全项目，培养学生从设计定位、构思、设计及表现的全流程职业技能。前期在学校实训室完成教学任务，后期采用任务驱动、项目导向的方式重点在校内、外实训基地完成教学任务。通过对专业课实践教学过程进行综合训练，实现与职业岗位实际工作零距离对接。　　　    </w:t>
      </w:r>
    </w:p>
    <w:p w14:paraId="6B71C87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Ansi="宋体"/>
          <w:sz w:val="24"/>
        </w:rPr>
      </w:pPr>
      <w:r>
        <w:rPr>
          <w:rFonts w:hint="eastAsia" w:hAnsi="宋体"/>
          <w:sz w:val="24"/>
        </w:rPr>
        <w:t>第三阶段（第5、6学期）——真实工作的顶岗全真项目实习教学　</w:t>
      </w:r>
    </w:p>
    <w:p w14:paraId="6A03A32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Ansi="宋体"/>
          <w:sz w:val="24"/>
        </w:rPr>
      </w:pPr>
      <w:r>
        <w:rPr>
          <w:rFonts w:hint="eastAsia" w:hAnsi="宋体"/>
          <w:sz w:val="24"/>
        </w:rPr>
        <w:t>根据职业岗位的知识、技能要求及工作任务情况，对毕业设计的选题及组织、管理、实施采取项目组织、企业顶岗和社会赛事任务驱动三种方式，学生可根据自己的实际情况在指导教师的引导下，完成毕业设计任务。由企业和学校双方共同完成综合训练教学任务，让学生在实际工作过程中锻炼职业素质和职业技能，使之完成职业岗位的认知过程。</w:t>
      </w:r>
    </w:p>
    <w:p w14:paraId="4490B27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Ansi="宋体"/>
          <w:sz w:val="24"/>
        </w:rPr>
      </w:pPr>
      <w:r>
        <w:rPr>
          <w:rFonts w:hint="eastAsia" w:hAnsi="宋体"/>
          <w:sz w:val="24"/>
        </w:rPr>
        <w:t>项目设计和比赛项目融入教学，使教学产生经济效益、融入社会、作用社会。教师根据项目需求组织学生围绕项目进行市场调研，提出项目要求并制定详实的训练实施方案与课题。“项目课题设计”的教学方法灵活多样，把企业明确的设计目的和产品定位作为课程目的融合教学。在实践中逐渐找到不足，促进学习，提高兴趣。</w:t>
      </w:r>
    </w:p>
    <w:p w14:paraId="1CA57306"/>
    <w:p w14:paraId="3FB0EA06">
      <w:pPr>
        <w:pStyle w:val="3"/>
        <w:ind w:firstLine="723"/>
        <w:jc w:val="center"/>
        <w:rPr>
          <w:bCs w:val="0"/>
          <w:color w:val="000000"/>
          <w:sz w:val="36"/>
          <w:szCs w:val="36"/>
        </w:rPr>
      </w:pPr>
      <w:bookmarkStart w:id="115" w:name="_Toc28888"/>
      <w:r>
        <w:rPr>
          <w:rFonts w:hint="eastAsia"/>
          <w:bCs w:val="0"/>
          <w:color w:val="000000"/>
          <w:sz w:val="36"/>
          <w:szCs w:val="36"/>
          <w:lang w:eastAsia="zh-CN"/>
        </w:rPr>
        <w:t>现代物流管理专业</w:t>
      </w:r>
      <w:r>
        <w:rPr>
          <w:rFonts w:hint="eastAsia"/>
          <w:bCs w:val="0"/>
          <w:color w:val="000000"/>
          <w:sz w:val="36"/>
          <w:szCs w:val="36"/>
        </w:rPr>
        <w:t>建设委员会名单</w:t>
      </w:r>
      <w:bookmarkEnd w:id="115"/>
    </w:p>
    <w:p w14:paraId="14E67A32">
      <w:pPr>
        <w:spacing w:line="500" w:lineRule="exact"/>
        <w:rPr>
          <w:rFonts w:ascii="Times New Roman" w:hAnsi="Times New Roman" w:cs="宋体"/>
          <w:b/>
          <w:bCs/>
          <w:color w:val="000000"/>
          <w:sz w:val="24"/>
          <w:szCs w:val="24"/>
        </w:rPr>
      </w:pPr>
    </w:p>
    <w:tbl>
      <w:tblPr>
        <w:tblStyle w:val="24"/>
        <w:tblW w:w="897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755"/>
        <w:gridCol w:w="1461"/>
        <w:gridCol w:w="967"/>
        <w:gridCol w:w="1358"/>
        <w:gridCol w:w="2467"/>
        <w:gridCol w:w="1968"/>
      </w:tblGrid>
      <w:tr w14:paraId="05BD24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14:paraId="3E41A151">
            <w:pPr>
              <w:widowControl/>
              <w:jc w:val="center"/>
              <w:rPr>
                <w:rFonts w:hint="eastAsia" w:ascii="宋体" w:cs="宋体"/>
                <w:color w:val="000000"/>
                <w:kern w:val="0"/>
                <w:szCs w:val="21"/>
              </w:rPr>
            </w:pPr>
            <w:r>
              <w:rPr>
                <w:rFonts w:hint="eastAsia" w:ascii="宋体" w:hAnsi="宋体" w:cs="宋体"/>
                <w:b/>
                <w:bCs/>
                <w:color w:val="000000"/>
                <w:kern w:val="0"/>
                <w:szCs w:val="21"/>
              </w:rPr>
              <w:t>序号</w:t>
            </w:r>
          </w:p>
        </w:tc>
        <w:tc>
          <w:tcPr>
            <w:tcW w:w="1461" w:type="dxa"/>
            <w:tcMar>
              <w:top w:w="0" w:type="dxa"/>
              <w:left w:w="108" w:type="dxa"/>
              <w:bottom w:w="0" w:type="dxa"/>
              <w:right w:w="108" w:type="dxa"/>
            </w:tcMar>
            <w:vAlign w:val="center"/>
          </w:tcPr>
          <w:p w14:paraId="47126327">
            <w:pPr>
              <w:widowControl/>
              <w:jc w:val="center"/>
              <w:rPr>
                <w:rFonts w:hint="eastAsia" w:ascii="宋体" w:cs="宋体"/>
                <w:color w:val="000000"/>
                <w:kern w:val="0"/>
                <w:szCs w:val="21"/>
              </w:rPr>
            </w:pPr>
            <w:r>
              <w:rPr>
                <w:rFonts w:hint="eastAsia" w:ascii="宋体" w:hAnsi="宋体" w:cs="宋体"/>
                <w:b/>
                <w:bCs/>
                <w:color w:val="000000"/>
                <w:kern w:val="0"/>
                <w:szCs w:val="21"/>
              </w:rPr>
              <w:t>姓名</w:t>
            </w:r>
          </w:p>
        </w:tc>
        <w:tc>
          <w:tcPr>
            <w:tcW w:w="967" w:type="dxa"/>
            <w:tcMar>
              <w:top w:w="0" w:type="dxa"/>
              <w:left w:w="108" w:type="dxa"/>
              <w:bottom w:w="0" w:type="dxa"/>
              <w:right w:w="108" w:type="dxa"/>
            </w:tcMar>
            <w:vAlign w:val="center"/>
          </w:tcPr>
          <w:p w14:paraId="6DFFD980">
            <w:pPr>
              <w:widowControl/>
              <w:jc w:val="center"/>
              <w:rPr>
                <w:rFonts w:hint="eastAsia" w:ascii="宋体" w:cs="宋体"/>
                <w:color w:val="000000"/>
                <w:kern w:val="0"/>
                <w:szCs w:val="21"/>
              </w:rPr>
            </w:pPr>
            <w:r>
              <w:rPr>
                <w:rFonts w:hint="eastAsia" w:ascii="宋体" w:hAnsi="宋体" w:cs="宋体"/>
                <w:b/>
                <w:bCs/>
                <w:color w:val="000000"/>
                <w:kern w:val="0"/>
                <w:szCs w:val="21"/>
              </w:rPr>
              <w:t>职称</w:t>
            </w:r>
          </w:p>
        </w:tc>
        <w:tc>
          <w:tcPr>
            <w:tcW w:w="1358" w:type="dxa"/>
            <w:tcMar>
              <w:top w:w="0" w:type="dxa"/>
              <w:left w:w="108" w:type="dxa"/>
              <w:bottom w:w="0" w:type="dxa"/>
              <w:right w:w="108" w:type="dxa"/>
            </w:tcMar>
            <w:vAlign w:val="center"/>
          </w:tcPr>
          <w:p w14:paraId="482DFE9B">
            <w:pPr>
              <w:widowControl/>
              <w:jc w:val="center"/>
              <w:rPr>
                <w:rFonts w:hint="eastAsia" w:ascii="宋体" w:cs="宋体"/>
                <w:color w:val="000000"/>
                <w:kern w:val="0"/>
                <w:szCs w:val="21"/>
              </w:rPr>
            </w:pPr>
            <w:r>
              <w:rPr>
                <w:rFonts w:hint="eastAsia" w:ascii="宋体" w:hAnsi="宋体" w:cs="宋体"/>
                <w:b/>
                <w:bCs/>
                <w:color w:val="000000"/>
                <w:kern w:val="0"/>
                <w:szCs w:val="21"/>
              </w:rPr>
              <w:t>委员会任职</w:t>
            </w:r>
          </w:p>
        </w:tc>
        <w:tc>
          <w:tcPr>
            <w:tcW w:w="2467" w:type="dxa"/>
            <w:tcMar>
              <w:top w:w="0" w:type="dxa"/>
              <w:left w:w="108" w:type="dxa"/>
              <w:bottom w:w="0" w:type="dxa"/>
              <w:right w:w="108" w:type="dxa"/>
            </w:tcMar>
            <w:vAlign w:val="center"/>
          </w:tcPr>
          <w:p w14:paraId="0DEBC11B">
            <w:pPr>
              <w:widowControl/>
              <w:ind w:firstLine="554"/>
              <w:jc w:val="center"/>
              <w:rPr>
                <w:rFonts w:hint="eastAsia" w:ascii="宋体" w:cs="宋体"/>
                <w:color w:val="000000"/>
                <w:kern w:val="0"/>
                <w:szCs w:val="21"/>
              </w:rPr>
            </w:pPr>
            <w:r>
              <w:rPr>
                <w:rFonts w:hint="eastAsia" w:ascii="宋体" w:hAnsi="宋体" w:cs="宋体"/>
                <w:b/>
                <w:bCs/>
                <w:color w:val="000000"/>
                <w:kern w:val="0"/>
                <w:szCs w:val="21"/>
              </w:rPr>
              <w:t>所在单位</w:t>
            </w:r>
          </w:p>
        </w:tc>
        <w:tc>
          <w:tcPr>
            <w:tcW w:w="1968" w:type="dxa"/>
            <w:tcMar>
              <w:top w:w="0" w:type="dxa"/>
              <w:left w:w="108" w:type="dxa"/>
              <w:bottom w:w="0" w:type="dxa"/>
              <w:right w:w="108" w:type="dxa"/>
            </w:tcMar>
            <w:vAlign w:val="center"/>
          </w:tcPr>
          <w:p w14:paraId="25A141FF">
            <w:pPr>
              <w:widowControl/>
              <w:ind w:firstLine="554"/>
              <w:jc w:val="center"/>
              <w:rPr>
                <w:rFonts w:hint="eastAsia" w:ascii="宋体" w:cs="宋体"/>
                <w:color w:val="000000"/>
                <w:kern w:val="0"/>
                <w:szCs w:val="21"/>
              </w:rPr>
            </w:pPr>
            <w:r>
              <w:rPr>
                <w:rFonts w:hint="eastAsia" w:ascii="宋体" w:hAnsi="宋体" w:cs="宋体"/>
                <w:b/>
                <w:bCs/>
                <w:color w:val="000000"/>
                <w:kern w:val="0"/>
                <w:szCs w:val="21"/>
              </w:rPr>
              <w:t>职务</w:t>
            </w:r>
          </w:p>
        </w:tc>
      </w:tr>
      <w:tr w14:paraId="39E7D9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14:paraId="4629654D">
            <w:pPr>
              <w:widowControl/>
              <w:jc w:val="center"/>
              <w:rPr>
                <w:rFonts w:hint="eastAsia" w:ascii="宋体" w:cs="宋体"/>
                <w:color w:val="000000"/>
                <w:kern w:val="0"/>
                <w:szCs w:val="21"/>
              </w:rPr>
            </w:pPr>
            <w:r>
              <w:rPr>
                <w:rFonts w:hint="eastAsia" w:ascii="宋体" w:cs="宋体"/>
                <w:color w:val="000000"/>
                <w:kern w:val="0"/>
                <w:szCs w:val="21"/>
              </w:rPr>
              <w:t>1</w:t>
            </w:r>
          </w:p>
        </w:tc>
        <w:tc>
          <w:tcPr>
            <w:tcW w:w="1461" w:type="dxa"/>
            <w:tcMar>
              <w:top w:w="0" w:type="dxa"/>
              <w:left w:w="108" w:type="dxa"/>
              <w:bottom w:w="0" w:type="dxa"/>
              <w:right w:w="108" w:type="dxa"/>
            </w:tcMar>
            <w:vAlign w:val="center"/>
          </w:tcPr>
          <w:p w14:paraId="723BBDE6">
            <w:pPr>
              <w:pStyle w:val="2"/>
              <w:widowControl/>
              <w:ind w:left="0" w:leftChars="0" w:firstLine="0" w:firstLineChars="0"/>
              <w:jc w:val="both"/>
              <w:rPr>
                <w:rFonts w:hint="eastAsia" w:ascii="宋体" w:cs="宋体"/>
                <w:color w:val="000000"/>
                <w:kern w:val="0"/>
                <w:szCs w:val="21"/>
              </w:rPr>
            </w:pPr>
            <w:r>
              <w:rPr>
                <w:rFonts w:hint="eastAsia"/>
                <w:lang w:val="en-US"/>
              </w:rPr>
              <w:t>张继红</w:t>
            </w:r>
          </w:p>
        </w:tc>
        <w:tc>
          <w:tcPr>
            <w:tcW w:w="967" w:type="dxa"/>
            <w:tcMar>
              <w:top w:w="0" w:type="dxa"/>
              <w:left w:w="108" w:type="dxa"/>
              <w:bottom w:w="0" w:type="dxa"/>
              <w:right w:w="108" w:type="dxa"/>
            </w:tcMar>
            <w:vAlign w:val="center"/>
          </w:tcPr>
          <w:p w14:paraId="0B5EFD99">
            <w:pPr>
              <w:pStyle w:val="2"/>
              <w:widowControl/>
              <w:ind w:left="0" w:leftChars="0" w:firstLine="0" w:firstLineChars="0"/>
              <w:jc w:val="both"/>
              <w:rPr>
                <w:rFonts w:hint="eastAsia" w:ascii="宋体" w:cs="宋体" w:eastAsiaTheme="minorEastAsia"/>
                <w:color w:val="000000"/>
                <w:kern w:val="0"/>
                <w:szCs w:val="21"/>
                <w:lang w:val="en-US" w:eastAsia="zh-CN"/>
              </w:rPr>
            </w:pPr>
            <w:r>
              <w:rPr>
                <w:rFonts w:hint="eastAsia" w:ascii="宋体" w:cs="宋体"/>
                <w:color w:val="000000"/>
                <w:kern w:val="0"/>
                <w:szCs w:val="21"/>
                <w:lang w:val="en-US" w:eastAsia="zh-CN"/>
              </w:rPr>
              <w:t>教授</w:t>
            </w:r>
          </w:p>
        </w:tc>
        <w:tc>
          <w:tcPr>
            <w:tcW w:w="1358" w:type="dxa"/>
            <w:tcMar>
              <w:top w:w="0" w:type="dxa"/>
              <w:left w:w="108" w:type="dxa"/>
              <w:bottom w:w="0" w:type="dxa"/>
              <w:right w:w="108" w:type="dxa"/>
            </w:tcMar>
            <w:vAlign w:val="center"/>
          </w:tcPr>
          <w:p w14:paraId="21F7AAC9">
            <w:pPr>
              <w:widowControl/>
              <w:jc w:val="center"/>
              <w:rPr>
                <w:rFonts w:hint="eastAsia" w:ascii="宋体" w:cs="宋体"/>
                <w:color w:val="000000"/>
                <w:kern w:val="0"/>
                <w:szCs w:val="21"/>
              </w:rPr>
            </w:pPr>
            <w:r>
              <w:rPr>
                <w:rFonts w:hint="eastAsia" w:ascii="宋体" w:cs="宋体"/>
                <w:color w:val="000000"/>
                <w:kern w:val="0"/>
                <w:szCs w:val="21"/>
              </w:rPr>
              <w:t>主任委员</w:t>
            </w:r>
          </w:p>
        </w:tc>
        <w:tc>
          <w:tcPr>
            <w:tcW w:w="2467" w:type="dxa"/>
            <w:tcMar>
              <w:top w:w="0" w:type="dxa"/>
              <w:left w:w="108" w:type="dxa"/>
              <w:bottom w:w="0" w:type="dxa"/>
              <w:right w:w="108" w:type="dxa"/>
            </w:tcMar>
            <w:vAlign w:val="center"/>
          </w:tcPr>
          <w:p w14:paraId="02B1641A">
            <w:pPr>
              <w:widowControl/>
              <w:jc w:val="center"/>
              <w:rPr>
                <w:rFonts w:hint="eastAsia" w:ascii="宋体" w:cs="宋体"/>
                <w:color w:val="000000"/>
                <w:kern w:val="0"/>
                <w:szCs w:val="21"/>
              </w:rPr>
            </w:pPr>
            <w:r>
              <w:rPr>
                <w:rFonts w:hint="eastAsia" w:ascii="宋体" w:cs="宋体"/>
                <w:color w:val="000000"/>
                <w:kern w:val="0"/>
                <w:szCs w:val="21"/>
              </w:rPr>
              <w:t>德州科技职业学院</w:t>
            </w:r>
          </w:p>
        </w:tc>
        <w:tc>
          <w:tcPr>
            <w:tcW w:w="1968" w:type="dxa"/>
            <w:tcMar>
              <w:top w:w="0" w:type="dxa"/>
              <w:left w:w="108" w:type="dxa"/>
              <w:bottom w:w="0" w:type="dxa"/>
              <w:right w:w="108" w:type="dxa"/>
            </w:tcMar>
            <w:vAlign w:val="center"/>
          </w:tcPr>
          <w:p w14:paraId="36294DA6">
            <w:pPr>
              <w:widowControl/>
              <w:jc w:val="center"/>
              <w:rPr>
                <w:rFonts w:hint="eastAsia" w:ascii="宋体" w:eastAsia="宋体" w:cs="宋体"/>
                <w:color w:val="000000"/>
                <w:kern w:val="0"/>
                <w:szCs w:val="21"/>
                <w:lang w:eastAsia="zh-CN"/>
              </w:rPr>
            </w:pPr>
            <w:r>
              <w:rPr>
                <w:rFonts w:hint="eastAsia" w:ascii="宋体" w:cs="宋体"/>
                <w:color w:val="000000"/>
                <w:kern w:val="0"/>
                <w:szCs w:val="21"/>
                <w:lang w:val="en-US" w:eastAsia="zh-CN"/>
              </w:rPr>
              <w:t>院长</w:t>
            </w:r>
          </w:p>
        </w:tc>
      </w:tr>
      <w:tr w14:paraId="3D6DBD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14:paraId="05CBA989">
            <w:pPr>
              <w:widowControl/>
              <w:jc w:val="center"/>
              <w:rPr>
                <w:rFonts w:hint="eastAsia" w:ascii="宋体" w:cs="宋体"/>
                <w:color w:val="000000"/>
                <w:kern w:val="0"/>
                <w:szCs w:val="21"/>
              </w:rPr>
            </w:pPr>
            <w:r>
              <w:rPr>
                <w:rFonts w:hint="eastAsia" w:ascii="宋体" w:cs="宋体"/>
                <w:color w:val="000000"/>
                <w:kern w:val="0"/>
                <w:szCs w:val="21"/>
              </w:rPr>
              <w:t>2</w:t>
            </w:r>
          </w:p>
        </w:tc>
        <w:tc>
          <w:tcPr>
            <w:tcW w:w="1461" w:type="dxa"/>
            <w:tcMar>
              <w:top w:w="0" w:type="dxa"/>
              <w:left w:w="108" w:type="dxa"/>
              <w:bottom w:w="0" w:type="dxa"/>
              <w:right w:w="108" w:type="dxa"/>
            </w:tcMar>
            <w:vAlign w:val="center"/>
          </w:tcPr>
          <w:p w14:paraId="5E13F2D9">
            <w:pPr>
              <w:pStyle w:val="2"/>
              <w:widowControl/>
              <w:ind w:left="0" w:leftChars="0" w:firstLine="0" w:firstLineChars="0"/>
              <w:jc w:val="both"/>
              <w:rPr>
                <w:rFonts w:hint="eastAsia" w:ascii="宋体" w:cs="宋体"/>
                <w:color w:val="000000"/>
                <w:kern w:val="0"/>
                <w:szCs w:val="21"/>
              </w:rPr>
            </w:pPr>
            <w:r>
              <w:rPr>
                <w:rFonts w:hint="eastAsia"/>
                <w:lang w:val="en-US"/>
              </w:rPr>
              <w:t>徐曰军</w:t>
            </w:r>
          </w:p>
        </w:tc>
        <w:tc>
          <w:tcPr>
            <w:tcW w:w="967" w:type="dxa"/>
            <w:tcMar>
              <w:top w:w="0" w:type="dxa"/>
              <w:left w:w="108" w:type="dxa"/>
              <w:bottom w:w="0" w:type="dxa"/>
              <w:right w:w="108" w:type="dxa"/>
            </w:tcMar>
            <w:vAlign w:val="center"/>
          </w:tcPr>
          <w:p w14:paraId="01EA91FF">
            <w:pPr>
              <w:pStyle w:val="2"/>
              <w:widowControl/>
              <w:ind w:left="0" w:leftChars="0" w:firstLine="0" w:firstLineChars="0"/>
              <w:jc w:val="both"/>
              <w:rPr>
                <w:rFonts w:hint="eastAsia" w:ascii="宋体" w:cs="宋体" w:eastAsiaTheme="minorEastAsia"/>
                <w:color w:val="000000"/>
                <w:kern w:val="0"/>
                <w:szCs w:val="21"/>
                <w:lang w:eastAsia="zh-CN"/>
              </w:rPr>
            </w:pPr>
            <w:r>
              <w:rPr>
                <w:rFonts w:hint="eastAsia"/>
                <w:lang w:val="en-US" w:eastAsia="zh-CN"/>
              </w:rPr>
              <w:t>教授</w:t>
            </w:r>
          </w:p>
        </w:tc>
        <w:tc>
          <w:tcPr>
            <w:tcW w:w="1358" w:type="dxa"/>
            <w:tcMar>
              <w:top w:w="0" w:type="dxa"/>
              <w:left w:w="108" w:type="dxa"/>
              <w:bottom w:w="0" w:type="dxa"/>
              <w:right w:w="108" w:type="dxa"/>
            </w:tcMar>
            <w:vAlign w:val="center"/>
          </w:tcPr>
          <w:p w14:paraId="204C2196">
            <w:pPr>
              <w:widowControl/>
              <w:jc w:val="center"/>
              <w:rPr>
                <w:rFonts w:hint="eastAsia" w:ascii="宋体" w:cs="宋体"/>
                <w:color w:val="000000"/>
                <w:kern w:val="0"/>
                <w:szCs w:val="21"/>
              </w:rPr>
            </w:pPr>
            <w:r>
              <w:rPr>
                <w:rFonts w:hint="eastAsia" w:ascii="宋体" w:cs="宋体"/>
                <w:color w:val="000000"/>
                <w:kern w:val="0"/>
                <w:szCs w:val="21"/>
              </w:rPr>
              <w:t>副主任委员</w:t>
            </w:r>
          </w:p>
        </w:tc>
        <w:tc>
          <w:tcPr>
            <w:tcW w:w="2467" w:type="dxa"/>
            <w:tcMar>
              <w:top w:w="0" w:type="dxa"/>
              <w:left w:w="108" w:type="dxa"/>
              <w:bottom w:w="0" w:type="dxa"/>
              <w:right w:w="108" w:type="dxa"/>
            </w:tcMar>
            <w:vAlign w:val="center"/>
          </w:tcPr>
          <w:p w14:paraId="2050C563">
            <w:pPr>
              <w:widowControl/>
              <w:jc w:val="center"/>
              <w:rPr>
                <w:rFonts w:hint="eastAsia" w:ascii="宋体" w:cs="宋体"/>
                <w:color w:val="000000"/>
                <w:kern w:val="0"/>
                <w:szCs w:val="21"/>
              </w:rPr>
            </w:pPr>
            <w:r>
              <w:rPr>
                <w:rFonts w:hint="eastAsia" w:ascii="宋体" w:cs="宋体"/>
                <w:color w:val="000000"/>
                <w:kern w:val="0"/>
                <w:szCs w:val="21"/>
              </w:rPr>
              <w:t>德州科技职业学院</w:t>
            </w:r>
          </w:p>
        </w:tc>
        <w:tc>
          <w:tcPr>
            <w:tcW w:w="1968" w:type="dxa"/>
            <w:tcMar>
              <w:top w:w="0" w:type="dxa"/>
              <w:left w:w="108" w:type="dxa"/>
              <w:bottom w:w="0" w:type="dxa"/>
              <w:right w:w="108" w:type="dxa"/>
            </w:tcMar>
            <w:vAlign w:val="center"/>
          </w:tcPr>
          <w:p w14:paraId="091AA943">
            <w:pPr>
              <w:widowControl/>
              <w:jc w:val="center"/>
              <w:rPr>
                <w:rFonts w:hint="default" w:ascii="宋体" w:eastAsia="宋体" w:cs="宋体"/>
                <w:color w:val="000000"/>
                <w:kern w:val="0"/>
                <w:szCs w:val="21"/>
                <w:lang w:val="en-US" w:eastAsia="zh-CN"/>
              </w:rPr>
            </w:pPr>
            <w:r>
              <w:rPr>
                <w:rFonts w:hint="eastAsia" w:ascii="宋体" w:cs="宋体"/>
                <w:color w:val="000000"/>
                <w:kern w:val="0"/>
                <w:szCs w:val="21"/>
                <w:lang w:val="en-US" w:eastAsia="zh-CN"/>
              </w:rPr>
              <w:t>党委书记</w:t>
            </w:r>
          </w:p>
        </w:tc>
      </w:tr>
      <w:tr w14:paraId="064E48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14:paraId="5B490A00">
            <w:pPr>
              <w:widowControl/>
              <w:jc w:val="center"/>
              <w:rPr>
                <w:rFonts w:hint="eastAsia" w:ascii="宋体" w:cs="宋体"/>
                <w:color w:val="000000"/>
                <w:kern w:val="0"/>
                <w:szCs w:val="21"/>
              </w:rPr>
            </w:pPr>
            <w:r>
              <w:rPr>
                <w:rFonts w:hint="eastAsia" w:ascii="宋体" w:cs="宋体"/>
                <w:color w:val="000000"/>
                <w:kern w:val="0"/>
                <w:szCs w:val="21"/>
              </w:rPr>
              <w:t>3</w:t>
            </w:r>
          </w:p>
        </w:tc>
        <w:tc>
          <w:tcPr>
            <w:tcW w:w="1461" w:type="dxa"/>
            <w:tcMar>
              <w:top w:w="0" w:type="dxa"/>
              <w:left w:w="108" w:type="dxa"/>
              <w:bottom w:w="0" w:type="dxa"/>
              <w:right w:w="108" w:type="dxa"/>
            </w:tcMar>
            <w:vAlign w:val="center"/>
          </w:tcPr>
          <w:p w14:paraId="09A96CAA">
            <w:pPr>
              <w:pStyle w:val="2"/>
              <w:widowControl/>
              <w:ind w:left="0" w:leftChars="0" w:firstLine="0" w:firstLineChars="0"/>
              <w:jc w:val="both"/>
              <w:rPr>
                <w:rFonts w:hint="eastAsia" w:ascii="宋体" w:cs="宋体"/>
                <w:color w:val="000000"/>
                <w:kern w:val="0"/>
                <w:szCs w:val="21"/>
              </w:rPr>
            </w:pPr>
            <w:r>
              <w:rPr>
                <w:rFonts w:hint="eastAsia"/>
                <w:lang w:val="en-US"/>
              </w:rPr>
              <w:t xml:space="preserve">黄庆宁   </w:t>
            </w:r>
          </w:p>
        </w:tc>
        <w:tc>
          <w:tcPr>
            <w:tcW w:w="967" w:type="dxa"/>
            <w:tcMar>
              <w:top w:w="0" w:type="dxa"/>
              <w:left w:w="108" w:type="dxa"/>
              <w:bottom w:w="0" w:type="dxa"/>
              <w:right w:w="108" w:type="dxa"/>
            </w:tcMar>
            <w:vAlign w:val="center"/>
          </w:tcPr>
          <w:p w14:paraId="294A2D6A">
            <w:pPr>
              <w:pStyle w:val="2"/>
              <w:widowControl/>
              <w:ind w:left="0" w:leftChars="0" w:firstLine="0" w:firstLineChars="0"/>
              <w:jc w:val="both"/>
              <w:rPr>
                <w:rFonts w:hint="eastAsia" w:ascii="宋体" w:cs="宋体"/>
                <w:color w:val="000000"/>
                <w:kern w:val="0"/>
                <w:szCs w:val="21"/>
              </w:rPr>
            </w:pPr>
            <w:r>
              <w:rPr>
                <w:rFonts w:hint="eastAsia"/>
                <w:lang w:val="en-US" w:eastAsia="zh-CN"/>
              </w:rPr>
              <w:t>副教授</w:t>
            </w:r>
          </w:p>
        </w:tc>
        <w:tc>
          <w:tcPr>
            <w:tcW w:w="1358" w:type="dxa"/>
            <w:tcMar>
              <w:top w:w="0" w:type="dxa"/>
              <w:left w:w="108" w:type="dxa"/>
              <w:bottom w:w="0" w:type="dxa"/>
              <w:right w:w="108" w:type="dxa"/>
            </w:tcMar>
            <w:vAlign w:val="center"/>
          </w:tcPr>
          <w:p w14:paraId="219C2D74">
            <w:pPr>
              <w:widowControl/>
              <w:jc w:val="center"/>
              <w:rPr>
                <w:rFonts w:hint="eastAsia" w:ascii="宋体" w:cs="宋体"/>
                <w:color w:val="000000"/>
                <w:kern w:val="0"/>
                <w:szCs w:val="21"/>
              </w:rPr>
            </w:pPr>
            <w:r>
              <w:rPr>
                <w:rFonts w:hint="eastAsia" w:ascii="宋体" w:cs="宋体"/>
                <w:color w:val="000000"/>
                <w:kern w:val="0"/>
                <w:szCs w:val="21"/>
              </w:rPr>
              <w:t>委员</w:t>
            </w:r>
          </w:p>
        </w:tc>
        <w:tc>
          <w:tcPr>
            <w:tcW w:w="2467" w:type="dxa"/>
            <w:tcMar>
              <w:top w:w="0" w:type="dxa"/>
              <w:left w:w="108" w:type="dxa"/>
              <w:bottom w:w="0" w:type="dxa"/>
              <w:right w:w="108" w:type="dxa"/>
            </w:tcMar>
            <w:vAlign w:val="center"/>
          </w:tcPr>
          <w:p w14:paraId="1EC5E4B6">
            <w:pPr>
              <w:widowControl/>
              <w:jc w:val="center"/>
              <w:rPr>
                <w:rFonts w:hint="eastAsia" w:ascii="宋体" w:cs="宋体"/>
                <w:color w:val="000000"/>
                <w:kern w:val="0"/>
                <w:szCs w:val="21"/>
              </w:rPr>
            </w:pPr>
            <w:r>
              <w:rPr>
                <w:rFonts w:hint="eastAsia" w:ascii="宋体" w:cs="宋体"/>
                <w:color w:val="000000"/>
                <w:kern w:val="0"/>
                <w:szCs w:val="21"/>
              </w:rPr>
              <w:t>德州科技职业学院</w:t>
            </w:r>
          </w:p>
        </w:tc>
        <w:tc>
          <w:tcPr>
            <w:tcW w:w="1968" w:type="dxa"/>
            <w:tcMar>
              <w:top w:w="0" w:type="dxa"/>
              <w:left w:w="108" w:type="dxa"/>
              <w:bottom w:w="0" w:type="dxa"/>
              <w:right w:w="108" w:type="dxa"/>
            </w:tcMar>
            <w:vAlign w:val="center"/>
          </w:tcPr>
          <w:p w14:paraId="0F7D6EC6">
            <w:pPr>
              <w:widowControl/>
              <w:jc w:val="center"/>
              <w:rPr>
                <w:rFonts w:hint="default" w:ascii="宋体" w:eastAsia="宋体" w:cs="宋体"/>
                <w:color w:val="000000"/>
                <w:kern w:val="0"/>
                <w:szCs w:val="21"/>
                <w:lang w:val="en-US" w:eastAsia="zh-CN"/>
              </w:rPr>
            </w:pPr>
            <w:r>
              <w:rPr>
                <w:rFonts w:hint="eastAsia" w:ascii="宋体" w:cs="宋体"/>
                <w:color w:val="000000"/>
                <w:kern w:val="0"/>
                <w:szCs w:val="21"/>
                <w:lang w:val="en-US" w:eastAsia="zh-CN"/>
              </w:rPr>
              <w:t>主任</w:t>
            </w:r>
          </w:p>
        </w:tc>
      </w:tr>
      <w:tr w14:paraId="2548BE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14:paraId="18A88721">
            <w:pPr>
              <w:widowControl/>
              <w:jc w:val="center"/>
              <w:rPr>
                <w:rFonts w:hint="eastAsia" w:ascii="宋体" w:eastAsia="宋体" w:cs="宋体"/>
                <w:color w:val="000000"/>
                <w:kern w:val="0"/>
                <w:szCs w:val="21"/>
                <w:lang w:val="en-US" w:eastAsia="zh-CN"/>
              </w:rPr>
            </w:pPr>
            <w:r>
              <w:rPr>
                <w:rFonts w:hint="eastAsia" w:ascii="宋体" w:cs="宋体"/>
                <w:color w:val="000000"/>
                <w:kern w:val="0"/>
                <w:szCs w:val="21"/>
                <w:lang w:val="en-US" w:eastAsia="zh-CN"/>
              </w:rPr>
              <w:t>4</w:t>
            </w:r>
          </w:p>
        </w:tc>
        <w:tc>
          <w:tcPr>
            <w:tcW w:w="1461" w:type="dxa"/>
            <w:shd w:val="clear"/>
            <w:tcMar>
              <w:top w:w="0" w:type="dxa"/>
              <w:left w:w="108" w:type="dxa"/>
              <w:bottom w:w="0" w:type="dxa"/>
              <w:right w:w="108" w:type="dxa"/>
            </w:tcMar>
            <w:vAlign w:val="center"/>
          </w:tcPr>
          <w:p w14:paraId="170BEF4C">
            <w:pPr>
              <w:pStyle w:val="2"/>
              <w:widowControl/>
              <w:ind w:left="0" w:leftChars="0" w:firstLine="0" w:firstLineChars="0"/>
              <w:jc w:val="both"/>
              <w:rPr>
                <w:rFonts w:hint="eastAsia" w:ascii="宋体" w:cs="宋体" w:hAnsiTheme="minorHAnsi" w:eastAsiaTheme="minorEastAsia"/>
                <w:color w:val="000000"/>
                <w:kern w:val="0"/>
                <w:sz w:val="21"/>
                <w:szCs w:val="21"/>
                <w:lang w:val="en-US" w:eastAsia="zh-CN" w:bidi="ar-SA"/>
              </w:rPr>
            </w:pPr>
            <w:r>
              <w:rPr>
                <w:rFonts w:hint="eastAsia"/>
                <w:lang w:val="en-US"/>
              </w:rPr>
              <w:t>张  坤</w:t>
            </w:r>
          </w:p>
        </w:tc>
        <w:tc>
          <w:tcPr>
            <w:tcW w:w="967" w:type="dxa"/>
            <w:shd w:val="clear"/>
            <w:tcMar>
              <w:top w:w="0" w:type="dxa"/>
              <w:left w:w="108" w:type="dxa"/>
              <w:bottom w:w="0" w:type="dxa"/>
              <w:right w:w="108" w:type="dxa"/>
            </w:tcMar>
            <w:vAlign w:val="center"/>
          </w:tcPr>
          <w:p w14:paraId="57076CCE">
            <w:pPr>
              <w:pStyle w:val="2"/>
              <w:widowControl/>
              <w:ind w:left="0" w:leftChars="0" w:firstLine="0" w:firstLineChars="0"/>
              <w:jc w:val="both"/>
              <w:rPr>
                <w:rFonts w:hint="eastAsia" w:ascii="宋体" w:cs="宋体" w:hAnsiTheme="minorHAnsi" w:eastAsiaTheme="minorEastAsia"/>
                <w:color w:val="000000"/>
                <w:kern w:val="0"/>
                <w:sz w:val="21"/>
                <w:szCs w:val="21"/>
                <w:lang w:val="en-US" w:eastAsia="zh-CN" w:bidi="ar-SA"/>
              </w:rPr>
            </w:pPr>
            <w:r>
              <w:rPr>
                <w:rFonts w:hint="eastAsia"/>
                <w:lang w:val="en-US" w:eastAsia="zh-CN"/>
              </w:rPr>
              <w:t>讲师</w:t>
            </w:r>
          </w:p>
        </w:tc>
        <w:tc>
          <w:tcPr>
            <w:tcW w:w="1358" w:type="dxa"/>
            <w:shd w:val="clear"/>
            <w:tcMar>
              <w:top w:w="0" w:type="dxa"/>
              <w:left w:w="108" w:type="dxa"/>
              <w:bottom w:w="0" w:type="dxa"/>
              <w:right w:w="108" w:type="dxa"/>
            </w:tcMar>
            <w:vAlign w:val="center"/>
          </w:tcPr>
          <w:p w14:paraId="6843BA4C">
            <w:pPr>
              <w:jc w:val="center"/>
              <w:rPr>
                <w:rFonts w:hint="eastAsia" w:ascii="Calibri" w:hAnsi="Calibri" w:eastAsia="宋体" w:cs="Times New Roman"/>
                <w:kern w:val="2"/>
                <w:sz w:val="21"/>
                <w:szCs w:val="22"/>
                <w:lang w:val="en-US" w:eastAsia="zh-CN" w:bidi="ar-SA"/>
              </w:rPr>
            </w:pPr>
            <w:r>
              <w:rPr>
                <w:rFonts w:hint="eastAsia" w:ascii="宋体" w:cs="宋体"/>
                <w:color w:val="000000"/>
                <w:kern w:val="0"/>
                <w:szCs w:val="21"/>
              </w:rPr>
              <w:t>委员</w:t>
            </w:r>
          </w:p>
        </w:tc>
        <w:tc>
          <w:tcPr>
            <w:tcW w:w="2467" w:type="dxa"/>
            <w:shd w:val="clear"/>
            <w:tcMar>
              <w:top w:w="0" w:type="dxa"/>
              <w:left w:w="108" w:type="dxa"/>
              <w:bottom w:w="0" w:type="dxa"/>
              <w:right w:w="108" w:type="dxa"/>
            </w:tcMar>
            <w:vAlign w:val="center"/>
          </w:tcPr>
          <w:p w14:paraId="14D3A3F8">
            <w:pPr>
              <w:widowControl/>
              <w:jc w:val="center"/>
              <w:rPr>
                <w:rFonts w:hint="eastAsia" w:ascii="宋体" w:hAnsi="Calibri" w:eastAsia="宋体" w:cs="宋体"/>
                <w:color w:val="000000"/>
                <w:kern w:val="0"/>
                <w:sz w:val="21"/>
                <w:szCs w:val="21"/>
                <w:lang w:val="en-US" w:eastAsia="zh-CN" w:bidi="ar-SA"/>
              </w:rPr>
            </w:pPr>
            <w:r>
              <w:rPr>
                <w:rFonts w:hint="eastAsia" w:ascii="宋体" w:cs="宋体"/>
                <w:color w:val="000000"/>
                <w:kern w:val="0"/>
                <w:szCs w:val="21"/>
              </w:rPr>
              <w:t>德州科技职业学院</w:t>
            </w:r>
          </w:p>
        </w:tc>
        <w:tc>
          <w:tcPr>
            <w:tcW w:w="1968" w:type="dxa"/>
            <w:shd w:val="clear"/>
            <w:tcMar>
              <w:top w:w="0" w:type="dxa"/>
              <w:left w:w="108" w:type="dxa"/>
              <w:bottom w:w="0" w:type="dxa"/>
              <w:right w:w="108" w:type="dxa"/>
            </w:tcMar>
            <w:vAlign w:val="center"/>
          </w:tcPr>
          <w:p w14:paraId="63CA484C">
            <w:pPr>
              <w:widowControl/>
              <w:ind w:firstLine="630" w:firstLineChars="300"/>
              <w:jc w:val="both"/>
              <w:rPr>
                <w:rFonts w:hint="default" w:ascii="宋体" w:hAnsi="Calibri" w:eastAsia="宋体" w:cs="宋体"/>
                <w:color w:val="000000"/>
                <w:kern w:val="0"/>
                <w:sz w:val="21"/>
                <w:szCs w:val="21"/>
                <w:lang w:val="en-US" w:eastAsia="zh-CN" w:bidi="ar-SA"/>
              </w:rPr>
            </w:pPr>
            <w:r>
              <w:rPr>
                <w:rFonts w:hint="eastAsia" w:ascii="宋体" w:cs="宋体"/>
                <w:color w:val="000000"/>
                <w:kern w:val="0"/>
                <w:sz w:val="21"/>
                <w:szCs w:val="21"/>
                <w:lang w:val="en-US" w:eastAsia="zh-CN" w:bidi="ar-SA"/>
              </w:rPr>
              <w:t>副主任</w:t>
            </w:r>
          </w:p>
        </w:tc>
      </w:tr>
      <w:tr w14:paraId="30BE68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14:paraId="68F25B78">
            <w:pPr>
              <w:widowControl/>
              <w:jc w:val="center"/>
              <w:rPr>
                <w:rFonts w:hint="eastAsia" w:ascii="宋体" w:eastAsia="宋体" w:cs="宋体"/>
                <w:color w:val="000000"/>
                <w:kern w:val="0"/>
                <w:szCs w:val="21"/>
                <w:lang w:val="en-US" w:eastAsia="zh-CN"/>
              </w:rPr>
            </w:pPr>
            <w:r>
              <w:rPr>
                <w:rFonts w:hint="eastAsia" w:ascii="宋体" w:cs="宋体"/>
                <w:color w:val="000000"/>
                <w:kern w:val="0"/>
                <w:szCs w:val="21"/>
                <w:lang w:val="en-US" w:eastAsia="zh-CN"/>
              </w:rPr>
              <w:t>5</w:t>
            </w:r>
          </w:p>
        </w:tc>
        <w:tc>
          <w:tcPr>
            <w:tcW w:w="1461" w:type="dxa"/>
            <w:tcMar>
              <w:top w:w="0" w:type="dxa"/>
              <w:left w:w="108" w:type="dxa"/>
              <w:bottom w:w="0" w:type="dxa"/>
              <w:right w:w="108" w:type="dxa"/>
            </w:tcMar>
            <w:vAlign w:val="center"/>
          </w:tcPr>
          <w:p w14:paraId="4E465DA7">
            <w:pPr>
              <w:pStyle w:val="2"/>
              <w:widowControl/>
              <w:ind w:left="0" w:leftChars="0" w:firstLine="0" w:firstLineChars="0"/>
              <w:jc w:val="both"/>
              <w:rPr>
                <w:rFonts w:hint="eastAsia" w:ascii="宋体" w:cs="宋体"/>
                <w:color w:val="000000"/>
                <w:kern w:val="0"/>
                <w:szCs w:val="21"/>
              </w:rPr>
            </w:pPr>
            <w:r>
              <w:rPr>
                <w:rFonts w:hint="eastAsia"/>
                <w:lang w:val="en-US"/>
              </w:rPr>
              <w:t>王  冲</w:t>
            </w:r>
          </w:p>
        </w:tc>
        <w:tc>
          <w:tcPr>
            <w:tcW w:w="967" w:type="dxa"/>
            <w:tcMar>
              <w:top w:w="0" w:type="dxa"/>
              <w:left w:w="108" w:type="dxa"/>
              <w:bottom w:w="0" w:type="dxa"/>
              <w:right w:w="108" w:type="dxa"/>
            </w:tcMar>
            <w:vAlign w:val="center"/>
          </w:tcPr>
          <w:p w14:paraId="4BF825D3">
            <w:pPr>
              <w:pStyle w:val="2"/>
              <w:widowControl/>
              <w:ind w:left="0" w:leftChars="0" w:firstLine="0" w:firstLineChars="0"/>
              <w:jc w:val="both"/>
              <w:rPr>
                <w:rFonts w:hint="eastAsia" w:ascii="宋体" w:cs="宋体" w:eastAsiaTheme="minorEastAsia"/>
                <w:color w:val="000000"/>
                <w:kern w:val="0"/>
                <w:szCs w:val="21"/>
                <w:lang w:eastAsia="zh-CN"/>
              </w:rPr>
            </w:pPr>
            <w:r>
              <w:rPr>
                <w:rFonts w:hint="eastAsia"/>
                <w:lang w:val="en-US" w:eastAsia="zh-CN"/>
              </w:rPr>
              <w:t>讲师</w:t>
            </w:r>
          </w:p>
        </w:tc>
        <w:tc>
          <w:tcPr>
            <w:tcW w:w="1358" w:type="dxa"/>
            <w:tcMar>
              <w:top w:w="0" w:type="dxa"/>
              <w:left w:w="108" w:type="dxa"/>
              <w:bottom w:w="0" w:type="dxa"/>
              <w:right w:w="108" w:type="dxa"/>
            </w:tcMar>
            <w:vAlign w:val="center"/>
          </w:tcPr>
          <w:p w14:paraId="7D439D0E">
            <w:pPr>
              <w:widowControl/>
              <w:jc w:val="center"/>
              <w:rPr>
                <w:rFonts w:hint="eastAsia" w:ascii="宋体" w:cs="宋体"/>
                <w:color w:val="000000"/>
                <w:kern w:val="0"/>
                <w:szCs w:val="21"/>
              </w:rPr>
            </w:pPr>
            <w:r>
              <w:rPr>
                <w:rFonts w:hint="eastAsia" w:ascii="宋体" w:cs="宋体"/>
                <w:color w:val="000000"/>
                <w:kern w:val="0"/>
                <w:szCs w:val="21"/>
              </w:rPr>
              <w:t>委员</w:t>
            </w:r>
          </w:p>
        </w:tc>
        <w:tc>
          <w:tcPr>
            <w:tcW w:w="2467" w:type="dxa"/>
            <w:tcMar>
              <w:top w:w="0" w:type="dxa"/>
              <w:left w:w="108" w:type="dxa"/>
              <w:bottom w:w="0" w:type="dxa"/>
              <w:right w:w="108" w:type="dxa"/>
            </w:tcMar>
            <w:vAlign w:val="center"/>
          </w:tcPr>
          <w:p w14:paraId="2479AC33">
            <w:pPr>
              <w:widowControl/>
              <w:jc w:val="center"/>
              <w:rPr>
                <w:rFonts w:hint="eastAsia" w:ascii="宋体" w:cs="宋体"/>
                <w:color w:val="000000"/>
                <w:kern w:val="0"/>
                <w:szCs w:val="21"/>
              </w:rPr>
            </w:pPr>
            <w:r>
              <w:rPr>
                <w:rFonts w:hint="eastAsia" w:ascii="宋体" w:cs="宋体"/>
                <w:color w:val="000000"/>
                <w:kern w:val="0"/>
                <w:szCs w:val="21"/>
              </w:rPr>
              <w:t>济南易途科技有限公司</w:t>
            </w:r>
          </w:p>
        </w:tc>
        <w:tc>
          <w:tcPr>
            <w:tcW w:w="1968" w:type="dxa"/>
            <w:tcMar>
              <w:top w:w="0" w:type="dxa"/>
              <w:left w:w="108" w:type="dxa"/>
              <w:bottom w:w="0" w:type="dxa"/>
              <w:right w:w="108" w:type="dxa"/>
            </w:tcMar>
            <w:vAlign w:val="center"/>
          </w:tcPr>
          <w:p w14:paraId="79AA796B">
            <w:pPr>
              <w:widowControl/>
              <w:jc w:val="center"/>
              <w:rPr>
                <w:rFonts w:hint="eastAsia" w:ascii="宋体" w:cs="宋体"/>
                <w:color w:val="000000"/>
                <w:kern w:val="0"/>
                <w:szCs w:val="21"/>
              </w:rPr>
            </w:pPr>
            <w:r>
              <w:rPr>
                <w:rFonts w:hint="eastAsia" w:ascii="宋体" w:cs="宋体"/>
                <w:color w:val="000000"/>
                <w:kern w:val="0"/>
                <w:szCs w:val="21"/>
              </w:rPr>
              <w:t>教研室主任</w:t>
            </w:r>
          </w:p>
        </w:tc>
      </w:tr>
      <w:tr w14:paraId="1772D4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14:paraId="72D96DD5">
            <w:pPr>
              <w:widowControl/>
              <w:jc w:val="center"/>
              <w:rPr>
                <w:rFonts w:hint="eastAsia" w:ascii="宋体" w:eastAsia="宋体" w:cs="宋体"/>
                <w:color w:val="000000"/>
                <w:kern w:val="0"/>
                <w:szCs w:val="21"/>
                <w:lang w:val="en-US" w:eastAsia="zh-CN"/>
              </w:rPr>
            </w:pPr>
            <w:r>
              <w:rPr>
                <w:rFonts w:hint="eastAsia" w:ascii="宋体" w:cs="宋体"/>
                <w:color w:val="000000"/>
                <w:kern w:val="0"/>
                <w:szCs w:val="21"/>
                <w:lang w:val="en-US" w:eastAsia="zh-CN"/>
              </w:rPr>
              <w:t>6</w:t>
            </w:r>
          </w:p>
        </w:tc>
        <w:tc>
          <w:tcPr>
            <w:tcW w:w="1461" w:type="dxa"/>
            <w:tcMar>
              <w:top w:w="0" w:type="dxa"/>
              <w:left w:w="108" w:type="dxa"/>
              <w:bottom w:w="0" w:type="dxa"/>
              <w:right w:w="108" w:type="dxa"/>
            </w:tcMar>
            <w:vAlign w:val="center"/>
          </w:tcPr>
          <w:p w14:paraId="5850EAD1">
            <w:pPr>
              <w:pStyle w:val="2"/>
              <w:widowControl/>
              <w:ind w:left="0" w:leftChars="0" w:firstLine="0" w:firstLineChars="0"/>
              <w:jc w:val="both"/>
              <w:rPr>
                <w:rFonts w:hint="eastAsia" w:ascii="宋体" w:cs="宋体"/>
                <w:color w:val="000000"/>
                <w:kern w:val="0"/>
                <w:szCs w:val="21"/>
              </w:rPr>
            </w:pPr>
            <w:r>
              <w:rPr>
                <w:rFonts w:hint="eastAsia"/>
                <w:lang w:val="en-US"/>
              </w:rPr>
              <w:t>于立虎</w:t>
            </w:r>
          </w:p>
        </w:tc>
        <w:tc>
          <w:tcPr>
            <w:tcW w:w="967" w:type="dxa"/>
            <w:tcMar>
              <w:top w:w="0" w:type="dxa"/>
              <w:left w:w="108" w:type="dxa"/>
              <w:bottom w:w="0" w:type="dxa"/>
              <w:right w:w="108" w:type="dxa"/>
            </w:tcMar>
            <w:vAlign w:val="center"/>
          </w:tcPr>
          <w:p w14:paraId="07C2340D">
            <w:pPr>
              <w:pStyle w:val="2"/>
              <w:widowControl/>
              <w:ind w:left="0" w:leftChars="0" w:firstLine="0" w:firstLineChars="0"/>
              <w:jc w:val="both"/>
              <w:rPr>
                <w:rFonts w:hint="eastAsia" w:ascii="宋体" w:cs="宋体"/>
                <w:color w:val="000000"/>
                <w:kern w:val="0"/>
                <w:szCs w:val="21"/>
              </w:rPr>
            </w:pPr>
            <w:r>
              <w:rPr>
                <w:rFonts w:hint="eastAsia"/>
                <w:lang w:val="en-US" w:eastAsia="zh-CN"/>
              </w:rPr>
              <w:t>讲师</w:t>
            </w:r>
          </w:p>
        </w:tc>
        <w:tc>
          <w:tcPr>
            <w:tcW w:w="1358" w:type="dxa"/>
            <w:tcMar>
              <w:top w:w="0" w:type="dxa"/>
              <w:left w:w="108" w:type="dxa"/>
              <w:bottom w:w="0" w:type="dxa"/>
              <w:right w:w="108" w:type="dxa"/>
            </w:tcMar>
            <w:vAlign w:val="center"/>
          </w:tcPr>
          <w:p w14:paraId="5DB1DEB9">
            <w:pPr>
              <w:widowControl/>
              <w:jc w:val="center"/>
              <w:rPr>
                <w:rFonts w:hint="eastAsia" w:ascii="宋体" w:cs="宋体"/>
                <w:color w:val="000000"/>
                <w:kern w:val="0"/>
                <w:szCs w:val="21"/>
              </w:rPr>
            </w:pPr>
            <w:r>
              <w:rPr>
                <w:rFonts w:hint="eastAsia" w:ascii="宋体" w:cs="宋体"/>
                <w:color w:val="000000"/>
                <w:kern w:val="0"/>
                <w:szCs w:val="21"/>
              </w:rPr>
              <w:t>委员</w:t>
            </w:r>
          </w:p>
        </w:tc>
        <w:tc>
          <w:tcPr>
            <w:tcW w:w="2467" w:type="dxa"/>
            <w:tcMar>
              <w:top w:w="0" w:type="dxa"/>
              <w:left w:w="108" w:type="dxa"/>
              <w:bottom w:w="0" w:type="dxa"/>
              <w:right w:w="108" w:type="dxa"/>
            </w:tcMar>
            <w:vAlign w:val="center"/>
          </w:tcPr>
          <w:p w14:paraId="72E42A62">
            <w:pPr>
              <w:widowControl/>
              <w:jc w:val="center"/>
              <w:rPr>
                <w:rFonts w:hint="eastAsia" w:ascii="宋体" w:cs="宋体"/>
                <w:color w:val="000000"/>
                <w:kern w:val="0"/>
                <w:szCs w:val="21"/>
              </w:rPr>
            </w:pPr>
            <w:r>
              <w:rPr>
                <w:rFonts w:hint="eastAsia" w:ascii="宋体" w:cs="宋体"/>
                <w:color w:val="000000"/>
                <w:kern w:val="0"/>
                <w:szCs w:val="21"/>
              </w:rPr>
              <w:t>德州科技职业学院</w:t>
            </w:r>
          </w:p>
        </w:tc>
        <w:tc>
          <w:tcPr>
            <w:tcW w:w="1968" w:type="dxa"/>
            <w:tcMar>
              <w:top w:w="0" w:type="dxa"/>
              <w:left w:w="108" w:type="dxa"/>
              <w:bottom w:w="0" w:type="dxa"/>
              <w:right w:w="108" w:type="dxa"/>
            </w:tcMar>
            <w:vAlign w:val="center"/>
          </w:tcPr>
          <w:p w14:paraId="5AC5CDB9">
            <w:pPr>
              <w:widowControl/>
              <w:jc w:val="center"/>
              <w:rPr>
                <w:rFonts w:hint="eastAsia" w:ascii="宋体" w:cs="宋体"/>
                <w:color w:val="000000"/>
                <w:kern w:val="0"/>
                <w:szCs w:val="21"/>
              </w:rPr>
            </w:pPr>
            <w:r>
              <w:rPr>
                <w:rFonts w:hint="eastAsia" w:ascii="宋体" w:cs="宋体"/>
                <w:color w:val="000000"/>
                <w:kern w:val="0"/>
                <w:szCs w:val="21"/>
              </w:rPr>
              <w:t>教师</w:t>
            </w:r>
          </w:p>
        </w:tc>
      </w:tr>
      <w:tr w14:paraId="04E5F0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14:paraId="05BB0291">
            <w:pPr>
              <w:widowControl/>
              <w:jc w:val="center"/>
              <w:rPr>
                <w:rFonts w:hint="eastAsia" w:ascii="宋体" w:eastAsia="宋体" w:cs="宋体"/>
                <w:color w:val="000000"/>
                <w:kern w:val="0"/>
                <w:szCs w:val="21"/>
                <w:lang w:val="en-US" w:eastAsia="zh-CN"/>
              </w:rPr>
            </w:pPr>
            <w:r>
              <w:rPr>
                <w:rFonts w:hint="eastAsia" w:ascii="宋体" w:cs="宋体"/>
                <w:color w:val="000000"/>
                <w:kern w:val="0"/>
                <w:szCs w:val="21"/>
                <w:lang w:val="en-US" w:eastAsia="zh-CN"/>
              </w:rPr>
              <w:t>7</w:t>
            </w:r>
          </w:p>
        </w:tc>
        <w:tc>
          <w:tcPr>
            <w:tcW w:w="1461" w:type="dxa"/>
            <w:tcMar>
              <w:top w:w="0" w:type="dxa"/>
              <w:left w:w="108" w:type="dxa"/>
              <w:bottom w:w="0" w:type="dxa"/>
              <w:right w:w="108" w:type="dxa"/>
            </w:tcMar>
            <w:vAlign w:val="center"/>
          </w:tcPr>
          <w:p w14:paraId="54CDF1B0">
            <w:pPr>
              <w:pStyle w:val="2"/>
              <w:widowControl/>
              <w:ind w:left="0" w:leftChars="0" w:firstLine="0" w:firstLineChars="0"/>
              <w:jc w:val="both"/>
              <w:rPr>
                <w:rFonts w:hint="eastAsia" w:ascii="宋体" w:cs="宋体"/>
                <w:color w:val="000000"/>
                <w:kern w:val="0"/>
                <w:szCs w:val="21"/>
              </w:rPr>
            </w:pPr>
            <w:r>
              <w:rPr>
                <w:rFonts w:hint="eastAsia"/>
                <w:lang w:val="en-US"/>
              </w:rPr>
              <w:t xml:space="preserve">蒋  </w:t>
            </w:r>
            <w:r>
              <w:rPr>
                <w:lang w:val="en-US"/>
              </w:rPr>
              <w:t>超</w:t>
            </w:r>
          </w:p>
        </w:tc>
        <w:tc>
          <w:tcPr>
            <w:tcW w:w="967" w:type="dxa"/>
            <w:tcMar>
              <w:top w:w="0" w:type="dxa"/>
              <w:left w:w="108" w:type="dxa"/>
              <w:bottom w:w="0" w:type="dxa"/>
              <w:right w:w="108" w:type="dxa"/>
            </w:tcMar>
            <w:vAlign w:val="center"/>
          </w:tcPr>
          <w:p w14:paraId="4ED840DE">
            <w:pPr>
              <w:pStyle w:val="2"/>
              <w:widowControl/>
              <w:ind w:left="0" w:leftChars="0" w:firstLine="0" w:firstLineChars="0"/>
              <w:jc w:val="both"/>
              <w:rPr>
                <w:rFonts w:hint="eastAsia" w:ascii="宋体" w:cs="宋体"/>
                <w:color w:val="000000"/>
                <w:kern w:val="0"/>
                <w:szCs w:val="21"/>
              </w:rPr>
            </w:pPr>
            <w:r>
              <w:rPr>
                <w:rFonts w:hint="eastAsia"/>
                <w:lang w:val="en-US" w:eastAsia="zh-CN"/>
              </w:rPr>
              <w:t>讲师</w:t>
            </w:r>
          </w:p>
        </w:tc>
        <w:tc>
          <w:tcPr>
            <w:tcW w:w="1358" w:type="dxa"/>
            <w:tcMar>
              <w:top w:w="0" w:type="dxa"/>
              <w:left w:w="108" w:type="dxa"/>
              <w:bottom w:w="0" w:type="dxa"/>
              <w:right w:w="108" w:type="dxa"/>
            </w:tcMar>
            <w:vAlign w:val="center"/>
          </w:tcPr>
          <w:p w14:paraId="37609B17">
            <w:pPr>
              <w:widowControl/>
              <w:jc w:val="center"/>
              <w:rPr>
                <w:rFonts w:hint="eastAsia" w:ascii="宋体" w:cs="宋体"/>
                <w:color w:val="000000"/>
                <w:kern w:val="0"/>
                <w:szCs w:val="21"/>
              </w:rPr>
            </w:pPr>
            <w:r>
              <w:rPr>
                <w:rFonts w:hint="eastAsia" w:ascii="宋体" w:cs="宋体"/>
                <w:color w:val="000000"/>
                <w:kern w:val="0"/>
                <w:szCs w:val="21"/>
              </w:rPr>
              <w:t>委员</w:t>
            </w:r>
          </w:p>
        </w:tc>
        <w:tc>
          <w:tcPr>
            <w:tcW w:w="2467" w:type="dxa"/>
            <w:tcMar>
              <w:top w:w="0" w:type="dxa"/>
              <w:left w:w="108" w:type="dxa"/>
              <w:bottom w:w="0" w:type="dxa"/>
              <w:right w:w="108" w:type="dxa"/>
            </w:tcMar>
            <w:vAlign w:val="center"/>
          </w:tcPr>
          <w:p w14:paraId="2ADFA9EF">
            <w:pPr>
              <w:widowControl/>
              <w:jc w:val="center"/>
              <w:rPr>
                <w:rFonts w:hint="eastAsia" w:ascii="宋体" w:cs="宋体"/>
                <w:color w:val="000000"/>
                <w:kern w:val="0"/>
                <w:szCs w:val="21"/>
              </w:rPr>
            </w:pPr>
            <w:r>
              <w:rPr>
                <w:rFonts w:hint="eastAsia" w:ascii="宋体" w:cs="宋体"/>
                <w:color w:val="000000"/>
                <w:kern w:val="0"/>
                <w:szCs w:val="21"/>
              </w:rPr>
              <w:t>德州科技职业学院</w:t>
            </w:r>
          </w:p>
        </w:tc>
        <w:tc>
          <w:tcPr>
            <w:tcW w:w="1968" w:type="dxa"/>
            <w:tcMar>
              <w:top w:w="0" w:type="dxa"/>
              <w:left w:w="108" w:type="dxa"/>
              <w:bottom w:w="0" w:type="dxa"/>
              <w:right w:w="108" w:type="dxa"/>
            </w:tcMar>
            <w:vAlign w:val="center"/>
          </w:tcPr>
          <w:p w14:paraId="4E937DE2">
            <w:pPr>
              <w:widowControl/>
              <w:jc w:val="center"/>
              <w:rPr>
                <w:rFonts w:hint="eastAsia" w:ascii="宋体" w:cs="宋体"/>
                <w:color w:val="000000"/>
                <w:kern w:val="0"/>
                <w:szCs w:val="21"/>
              </w:rPr>
            </w:pPr>
            <w:r>
              <w:rPr>
                <w:rFonts w:hint="eastAsia" w:ascii="宋体" w:cs="宋体"/>
                <w:color w:val="000000"/>
                <w:kern w:val="0"/>
                <w:szCs w:val="21"/>
              </w:rPr>
              <w:t>教师</w:t>
            </w:r>
          </w:p>
        </w:tc>
      </w:tr>
      <w:tr w14:paraId="3425E7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14:paraId="208BC46E">
            <w:pPr>
              <w:widowControl/>
              <w:jc w:val="center"/>
              <w:rPr>
                <w:rFonts w:hint="eastAsia" w:ascii="宋体" w:cs="宋体"/>
                <w:color w:val="000000"/>
                <w:kern w:val="0"/>
                <w:szCs w:val="21"/>
              </w:rPr>
            </w:pPr>
            <w:r>
              <w:rPr>
                <w:rFonts w:hint="eastAsia" w:ascii="宋体" w:cs="宋体"/>
                <w:color w:val="000000"/>
                <w:kern w:val="0"/>
                <w:szCs w:val="21"/>
              </w:rPr>
              <w:t>8</w:t>
            </w:r>
          </w:p>
        </w:tc>
        <w:tc>
          <w:tcPr>
            <w:tcW w:w="1461" w:type="dxa"/>
            <w:tcMar>
              <w:top w:w="0" w:type="dxa"/>
              <w:left w:w="108" w:type="dxa"/>
              <w:bottom w:w="0" w:type="dxa"/>
              <w:right w:w="108" w:type="dxa"/>
            </w:tcMar>
            <w:vAlign w:val="center"/>
          </w:tcPr>
          <w:p w14:paraId="1A4E96E5">
            <w:pPr>
              <w:pStyle w:val="2"/>
              <w:widowControl/>
              <w:ind w:left="0" w:leftChars="0" w:firstLine="0" w:firstLineChars="0"/>
              <w:jc w:val="both"/>
              <w:rPr>
                <w:rFonts w:hint="eastAsia" w:ascii="宋体" w:cs="宋体"/>
                <w:color w:val="000000"/>
                <w:kern w:val="0"/>
                <w:szCs w:val="21"/>
              </w:rPr>
            </w:pPr>
            <w:r>
              <w:rPr>
                <w:rFonts w:hint="eastAsia"/>
                <w:lang w:val="en-US"/>
              </w:rPr>
              <w:t>徐  晶</w:t>
            </w:r>
          </w:p>
        </w:tc>
        <w:tc>
          <w:tcPr>
            <w:tcW w:w="967" w:type="dxa"/>
            <w:tcMar>
              <w:top w:w="0" w:type="dxa"/>
              <w:left w:w="108" w:type="dxa"/>
              <w:bottom w:w="0" w:type="dxa"/>
              <w:right w:w="108" w:type="dxa"/>
            </w:tcMar>
            <w:vAlign w:val="center"/>
          </w:tcPr>
          <w:p w14:paraId="4593B568">
            <w:pPr>
              <w:pStyle w:val="2"/>
              <w:widowControl/>
              <w:ind w:left="0" w:leftChars="0" w:firstLine="0" w:firstLineChars="0"/>
              <w:jc w:val="both"/>
              <w:rPr>
                <w:rFonts w:hint="eastAsia" w:ascii="宋体" w:cs="宋体"/>
                <w:color w:val="000000"/>
                <w:kern w:val="0"/>
                <w:szCs w:val="21"/>
              </w:rPr>
            </w:pPr>
            <w:r>
              <w:rPr>
                <w:rFonts w:hint="eastAsia"/>
                <w:lang w:val="en-US" w:eastAsia="zh-CN"/>
              </w:rPr>
              <w:t>助教</w:t>
            </w:r>
          </w:p>
        </w:tc>
        <w:tc>
          <w:tcPr>
            <w:tcW w:w="1358" w:type="dxa"/>
            <w:tcMar>
              <w:top w:w="0" w:type="dxa"/>
              <w:left w:w="108" w:type="dxa"/>
              <w:bottom w:w="0" w:type="dxa"/>
              <w:right w:w="108" w:type="dxa"/>
            </w:tcMar>
            <w:vAlign w:val="center"/>
          </w:tcPr>
          <w:p w14:paraId="17944672">
            <w:pPr>
              <w:jc w:val="center"/>
              <w:rPr>
                <w:rFonts w:hint="eastAsia"/>
              </w:rPr>
            </w:pPr>
            <w:r>
              <w:rPr>
                <w:rFonts w:hint="eastAsia" w:ascii="宋体" w:cs="宋体"/>
                <w:color w:val="000000"/>
                <w:kern w:val="0"/>
                <w:szCs w:val="21"/>
              </w:rPr>
              <w:t>委员</w:t>
            </w:r>
          </w:p>
        </w:tc>
        <w:tc>
          <w:tcPr>
            <w:tcW w:w="2467" w:type="dxa"/>
            <w:tcMar>
              <w:top w:w="0" w:type="dxa"/>
              <w:left w:w="108" w:type="dxa"/>
              <w:bottom w:w="0" w:type="dxa"/>
              <w:right w:w="108" w:type="dxa"/>
            </w:tcMar>
            <w:vAlign w:val="center"/>
          </w:tcPr>
          <w:p w14:paraId="7BBBA133">
            <w:pPr>
              <w:widowControl/>
              <w:jc w:val="center"/>
              <w:rPr>
                <w:rFonts w:hint="eastAsia" w:ascii="宋体" w:cs="宋体"/>
                <w:color w:val="000000"/>
                <w:kern w:val="0"/>
                <w:szCs w:val="21"/>
              </w:rPr>
            </w:pPr>
            <w:r>
              <w:rPr>
                <w:rFonts w:hint="eastAsia" w:ascii="宋体" w:cs="宋体"/>
                <w:color w:val="000000"/>
                <w:kern w:val="0"/>
                <w:szCs w:val="21"/>
              </w:rPr>
              <w:t>德州科技职业学院</w:t>
            </w:r>
          </w:p>
        </w:tc>
        <w:tc>
          <w:tcPr>
            <w:tcW w:w="1968" w:type="dxa"/>
            <w:tcMar>
              <w:top w:w="0" w:type="dxa"/>
              <w:left w:w="108" w:type="dxa"/>
              <w:bottom w:w="0" w:type="dxa"/>
              <w:right w:w="108" w:type="dxa"/>
            </w:tcMar>
            <w:vAlign w:val="center"/>
          </w:tcPr>
          <w:p w14:paraId="67A82768">
            <w:pPr>
              <w:widowControl/>
              <w:jc w:val="center"/>
              <w:rPr>
                <w:rFonts w:hint="eastAsia" w:ascii="宋体" w:cs="宋体"/>
                <w:color w:val="000000"/>
                <w:kern w:val="0"/>
                <w:szCs w:val="21"/>
              </w:rPr>
            </w:pPr>
            <w:r>
              <w:rPr>
                <w:rFonts w:hint="eastAsia" w:ascii="宋体" w:cs="宋体"/>
                <w:color w:val="000000"/>
                <w:kern w:val="0"/>
                <w:szCs w:val="21"/>
              </w:rPr>
              <w:t>教师</w:t>
            </w:r>
          </w:p>
        </w:tc>
      </w:tr>
      <w:tr w14:paraId="48C02C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14:paraId="7FB0E941">
            <w:pPr>
              <w:widowControl/>
              <w:jc w:val="center"/>
              <w:rPr>
                <w:rFonts w:hint="eastAsia" w:ascii="宋体" w:eastAsia="宋体" w:cs="宋体"/>
                <w:color w:val="000000"/>
                <w:kern w:val="0"/>
                <w:szCs w:val="21"/>
                <w:lang w:eastAsia="zh-CN"/>
              </w:rPr>
            </w:pPr>
            <w:r>
              <w:rPr>
                <w:rFonts w:hint="eastAsia" w:ascii="宋体" w:cs="宋体"/>
                <w:color w:val="000000"/>
                <w:kern w:val="0"/>
                <w:szCs w:val="21"/>
                <w:lang w:val="en-US" w:eastAsia="zh-CN"/>
              </w:rPr>
              <w:t>9</w:t>
            </w:r>
          </w:p>
        </w:tc>
        <w:tc>
          <w:tcPr>
            <w:tcW w:w="1461" w:type="dxa"/>
            <w:tcMar>
              <w:top w:w="0" w:type="dxa"/>
              <w:left w:w="108" w:type="dxa"/>
              <w:bottom w:w="0" w:type="dxa"/>
              <w:right w:w="108" w:type="dxa"/>
            </w:tcMar>
            <w:vAlign w:val="center"/>
          </w:tcPr>
          <w:p w14:paraId="24AAAA27">
            <w:pPr>
              <w:pStyle w:val="2"/>
              <w:widowControl/>
              <w:ind w:left="0" w:leftChars="0" w:firstLine="0" w:firstLineChars="0"/>
              <w:jc w:val="both"/>
              <w:rPr>
                <w:rFonts w:hint="eastAsia" w:ascii="宋体" w:cs="宋体"/>
                <w:color w:val="000000"/>
                <w:kern w:val="0"/>
                <w:szCs w:val="21"/>
              </w:rPr>
            </w:pPr>
            <w:r>
              <w:rPr>
                <w:rFonts w:hint="eastAsia"/>
                <w:lang w:val="en-US"/>
              </w:rPr>
              <w:t>叶银水</w:t>
            </w:r>
          </w:p>
        </w:tc>
        <w:tc>
          <w:tcPr>
            <w:tcW w:w="967" w:type="dxa"/>
            <w:tcMar>
              <w:top w:w="0" w:type="dxa"/>
              <w:left w:w="108" w:type="dxa"/>
              <w:bottom w:w="0" w:type="dxa"/>
              <w:right w:w="108" w:type="dxa"/>
            </w:tcMar>
            <w:vAlign w:val="center"/>
          </w:tcPr>
          <w:p w14:paraId="64C33EF9">
            <w:pPr>
              <w:pStyle w:val="2"/>
              <w:widowControl/>
              <w:ind w:firstLine="420" w:firstLineChars="200"/>
              <w:jc w:val="center"/>
              <w:rPr>
                <w:rFonts w:hint="eastAsia" w:ascii="宋体" w:cs="宋体"/>
                <w:color w:val="000000"/>
                <w:kern w:val="0"/>
                <w:szCs w:val="21"/>
              </w:rPr>
            </w:pPr>
          </w:p>
        </w:tc>
        <w:tc>
          <w:tcPr>
            <w:tcW w:w="1358" w:type="dxa"/>
            <w:tcMar>
              <w:top w:w="0" w:type="dxa"/>
              <w:left w:w="108" w:type="dxa"/>
              <w:bottom w:w="0" w:type="dxa"/>
              <w:right w:w="108" w:type="dxa"/>
            </w:tcMar>
            <w:vAlign w:val="center"/>
          </w:tcPr>
          <w:p w14:paraId="2B17B872">
            <w:pPr>
              <w:jc w:val="center"/>
              <w:rPr>
                <w:rFonts w:hint="eastAsia"/>
              </w:rPr>
            </w:pPr>
            <w:r>
              <w:rPr>
                <w:rFonts w:hint="eastAsia" w:ascii="宋体" w:cs="宋体"/>
                <w:color w:val="000000"/>
                <w:kern w:val="0"/>
                <w:szCs w:val="21"/>
              </w:rPr>
              <w:t>委员</w:t>
            </w:r>
          </w:p>
        </w:tc>
        <w:tc>
          <w:tcPr>
            <w:tcW w:w="2467" w:type="dxa"/>
            <w:tcMar>
              <w:top w:w="0" w:type="dxa"/>
              <w:left w:w="108" w:type="dxa"/>
              <w:bottom w:w="0" w:type="dxa"/>
              <w:right w:w="108" w:type="dxa"/>
            </w:tcMar>
            <w:vAlign w:val="center"/>
          </w:tcPr>
          <w:p w14:paraId="7CFE8781">
            <w:pPr>
              <w:widowControl/>
              <w:jc w:val="center"/>
              <w:rPr>
                <w:rFonts w:hint="eastAsia" w:ascii="宋体" w:cs="宋体"/>
                <w:color w:val="000000"/>
                <w:kern w:val="0"/>
                <w:szCs w:val="21"/>
              </w:rPr>
            </w:pPr>
            <w:r>
              <w:rPr>
                <w:rFonts w:hint="eastAsia"/>
                <w:lang w:val="en-US"/>
              </w:rPr>
              <w:t>山东聚学信息科技有限公司</w:t>
            </w:r>
          </w:p>
        </w:tc>
        <w:tc>
          <w:tcPr>
            <w:tcW w:w="1968" w:type="dxa"/>
            <w:tcMar>
              <w:top w:w="0" w:type="dxa"/>
              <w:left w:w="108" w:type="dxa"/>
              <w:bottom w:w="0" w:type="dxa"/>
              <w:right w:w="108" w:type="dxa"/>
            </w:tcMar>
            <w:vAlign w:val="center"/>
          </w:tcPr>
          <w:p w14:paraId="6F5D4734">
            <w:pPr>
              <w:widowControl/>
              <w:jc w:val="center"/>
              <w:rPr>
                <w:rFonts w:hint="eastAsia" w:ascii="宋体" w:eastAsia="宋体" w:cs="宋体"/>
                <w:color w:val="000000"/>
                <w:kern w:val="0"/>
                <w:szCs w:val="21"/>
                <w:lang w:eastAsia="zh-CN"/>
              </w:rPr>
            </w:pPr>
            <w:r>
              <w:rPr>
                <w:rFonts w:hint="eastAsia" w:ascii="宋体" w:cs="宋体"/>
                <w:color w:val="000000"/>
                <w:kern w:val="0"/>
                <w:szCs w:val="21"/>
                <w:lang w:val="en-US" w:eastAsia="zh-CN"/>
              </w:rPr>
              <w:t>经理</w:t>
            </w:r>
          </w:p>
        </w:tc>
      </w:tr>
      <w:tr w14:paraId="722032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14:paraId="2FB44229">
            <w:pPr>
              <w:widowControl/>
              <w:jc w:val="center"/>
              <w:rPr>
                <w:rFonts w:hint="default" w:ascii="宋体" w:eastAsia="宋体" w:cs="宋体"/>
                <w:color w:val="000000"/>
                <w:kern w:val="0"/>
                <w:szCs w:val="21"/>
                <w:lang w:val="en-US" w:eastAsia="zh-CN"/>
              </w:rPr>
            </w:pPr>
            <w:r>
              <w:rPr>
                <w:rFonts w:hint="eastAsia" w:ascii="宋体" w:cs="宋体"/>
                <w:color w:val="000000"/>
                <w:kern w:val="0"/>
                <w:szCs w:val="21"/>
                <w:lang w:val="en-US" w:eastAsia="zh-CN"/>
              </w:rPr>
              <w:t>10</w:t>
            </w:r>
          </w:p>
        </w:tc>
        <w:tc>
          <w:tcPr>
            <w:tcW w:w="1461" w:type="dxa"/>
            <w:tcMar>
              <w:top w:w="0" w:type="dxa"/>
              <w:left w:w="108" w:type="dxa"/>
              <w:bottom w:w="0" w:type="dxa"/>
              <w:right w:w="108" w:type="dxa"/>
            </w:tcMar>
            <w:vAlign w:val="center"/>
          </w:tcPr>
          <w:p w14:paraId="18A3ED72">
            <w:pPr>
              <w:pStyle w:val="2"/>
              <w:widowControl/>
              <w:ind w:left="0" w:leftChars="0" w:firstLine="0" w:firstLineChars="0"/>
              <w:jc w:val="both"/>
              <w:rPr>
                <w:rFonts w:hint="eastAsia" w:ascii="宋体" w:cs="宋体"/>
                <w:color w:val="000000"/>
                <w:kern w:val="0"/>
                <w:szCs w:val="21"/>
              </w:rPr>
            </w:pPr>
            <w:r>
              <w:rPr>
                <w:rFonts w:hint="eastAsia"/>
                <w:lang w:val="en-US"/>
              </w:rPr>
              <w:t>兰海强</w:t>
            </w:r>
          </w:p>
        </w:tc>
        <w:tc>
          <w:tcPr>
            <w:tcW w:w="967" w:type="dxa"/>
            <w:tcMar>
              <w:top w:w="0" w:type="dxa"/>
              <w:left w:w="108" w:type="dxa"/>
              <w:bottom w:w="0" w:type="dxa"/>
              <w:right w:w="108" w:type="dxa"/>
            </w:tcMar>
            <w:vAlign w:val="center"/>
          </w:tcPr>
          <w:p w14:paraId="15B9084D">
            <w:pPr>
              <w:pStyle w:val="2"/>
              <w:widowControl/>
              <w:ind w:firstLine="420" w:firstLineChars="200"/>
              <w:jc w:val="center"/>
              <w:rPr>
                <w:rFonts w:hint="eastAsia" w:ascii="宋体" w:cs="宋体"/>
                <w:color w:val="000000"/>
                <w:kern w:val="0"/>
                <w:szCs w:val="21"/>
              </w:rPr>
            </w:pPr>
          </w:p>
        </w:tc>
        <w:tc>
          <w:tcPr>
            <w:tcW w:w="1358" w:type="dxa"/>
            <w:tcMar>
              <w:top w:w="0" w:type="dxa"/>
              <w:left w:w="108" w:type="dxa"/>
              <w:bottom w:w="0" w:type="dxa"/>
              <w:right w:w="108" w:type="dxa"/>
            </w:tcMar>
            <w:vAlign w:val="center"/>
          </w:tcPr>
          <w:p w14:paraId="783D44CD">
            <w:pPr>
              <w:jc w:val="center"/>
              <w:rPr>
                <w:rFonts w:hint="eastAsia"/>
              </w:rPr>
            </w:pPr>
            <w:r>
              <w:rPr>
                <w:rFonts w:hint="eastAsia" w:ascii="宋体" w:cs="宋体"/>
                <w:color w:val="000000"/>
                <w:kern w:val="0"/>
                <w:szCs w:val="21"/>
              </w:rPr>
              <w:t>委员</w:t>
            </w:r>
          </w:p>
        </w:tc>
        <w:tc>
          <w:tcPr>
            <w:tcW w:w="2467" w:type="dxa"/>
            <w:tcMar>
              <w:top w:w="0" w:type="dxa"/>
              <w:left w:w="108" w:type="dxa"/>
              <w:bottom w:w="0" w:type="dxa"/>
              <w:right w:w="108" w:type="dxa"/>
            </w:tcMar>
            <w:vAlign w:val="center"/>
          </w:tcPr>
          <w:p w14:paraId="78C4F8C6">
            <w:pPr>
              <w:widowControl/>
              <w:jc w:val="center"/>
              <w:rPr>
                <w:rFonts w:hint="eastAsia" w:ascii="宋体" w:cs="宋体"/>
                <w:color w:val="000000"/>
                <w:kern w:val="0"/>
                <w:szCs w:val="21"/>
              </w:rPr>
            </w:pPr>
            <w:r>
              <w:rPr>
                <w:rFonts w:hint="eastAsia"/>
                <w:lang w:val="en-US"/>
              </w:rPr>
              <w:t>中国邮政速递物流有限公司</w:t>
            </w:r>
          </w:p>
        </w:tc>
        <w:tc>
          <w:tcPr>
            <w:tcW w:w="1968" w:type="dxa"/>
            <w:tcMar>
              <w:top w:w="0" w:type="dxa"/>
              <w:left w:w="108" w:type="dxa"/>
              <w:bottom w:w="0" w:type="dxa"/>
              <w:right w:w="108" w:type="dxa"/>
            </w:tcMar>
            <w:vAlign w:val="center"/>
          </w:tcPr>
          <w:p w14:paraId="67C06B1F">
            <w:pPr>
              <w:jc w:val="center"/>
              <w:rPr>
                <w:rFonts w:hint="eastAsia" w:eastAsia="宋体"/>
                <w:lang w:eastAsia="zh-CN"/>
              </w:rPr>
            </w:pPr>
            <w:r>
              <w:rPr>
                <w:rFonts w:hint="eastAsia" w:ascii="宋体" w:cs="宋体"/>
                <w:color w:val="000000"/>
                <w:kern w:val="0"/>
                <w:szCs w:val="21"/>
                <w:lang w:val="en-US" w:eastAsia="zh-CN"/>
              </w:rPr>
              <w:t>经理</w:t>
            </w:r>
          </w:p>
        </w:tc>
      </w:tr>
      <w:tr w14:paraId="29D0EA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44" w:hRule="atLeast"/>
          <w:jc w:val="center"/>
        </w:trPr>
        <w:tc>
          <w:tcPr>
            <w:tcW w:w="755" w:type="dxa"/>
            <w:tcMar>
              <w:top w:w="0" w:type="dxa"/>
              <w:left w:w="108" w:type="dxa"/>
              <w:bottom w:w="0" w:type="dxa"/>
              <w:right w:w="108" w:type="dxa"/>
            </w:tcMar>
            <w:vAlign w:val="center"/>
          </w:tcPr>
          <w:p w14:paraId="2833220F">
            <w:pPr>
              <w:widowControl/>
              <w:jc w:val="center"/>
              <w:rPr>
                <w:rFonts w:hint="default" w:ascii="宋体" w:eastAsia="宋体" w:cs="宋体"/>
                <w:color w:val="000000"/>
                <w:kern w:val="0"/>
                <w:szCs w:val="21"/>
                <w:lang w:val="en-US" w:eastAsia="zh-CN"/>
              </w:rPr>
            </w:pPr>
            <w:r>
              <w:rPr>
                <w:rFonts w:hint="eastAsia" w:ascii="宋体" w:cs="宋体"/>
                <w:color w:val="000000"/>
                <w:kern w:val="0"/>
                <w:szCs w:val="21"/>
                <w:lang w:val="en-US" w:eastAsia="zh-CN"/>
              </w:rPr>
              <w:t>11</w:t>
            </w:r>
          </w:p>
        </w:tc>
        <w:tc>
          <w:tcPr>
            <w:tcW w:w="1461" w:type="dxa"/>
            <w:tcMar>
              <w:top w:w="0" w:type="dxa"/>
              <w:left w:w="108" w:type="dxa"/>
              <w:bottom w:w="0" w:type="dxa"/>
              <w:right w:w="108" w:type="dxa"/>
            </w:tcMar>
            <w:vAlign w:val="center"/>
          </w:tcPr>
          <w:p w14:paraId="051C23A0">
            <w:pPr>
              <w:pStyle w:val="2"/>
              <w:widowControl/>
              <w:ind w:left="0" w:leftChars="0" w:firstLine="0" w:firstLineChars="0"/>
              <w:jc w:val="both"/>
              <w:rPr>
                <w:rFonts w:hint="eastAsia" w:ascii="宋体" w:cs="宋体"/>
                <w:color w:val="000000"/>
                <w:kern w:val="0"/>
                <w:szCs w:val="21"/>
              </w:rPr>
            </w:pPr>
            <w:r>
              <w:rPr>
                <w:rFonts w:hint="eastAsia" w:ascii="宋体" w:hAnsi="Calibri" w:eastAsia="宋体" w:cs="宋体"/>
                <w:color w:val="000000"/>
                <w:kern w:val="0"/>
                <w:sz w:val="21"/>
                <w:szCs w:val="21"/>
                <w:lang w:val="en-US" w:eastAsia="zh-CN" w:bidi="ar-SA"/>
              </w:rPr>
              <w:t>修明征</w:t>
            </w:r>
          </w:p>
        </w:tc>
        <w:tc>
          <w:tcPr>
            <w:tcW w:w="967" w:type="dxa"/>
            <w:tcMar>
              <w:top w:w="0" w:type="dxa"/>
              <w:left w:w="108" w:type="dxa"/>
              <w:bottom w:w="0" w:type="dxa"/>
              <w:right w:w="108" w:type="dxa"/>
            </w:tcMar>
            <w:vAlign w:val="center"/>
          </w:tcPr>
          <w:p w14:paraId="2C710DA6">
            <w:pPr>
              <w:pStyle w:val="2"/>
              <w:widowControl/>
              <w:ind w:firstLine="420" w:firstLineChars="200"/>
              <w:jc w:val="center"/>
              <w:rPr>
                <w:rFonts w:hint="eastAsia" w:ascii="宋体" w:cs="宋体"/>
                <w:color w:val="000000"/>
                <w:kern w:val="0"/>
                <w:szCs w:val="21"/>
              </w:rPr>
            </w:pPr>
          </w:p>
        </w:tc>
        <w:tc>
          <w:tcPr>
            <w:tcW w:w="1358" w:type="dxa"/>
            <w:tcMar>
              <w:top w:w="0" w:type="dxa"/>
              <w:left w:w="108" w:type="dxa"/>
              <w:bottom w:w="0" w:type="dxa"/>
              <w:right w:w="108" w:type="dxa"/>
            </w:tcMar>
            <w:vAlign w:val="center"/>
          </w:tcPr>
          <w:p w14:paraId="19CEEE65">
            <w:pPr>
              <w:jc w:val="center"/>
              <w:rPr>
                <w:rFonts w:hint="eastAsia"/>
              </w:rPr>
            </w:pPr>
            <w:r>
              <w:rPr>
                <w:rFonts w:hint="eastAsia" w:ascii="宋体" w:cs="宋体"/>
                <w:color w:val="000000"/>
                <w:kern w:val="0"/>
                <w:szCs w:val="21"/>
              </w:rPr>
              <w:t>委员</w:t>
            </w:r>
          </w:p>
        </w:tc>
        <w:tc>
          <w:tcPr>
            <w:tcW w:w="2467" w:type="dxa"/>
            <w:tcMar>
              <w:top w:w="0" w:type="dxa"/>
              <w:left w:w="108" w:type="dxa"/>
              <w:bottom w:w="0" w:type="dxa"/>
              <w:right w:w="108" w:type="dxa"/>
            </w:tcMar>
            <w:vAlign w:val="center"/>
          </w:tcPr>
          <w:p w14:paraId="63ED013B">
            <w:pPr>
              <w:widowControl/>
              <w:jc w:val="center"/>
              <w:rPr>
                <w:rFonts w:hint="eastAsia" w:ascii="宋体" w:cs="宋体"/>
                <w:color w:val="000000"/>
                <w:kern w:val="0"/>
                <w:szCs w:val="21"/>
              </w:rPr>
            </w:pPr>
            <w:r>
              <w:rPr>
                <w:rFonts w:hint="eastAsia"/>
                <w:lang w:val="en-US"/>
              </w:rPr>
              <w:t>海阳市兄弟物流有限公司</w:t>
            </w:r>
          </w:p>
        </w:tc>
        <w:tc>
          <w:tcPr>
            <w:tcW w:w="1968" w:type="dxa"/>
            <w:tcMar>
              <w:top w:w="0" w:type="dxa"/>
              <w:left w:w="108" w:type="dxa"/>
              <w:bottom w:w="0" w:type="dxa"/>
              <w:right w:w="108" w:type="dxa"/>
            </w:tcMar>
            <w:vAlign w:val="center"/>
          </w:tcPr>
          <w:p w14:paraId="00DC9B9E">
            <w:pPr>
              <w:jc w:val="center"/>
              <w:rPr>
                <w:rFonts w:hint="eastAsia" w:eastAsia="宋体"/>
                <w:lang w:eastAsia="zh-CN"/>
              </w:rPr>
            </w:pPr>
            <w:r>
              <w:rPr>
                <w:rFonts w:hint="eastAsia" w:ascii="宋体" w:cs="宋体"/>
                <w:color w:val="000000"/>
                <w:kern w:val="0"/>
                <w:szCs w:val="21"/>
                <w:lang w:val="en-US" w:eastAsia="zh-CN"/>
              </w:rPr>
              <w:t>经理</w:t>
            </w:r>
          </w:p>
        </w:tc>
      </w:tr>
    </w:tbl>
    <w:p w14:paraId="5252E8DB">
      <w:pPr>
        <w:spacing w:line="360" w:lineRule="auto"/>
        <w:jc w:val="both"/>
        <w:rPr>
          <w:rFonts w:hint="eastAsia" w:ascii="宋体" w:hAnsi="宋体"/>
          <w:color w:val="000000"/>
          <w:sz w:val="28"/>
          <w:szCs w:val="28"/>
        </w:rPr>
      </w:pPr>
      <w:bookmarkStart w:id="116" w:name="_GoBack"/>
      <w:bookmarkEnd w:id="11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华文宋体">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79D72">
    <w:pPr>
      <w:pStyle w:val="16"/>
      <w:jc w:val="center"/>
    </w:pPr>
  </w:p>
  <w:p w14:paraId="5941D94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A7738">
    <w:pPr>
      <w:pStyle w:val="16"/>
      <w:jc w:val="center"/>
    </w:pPr>
  </w:p>
  <w:p w14:paraId="613B1912">
    <w:pPr>
      <w:pStyle w:val="16"/>
      <w:jc w:val="center"/>
    </w:pPr>
    <w:r>
      <w:fldChar w:fldCharType="begin"/>
    </w:r>
    <w:r>
      <w:instrText xml:space="preserve">PAGE   \* MERGEFORMAT</w:instrText>
    </w:r>
    <w:r>
      <w:fldChar w:fldCharType="separate"/>
    </w:r>
    <w:r>
      <w:rPr>
        <w:lang w:val="zh-CN"/>
      </w:rPr>
      <w:t>10</w:t>
    </w:r>
    <w:r>
      <w:rPr>
        <w:lang w:val="zh-CN"/>
      </w:rPr>
      <w:fldChar w:fldCharType="end"/>
    </w:r>
  </w:p>
  <w:p w14:paraId="017AF5D6"/>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B44815"/>
    <w:multiLevelType w:val="multilevel"/>
    <w:tmpl w:val="20B44815"/>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
    <w:nsid w:val="22E97654"/>
    <w:multiLevelType w:val="multilevel"/>
    <w:tmpl w:val="22E97654"/>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2">
    <w:nsid w:val="388E6091"/>
    <w:multiLevelType w:val="multilevel"/>
    <w:tmpl w:val="388E6091"/>
    <w:lvl w:ilvl="0" w:tentative="0">
      <w:start w:val="7"/>
      <w:numFmt w:val="decimal"/>
      <w:lvlText w:val="第"/>
      <w:lvlJc w:val="left"/>
      <w:pPr>
        <w:ind w:left="360" w:hanging="360"/>
      </w:pPr>
      <w:rPr>
        <w:rFonts w:hint="default" w:ascii="Times New Roman" w:hAnsi="Times New Roman"/>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E505138"/>
    <w:multiLevelType w:val="multilevel"/>
    <w:tmpl w:val="3E505138"/>
    <w:lvl w:ilvl="0" w:tentative="0">
      <w:start w:val="1"/>
      <w:numFmt w:val="decimal"/>
      <w:lvlText w:val="（%1）"/>
      <w:lvlJc w:val="left"/>
      <w:pPr>
        <w:ind w:left="1140" w:hanging="72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4">
    <w:nsid w:val="5C3701C3"/>
    <w:multiLevelType w:val="multilevel"/>
    <w:tmpl w:val="5C3701C3"/>
    <w:lvl w:ilvl="0" w:tentative="0">
      <w:start w:val="2"/>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liMWFjY2YxZjkxNWJmNTAxYjA5MzVkMTc0YjA2YWEifQ=="/>
  </w:docVars>
  <w:rsids>
    <w:rsidRoot w:val="00CF6CDA"/>
    <w:rsid w:val="000003C6"/>
    <w:rsid w:val="00000DFD"/>
    <w:rsid w:val="00006810"/>
    <w:rsid w:val="00010678"/>
    <w:rsid w:val="00013C71"/>
    <w:rsid w:val="000163B4"/>
    <w:rsid w:val="000220D7"/>
    <w:rsid w:val="00022F38"/>
    <w:rsid w:val="00025877"/>
    <w:rsid w:val="00031780"/>
    <w:rsid w:val="00035A77"/>
    <w:rsid w:val="00037B32"/>
    <w:rsid w:val="000431BB"/>
    <w:rsid w:val="0004379E"/>
    <w:rsid w:val="0004565E"/>
    <w:rsid w:val="000503AB"/>
    <w:rsid w:val="0005303A"/>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76FC"/>
    <w:rsid w:val="000A264C"/>
    <w:rsid w:val="000A2DC6"/>
    <w:rsid w:val="000B0368"/>
    <w:rsid w:val="000B1D85"/>
    <w:rsid w:val="000B5C4F"/>
    <w:rsid w:val="000B6DDB"/>
    <w:rsid w:val="000C1886"/>
    <w:rsid w:val="000C2055"/>
    <w:rsid w:val="000C2B14"/>
    <w:rsid w:val="000C32AE"/>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1784"/>
    <w:rsid w:val="00103363"/>
    <w:rsid w:val="0010712E"/>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2AF"/>
    <w:rsid w:val="00142312"/>
    <w:rsid w:val="00146224"/>
    <w:rsid w:val="0014701B"/>
    <w:rsid w:val="00147182"/>
    <w:rsid w:val="00151133"/>
    <w:rsid w:val="001529BA"/>
    <w:rsid w:val="001534CD"/>
    <w:rsid w:val="0015641D"/>
    <w:rsid w:val="00156D20"/>
    <w:rsid w:val="00157BC0"/>
    <w:rsid w:val="001613EC"/>
    <w:rsid w:val="00164C54"/>
    <w:rsid w:val="0016794B"/>
    <w:rsid w:val="00171DCA"/>
    <w:rsid w:val="00172032"/>
    <w:rsid w:val="00173444"/>
    <w:rsid w:val="00174503"/>
    <w:rsid w:val="00177B6D"/>
    <w:rsid w:val="00181DA6"/>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C1079"/>
    <w:rsid w:val="001C2BF3"/>
    <w:rsid w:val="001C7EAF"/>
    <w:rsid w:val="001C7FC6"/>
    <w:rsid w:val="001D23E3"/>
    <w:rsid w:val="001D3E54"/>
    <w:rsid w:val="001D6ED2"/>
    <w:rsid w:val="001D7DC3"/>
    <w:rsid w:val="001E26F5"/>
    <w:rsid w:val="001E4AD4"/>
    <w:rsid w:val="001F12AC"/>
    <w:rsid w:val="001F2185"/>
    <w:rsid w:val="001F3DDC"/>
    <w:rsid w:val="001F51C7"/>
    <w:rsid w:val="0020627A"/>
    <w:rsid w:val="00206495"/>
    <w:rsid w:val="00210083"/>
    <w:rsid w:val="00213A80"/>
    <w:rsid w:val="0022060F"/>
    <w:rsid w:val="00224655"/>
    <w:rsid w:val="002271C5"/>
    <w:rsid w:val="00235930"/>
    <w:rsid w:val="00237BA9"/>
    <w:rsid w:val="0024216D"/>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857C1"/>
    <w:rsid w:val="002901A7"/>
    <w:rsid w:val="0029054C"/>
    <w:rsid w:val="002911B4"/>
    <w:rsid w:val="00293065"/>
    <w:rsid w:val="002964DB"/>
    <w:rsid w:val="00297A3B"/>
    <w:rsid w:val="002A182D"/>
    <w:rsid w:val="002A4EAA"/>
    <w:rsid w:val="002A66CC"/>
    <w:rsid w:val="002A7824"/>
    <w:rsid w:val="002B0108"/>
    <w:rsid w:val="002B4F5E"/>
    <w:rsid w:val="002B6E7F"/>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0C2D"/>
    <w:rsid w:val="00316DF1"/>
    <w:rsid w:val="00321A64"/>
    <w:rsid w:val="00322C6C"/>
    <w:rsid w:val="00323A8A"/>
    <w:rsid w:val="00325673"/>
    <w:rsid w:val="00334BF6"/>
    <w:rsid w:val="00337783"/>
    <w:rsid w:val="00340A8B"/>
    <w:rsid w:val="0034437A"/>
    <w:rsid w:val="00346238"/>
    <w:rsid w:val="00346E99"/>
    <w:rsid w:val="00354CAA"/>
    <w:rsid w:val="003565F7"/>
    <w:rsid w:val="00356C60"/>
    <w:rsid w:val="00357363"/>
    <w:rsid w:val="00361F7B"/>
    <w:rsid w:val="00362180"/>
    <w:rsid w:val="003661F2"/>
    <w:rsid w:val="00367367"/>
    <w:rsid w:val="003702F7"/>
    <w:rsid w:val="003731C9"/>
    <w:rsid w:val="00373B68"/>
    <w:rsid w:val="00373D60"/>
    <w:rsid w:val="0037423A"/>
    <w:rsid w:val="00380A2A"/>
    <w:rsid w:val="003816AD"/>
    <w:rsid w:val="00390AA7"/>
    <w:rsid w:val="00391472"/>
    <w:rsid w:val="003920C9"/>
    <w:rsid w:val="0039540A"/>
    <w:rsid w:val="003A0B55"/>
    <w:rsid w:val="003A6716"/>
    <w:rsid w:val="003A7D7E"/>
    <w:rsid w:val="003B21A9"/>
    <w:rsid w:val="003B399B"/>
    <w:rsid w:val="003C1E99"/>
    <w:rsid w:val="003C59DE"/>
    <w:rsid w:val="003C75BE"/>
    <w:rsid w:val="003C76D3"/>
    <w:rsid w:val="003D6D09"/>
    <w:rsid w:val="003E0F1F"/>
    <w:rsid w:val="003E15C8"/>
    <w:rsid w:val="003E22A1"/>
    <w:rsid w:val="003E4949"/>
    <w:rsid w:val="003E657C"/>
    <w:rsid w:val="003F0436"/>
    <w:rsid w:val="003F0ABC"/>
    <w:rsid w:val="003F0EF9"/>
    <w:rsid w:val="003F266C"/>
    <w:rsid w:val="003F289B"/>
    <w:rsid w:val="003F374B"/>
    <w:rsid w:val="003F3A41"/>
    <w:rsid w:val="003F50F8"/>
    <w:rsid w:val="00402312"/>
    <w:rsid w:val="004025E4"/>
    <w:rsid w:val="004042BF"/>
    <w:rsid w:val="004045AE"/>
    <w:rsid w:val="0040638D"/>
    <w:rsid w:val="00406711"/>
    <w:rsid w:val="004070D4"/>
    <w:rsid w:val="004075D1"/>
    <w:rsid w:val="00410A4D"/>
    <w:rsid w:val="00410F83"/>
    <w:rsid w:val="004112B0"/>
    <w:rsid w:val="00412F1B"/>
    <w:rsid w:val="0041573A"/>
    <w:rsid w:val="004207BD"/>
    <w:rsid w:val="0042247D"/>
    <w:rsid w:val="00424E31"/>
    <w:rsid w:val="00426BE3"/>
    <w:rsid w:val="00430292"/>
    <w:rsid w:val="004306E7"/>
    <w:rsid w:val="00430C4E"/>
    <w:rsid w:val="0044201C"/>
    <w:rsid w:val="0044411A"/>
    <w:rsid w:val="00444330"/>
    <w:rsid w:val="00444A95"/>
    <w:rsid w:val="00445814"/>
    <w:rsid w:val="00445BDA"/>
    <w:rsid w:val="00445D93"/>
    <w:rsid w:val="00447860"/>
    <w:rsid w:val="0045467B"/>
    <w:rsid w:val="00454DBC"/>
    <w:rsid w:val="004565D9"/>
    <w:rsid w:val="00457814"/>
    <w:rsid w:val="004660D9"/>
    <w:rsid w:val="00466D24"/>
    <w:rsid w:val="00466E35"/>
    <w:rsid w:val="00470D5C"/>
    <w:rsid w:val="00481161"/>
    <w:rsid w:val="00484913"/>
    <w:rsid w:val="00484D99"/>
    <w:rsid w:val="004926D8"/>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C606F"/>
    <w:rsid w:val="004C673C"/>
    <w:rsid w:val="004D06D9"/>
    <w:rsid w:val="004D101D"/>
    <w:rsid w:val="004D6CEA"/>
    <w:rsid w:val="004E2668"/>
    <w:rsid w:val="004E6EF8"/>
    <w:rsid w:val="004E7EDA"/>
    <w:rsid w:val="004F1847"/>
    <w:rsid w:val="004F19DA"/>
    <w:rsid w:val="005017DE"/>
    <w:rsid w:val="00504F69"/>
    <w:rsid w:val="0050566A"/>
    <w:rsid w:val="00506D93"/>
    <w:rsid w:val="00512EDB"/>
    <w:rsid w:val="00513F60"/>
    <w:rsid w:val="00514ECC"/>
    <w:rsid w:val="00515824"/>
    <w:rsid w:val="0051762C"/>
    <w:rsid w:val="00517AA8"/>
    <w:rsid w:val="00517E4A"/>
    <w:rsid w:val="0052148E"/>
    <w:rsid w:val="0052165D"/>
    <w:rsid w:val="005216DB"/>
    <w:rsid w:val="00525DF9"/>
    <w:rsid w:val="00526B4A"/>
    <w:rsid w:val="005313C2"/>
    <w:rsid w:val="0053158D"/>
    <w:rsid w:val="00531740"/>
    <w:rsid w:val="00537D20"/>
    <w:rsid w:val="005464C9"/>
    <w:rsid w:val="00550EB3"/>
    <w:rsid w:val="005524A1"/>
    <w:rsid w:val="0055399F"/>
    <w:rsid w:val="005558BA"/>
    <w:rsid w:val="00557C91"/>
    <w:rsid w:val="005601EC"/>
    <w:rsid w:val="00563C56"/>
    <w:rsid w:val="005640E7"/>
    <w:rsid w:val="005715A3"/>
    <w:rsid w:val="005720E2"/>
    <w:rsid w:val="00577B27"/>
    <w:rsid w:val="00580423"/>
    <w:rsid w:val="00580810"/>
    <w:rsid w:val="0058093C"/>
    <w:rsid w:val="0058474C"/>
    <w:rsid w:val="00585C09"/>
    <w:rsid w:val="0059116E"/>
    <w:rsid w:val="005915F0"/>
    <w:rsid w:val="00591CE3"/>
    <w:rsid w:val="00594F35"/>
    <w:rsid w:val="00595287"/>
    <w:rsid w:val="00596F8B"/>
    <w:rsid w:val="00597371"/>
    <w:rsid w:val="005A0AEB"/>
    <w:rsid w:val="005A4BF7"/>
    <w:rsid w:val="005A4E1B"/>
    <w:rsid w:val="005A7514"/>
    <w:rsid w:val="005B4D36"/>
    <w:rsid w:val="005C2830"/>
    <w:rsid w:val="005C2AC0"/>
    <w:rsid w:val="005D19BE"/>
    <w:rsid w:val="005D1EEF"/>
    <w:rsid w:val="005D2ADE"/>
    <w:rsid w:val="005D42D4"/>
    <w:rsid w:val="005D5CCB"/>
    <w:rsid w:val="005D783D"/>
    <w:rsid w:val="005E1C63"/>
    <w:rsid w:val="005E23C0"/>
    <w:rsid w:val="005E2765"/>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1761"/>
    <w:rsid w:val="00651F8A"/>
    <w:rsid w:val="00654F07"/>
    <w:rsid w:val="00656676"/>
    <w:rsid w:val="0066058E"/>
    <w:rsid w:val="00660951"/>
    <w:rsid w:val="00660FB8"/>
    <w:rsid w:val="00663C2A"/>
    <w:rsid w:val="00670314"/>
    <w:rsid w:val="00675A54"/>
    <w:rsid w:val="006760CE"/>
    <w:rsid w:val="00681419"/>
    <w:rsid w:val="00684A67"/>
    <w:rsid w:val="00690DD2"/>
    <w:rsid w:val="006932E6"/>
    <w:rsid w:val="00694043"/>
    <w:rsid w:val="00694201"/>
    <w:rsid w:val="0069734B"/>
    <w:rsid w:val="006A03A6"/>
    <w:rsid w:val="006A15D3"/>
    <w:rsid w:val="006A1D77"/>
    <w:rsid w:val="006A3E54"/>
    <w:rsid w:val="006A502C"/>
    <w:rsid w:val="006B1B24"/>
    <w:rsid w:val="006B2744"/>
    <w:rsid w:val="006B3B0D"/>
    <w:rsid w:val="006B4CE9"/>
    <w:rsid w:val="006C180C"/>
    <w:rsid w:val="006C6A31"/>
    <w:rsid w:val="006D0106"/>
    <w:rsid w:val="006D2FA6"/>
    <w:rsid w:val="006D4D1C"/>
    <w:rsid w:val="006D4FA8"/>
    <w:rsid w:val="006D707E"/>
    <w:rsid w:val="006D714A"/>
    <w:rsid w:val="006D7192"/>
    <w:rsid w:val="006E07E7"/>
    <w:rsid w:val="006E08F1"/>
    <w:rsid w:val="006E468B"/>
    <w:rsid w:val="006E73C8"/>
    <w:rsid w:val="00702051"/>
    <w:rsid w:val="00704C85"/>
    <w:rsid w:val="00705CCD"/>
    <w:rsid w:val="00711CC6"/>
    <w:rsid w:val="00717342"/>
    <w:rsid w:val="0071792C"/>
    <w:rsid w:val="007250BF"/>
    <w:rsid w:val="007259B3"/>
    <w:rsid w:val="00733A89"/>
    <w:rsid w:val="007370A2"/>
    <w:rsid w:val="007372DA"/>
    <w:rsid w:val="007401EC"/>
    <w:rsid w:val="0074182A"/>
    <w:rsid w:val="00743DDA"/>
    <w:rsid w:val="00744545"/>
    <w:rsid w:val="00750668"/>
    <w:rsid w:val="007509D2"/>
    <w:rsid w:val="007529EA"/>
    <w:rsid w:val="00753156"/>
    <w:rsid w:val="00754939"/>
    <w:rsid w:val="007579A7"/>
    <w:rsid w:val="00767206"/>
    <w:rsid w:val="00771F82"/>
    <w:rsid w:val="00773418"/>
    <w:rsid w:val="00773B73"/>
    <w:rsid w:val="00773D6C"/>
    <w:rsid w:val="00774687"/>
    <w:rsid w:val="00774FDE"/>
    <w:rsid w:val="00775A68"/>
    <w:rsid w:val="00776203"/>
    <w:rsid w:val="007765A9"/>
    <w:rsid w:val="00781625"/>
    <w:rsid w:val="00785C8F"/>
    <w:rsid w:val="00786086"/>
    <w:rsid w:val="00791164"/>
    <w:rsid w:val="007915FE"/>
    <w:rsid w:val="0079699D"/>
    <w:rsid w:val="00796C89"/>
    <w:rsid w:val="00797262"/>
    <w:rsid w:val="007A0612"/>
    <w:rsid w:val="007A17A0"/>
    <w:rsid w:val="007A220B"/>
    <w:rsid w:val="007A2EC7"/>
    <w:rsid w:val="007A31A6"/>
    <w:rsid w:val="007A3EA9"/>
    <w:rsid w:val="007B3DA3"/>
    <w:rsid w:val="007B42B1"/>
    <w:rsid w:val="007C0759"/>
    <w:rsid w:val="007C273F"/>
    <w:rsid w:val="007C2C5F"/>
    <w:rsid w:val="007C44EE"/>
    <w:rsid w:val="007D31A5"/>
    <w:rsid w:val="007D3AEE"/>
    <w:rsid w:val="007D3FDF"/>
    <w:rsid w:val="007D4D2A"/>
    <w:rsid w:val="007D4FAF"/>
    <w:rsid w:val="007D5983"/>
    <w:rsid w:val="007D61BB"/>
    <w:rsid w:val="007E4772"/>
    <w:rsid w:val="007E6FEA"/>
    <w:rsid w:val="007E7623"/>
    <w:rsid w:val="007E7F98"/>
    <w:rsid w:val="007F45FB"/>
    <w:rsid w:val="008025E7"/>
    <w:rsid w:val="00812A93"/>
    <w:rsid w:val="00816F0D"/>
    <w:rsid w:val="00822965"/>
    <w:rsid w:val="008269CB"/>
    <w:rsid w:val="008317FF"/>
    <w:rsid w:val="008362F5"/>
    <w:rsid w:val="00841258"/>
    <w:rsid w:val="00842BEB"/>
    <w:rsid w:val="00844E0C"/>
    <w:rsid w:val="008453FA"/>
    <w:rsid w:val="00845B32"/>
    <w:rsid w:val="008471CA"/>
    <w:rsid w:val="00852A5A"/>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78"/>
    <w:rsid w:val="00883993"/>
    <w:rsid w:val="00886B78"/>
    <w:rsid w:val="00887335"/>
    <w:rsid w:val="0089309F"/>
    <w:rsid w:val="008933E2"/>
    <w:rsid w:val="00893968"/>
    <w:rsid w:val="008948F4"/>
    <w:rsid w:val="00897460"/>
    <w:rsid w:val="008A029A"/>
    <w:rsid w:val="008A180F"/>
    <w:rsid w:val="008A1B62"/>
    <w:rsid w:val="008A2E4D"/>
    <w:rsid w:val="008A6972"/>
    <w:rsid w:val="008A7911"/>
    <w:rsid w:val="008B344B"/>
    <w:rsid w:val="008B7B30"/>
    <w:rsid w:val="008C0E9E"/>
    <w:rsid w:val="008C16EE"/>
    <w:rsid w:val="008C277F"/>
    <w:rsid w:val="008C288B"/>
    <w:rsid w:val="008C4766"/>
    <w:rsid w:val="008C5562"/>
    <w:rsid w:val="008D043B"/>
    <w:rsid w:val="008D0E9C"/>
    <w:rsid w:val="008D20C3"/>
    <w:rsid w:val="008D2E0A"/>
    <w:rsid w:val="008D3E1D"/>
    <w:rsid w:val="008D53BF"/>
    <w:rsid w:val="008E01F1"/>
    <w:rsid w:val="008E13B2"/>
    <w:rsid w:val="008E2946"/>
    <w:rsid w:val="008F049C"/>
    <w:rsid w:val="008F0AE7"/>
    <w:rsid w:val="008F1A40"/>
    <w:rsid w:val="008F3D4A"/>
    <w:rsid w:val="008F4557"/>
    <w:rsid w:val="008F61C7"/>
    <w:rsid w:val="008F6828"/>
    <w:rsid w:val="00902E26"/>
    <w:rsid w:val="009034A4"/>
    <w:rsid w:val="00905DDD"/>
    <w:rsid w:val="00906DF0"/>
    <w:rsid w:val="00911F63"/>
    <w:rsid w:val="00912604"/>
    <w:rsid w:val="0091365D"/>
    <w:rsid w:val="00915B00"/>
    <w:rsid w:val="00916A1E"/>
    <w:rsid w:val="009174E8"/>
    <w:rsid w:val="00921748"/>
    <w:rsid w:val="00925333"/>
    <w:rsid w:val="0092685F"/>
    <w:rsid w:val="0093131B"/>
    <w:rsid w:val="009313B4"/>
    <w:rsid w:val="00931E9F"/>
    <w:rsid w:val="0093219E"/>
    <w:rsid w:val="00932BA2"/>
    <w:rsid w:val="00936CFF"/>
    <w:rsid w:val="009433AC"/>
    <w:rsid w:val="00943918"/>
    <w:rsid w:val="009474E2"/>
    <w:rsid w:val="009526E3"/>
    <w:rsid w:val="00962A95"/>
    <w:rsid w:val="00971A4A"/>
    <w:rsid w:val="00972E32"/>
    <w:rsid w:val="009749CD"/>
    <w:rsid w:val="0097697B"/>
    <w:rsid w:val="0098151C"/>
    <w:rsid w:val="0098166A"/>
    <w:rsid w:val="00990BEE"/>
    <w:rsid w:val="009919DE"/>
    <w:rsid w:val="00993989"/>
    <w:rsid w:val="00993ED2"/>
    <w:rsid w:val="0099534D"/>
    <w:rsid w:val="009A0A70"/>
    <w:rsid w:val="009A2228"/>
    <w:rsid w:val="009A265C"/>
    <w:rsid w:val="009B1EDB"/>
    <w:rsid w:val="009B2016"/>
    <w:rsid w:val="009B47E1"/>
    <w:rsid w:val="009C3635"/>
    <w:rsid w:val="009C54AB"/>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250D"/>
    <w:rsid w:val="009F73BE"/>
    <w:rsid w:val="009F7CBB"/>
    <w:rsid w:val="00A00516"/>
    <w:rsid w:val="00A07DC0"/>
    <w:rsid w:val="00A10138"/>
    <w:rsid w:val="00A11FF9"/>
    <w:rsid w:val="00A2373F"/>
    <w:rsid w:val="00A2786B"/>
    <w:rsid w:val="00A327A8"/>
    <w:rsid w:val="00A40CD3"/>
    <w:rsid w:val="00A44228"/>
    <w:rsid w:val="00A46506"/>
    <w:rsid w:val="00A46A93"/>
    <w:rsid w:val="00A51AC7"/>
    <w:rsid w:val="00A54EB4"/>
    <w:rsid w:val="00A66F92"/>
    <w:rsid w:val="00A706F2"/>
    <w:rsid w:val="00A71B37"/>
    <w:rsid w:val="00A731F8"/>
    <w:rsid w:val="00A7373B"/>
    <w:rsid w:val="00A7400C"/>
    <w:rsid w:val="00A803AB"/>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16D5D"/>
    <w:rsid w:val="00B176BB"/>
    <w:rsid w:val="00B21121"/>
    <w:rsid w:val="00B21FEA"/>
    <w:rsid w:val="00B22214"/>
    <w:rsid w:val="00B24864"/>
    <w:rsid w:val="00B24B7D"/>
    <w:rsid w:val="00B27D9A"/>
    <w:rsid w:val="00B309BB"/>
    <w:rsid w:val="00B34011"/>
    <w:rsid w:val="00B43B69"/>
    <w:rsid w:val="00B55AF1"/>
    <w:rsid w:val="00B561DD"/>
    <w:rsid w:val="00B56252"/>
    <w:rsid w:val="00B606DF"/>
    <w:rsid w:val="00B624BA"/>
    <w:rsid w:val="00B636BD"/>
    <w:rsid w:val="00B70281"/>
    <w:rsid w:val="00B73C45"/>
    <w:rsid w:val="00B73F2B"/>
    <w:rsid w:val="00B74618"/>
    <w:rsid w:val="00B76757"/>
    <w:rsid w:val="00B776EF"/>
    <w:rsid w:val="00B77878"/>
    <w:rsid w:val="00B801BE"/>
    <w:rsid w:val="00B815DB"/>
    <w:rsid w:val="00B81A18"/>
    <w:rsid w:val="00B8252E"/>
    <w:rsid w:val="00B82927"/>
    <w:rsid w:val="00B84B2A"/>
    <w:rsid w:val="00B852CC"/>
    <w:rsid w:val="00B85C51"/>
    <w:rsid w:val="00B9318E"/>
    <w:rsid w:val="00B9354E"/>
    <w:rsid w:val="00B9425E"/>
    <w:rsid w:val="00BA0710"/>
    <w:rsid w:val="00BA0A51"/>
    <w:rsid w:val="00BA3660"/>
    <w:rsid w:val="00BA38F1"/>
    <w:rsid w:val="00BA3C6F"/>
    <w:rsid w:val="00BA47AE"/>
    <w:rsid w:val="00BB1FB6"/>
    <w:rsid w:val="00BC0DAE"/>
    <w:rsid w:val="00BC551F"/>
    <w:rsid w:val="00BC6DB3"/>
    <w:rsid w:val="00BD0BBC"/>
    <w:rsid w:val="00BD3BEF"/>
    <w:rsid w:val="00BD7DB9"/>
    <w:rsid w:val="00BE0940"/>
    <w:rsid w:val="00BF02CB"/>
    <w:rsid w:val="00BF1B79"/>
    <w:rsid w:val="00BF2B8D"/>
    <w:rsid w:val="00BF6A59"/>
    <w:rsid w:val="00C037C6"/>
    <w:rsid w:val="00C058AC"/>
    <w:rsid w:val="00C07A40"/>
    <w:rsid w:val="00C15B53"/>
    <w:rsid w:val="00C161C3"/>
    <w:rsid w:val="00C21D71"/>
    <w:rsid w:val="00C2204E"/>
    <w:rsid w:val="00C25621"/>
    <w:rsid w:val="00C32F03"/>
    <w:rsid w:val="00C36345"/>
    <w:rsid w:val="00C40E90"/>
    <w:rsid w:val="00C42F0D"/>
    <w:rsid w:val="00C430D8"/>
    <w:rsid w:val="00C43714"/>
    <w:rsid w:val="00C44CBD"/>
    <w:rsid w:val="00C4504A"/>
    <w:rsid w:val="00C45920"/>
    <w:rsid w:val="00C47215"/>
    <w:rsid w:val="00C52E18"/>
    <w:rsid w:val="00C562D9"/>
    <w:rsid w:val="00C564B7"/>
    <w:rsid w:val="00C636EE"/>
    <w:rsid w:val="00C65BF5"/>
    <w:rsid w:val="00C66A33"/>
    <w:rsid w:val="00C678B6"/>
    <w:rsid w:val="00C721FA"/>
    <w:rsid w:val="00C722E4"/>
    <w:rsid w:val="00C746A5"/>
    <w:rsid w:val="00C748A5"/>
    <w:rsid w:val="00C76FDE"/>
    <w:rsid w:val="00C809B4"/>
    <w:rsid w:val="00C863B8"/>
    <w:rsid w:val="00C96EA5"/>
    <w:rsid w:val="00C970DB"/>
    <w:rsid w:val="00CA03C5"/>
    <w:rsid w:val="00CA312D"/>
    <w:rsid w:val="00CA37D9"/>
    <w:rsid w:val="00CA3B4B"/>
    <w:rsid w:val="00CA677C"/>
    <w:rsid w:val="00CB2F45"/>
    <w:rsid w:val="00CB4249"/>
    <w:rsid w:val="00CB6FFC"/>
    <w:rsid w:val="00CC2CC8"/>
    <w:rsid w:val="00CC5DE9"/>
    <w:rsid w:val="00CD0493"/>
    <w:rsid w:val="00CD0DC4"/>
    <w:rsid w:val="00CD16EE"/>
    <w:rsid w:val="00CD2A5A"/>
    <w:rsid w:val="00CD3B76"/>
    <w:rsid w:val="00CD470D"/>
    <w:rsid w:val="00CD6139"/>
    <w:rsid w:val="00CD7C92"/>
    <w:rsid w:val="00CE0A1E"/>
    <w:rsid w:val="00CE62BD"/>
    <w:rsid w:val="00CE63AE"/>
    <w:rsid w:val="00CE718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30E52"/>
    <w:rsid w:val="00D42C8C"/>
    <w:rsid w:val="00D45842"/>
    <w:rsid w:val="00D4584E"/>
    <w:rsid w:val="00D4611E"/>
    <w:rsid w:val="00D50B8C"/>
    <w:rsid w:val="00D50E05"/>
    <w:rsid w:val="00D550E1"/>
    <w:rsid w:val="00D550E6"/>
    <w:rsid w:val="00D567F7"/>
    <w:rsid w:val="00D57BA7"/>
    <w:rsid w:val="00D6251C"/>
    <w:rsid w:val="00D65CE1"/>
    <w:rsid w:val="00D669DE"/>
    <w:rsid w:val="00D70A8F"/>
    <w:rsid w:val="00D76206"/>
    <w:rsid w:val="00D7722D"/>
    <w:rsid w:val="00D814EC"/>
    <w:rsid w:val="00D82C29"/>
    <w:rsid w:val="00D858E9"/>
    <w:rsid w:val="00D91308"/>
    <w:rsid w:val="00D94627"/>
    <w:rsid w:val="00DB3D83"/>
    <w:rsid w:val="00DC2CB1"/>
    <w:rsid w:val="00DC6BB2"/>
    <w:rsid w:val="00DD22BE"/>
    <w:rsid w:val="00DD30E5"/>
    <w:rsid w:val="00DD3810"/>
    <w:rsid w:val="00DD512F"/>
    <w:rsid w:val="00DE0ED7"/>
    <w:rsid w:val="00DE2F57"/>
    <w:rsid w:val="00DE6816"/>
    <w:rsid w:val="00DE7E91"/>
    <w:rsid w:val="00DF01AC"/>
    <w:rsid w:val="00DF0EBD"/>
    <w:rsid w:val="00DF1A2C"/>
    <w:rsid w:val="00DF2B7E"/>
    <w:rsid w:val="00DF3DBF"/>
    <w:rsid w:val="00DF58D8"/>
    <w:rsid w:val="00E03C11"/>
    <w:rsid w:val="00E07C91"/>
    <w:rsid w:val="00E12534"/>
    <w:rsid w:val="00E1619A"/>
    <w:rsid w:val="00E2067D"/>
    <w:rsid w:val="00E22D5C"/>
    <w:rsid w:val="00E23BD3"/>
    <w:rsid w:val="00E3117D"/>
    <w:rsid w:val="00E36692"/>
    <w:rsid w:val="00E366DE"/>
    <w:rsid w:val="00E36C45"/>
    <w:rsid w:val="00E36C7A"/>
    <w:rsid w:val="00E44090"/>
    <w:rsid w:val="00E464F0"/>
    <w:rsid w:val="00E47AA7"/>
    <w:rsid w:val="00E71B9A"/>
    <w:rsid w:val="00E75079"/>
    <w:rsid w:val="00E75F69"/>
    <w:rsid w:val="00E80D25"/>
    <w:rsid w:val="00E8248C"/>
    <w:rsid w:val="00E824EB"/>
    <w:rsid w:val="00E83327"/>
    <w:rsid w:val="00E84B9B"/>
    <w:rsid w:val="00E86A41"/>
    <w:rsid w:val="00E86F9E"/>
    <w:rsid w:val="00E91E51"/>
    <w:rsid w:val="00E921BF"/>
    <w:rsid w:val="00E9481D"/>
    <w:rsid w:val="00E952D4"/>
    <w:rsid w:val="00E96BC6"/>
    <w:rsid w:val="00EA0119"/>
    <w:rsid w:val="00EA1377"/>
    <w:rsid w:val="00EA1511"/>
    <w:rsid w:val="00EA36B2"/>
    <w:rsid w:val="00EB2419"/>
    <w:rsid w:val="00EC012B"/>
    <w:rsid w:val="00EC2B76"/>
    <w:rsid w:val="00EC51AA"/>
    <w:rsid w:val="00ED2628"/>
    <w:rsid w:val="00ED299F"/>
    <w:rsid w:val="00ED305E"/>
    <w:rsid w:val="00ED4928"/>
    <w:rsid w:val="00EE01B0"/>
    <w:rsid w:val="00EE14FC"/>
    <w:rsid w:val="00EE4D52"/>
    <w:rsid w:val="00EE61FE"/>
    <w:rsid w:val="00EE726F"/>
    <w:rsid w:val="00EF1B21"/>
    <w:rsid w:val="00EF25C1"/>
    <w:rsid w:val="00EF7AB3"/>
    <w:rsid w:val="00F0045B"/>
    <w:rsid w:val="00F03B93"/>
    <w:rsid w:val="00F12334"/>
    <w:rsid w:val="00F12EB7"/>
    <w:rsid w:val="00F158C4"/>
    <w:rsid w:val="00F16D86"/>
    <w:rsid w:val="00F200CB"/>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0C76"/>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442"/>
    <w:rsid w:val="00FB2F8E"/>
    <w:rsid w:val="00FB5DE3"/>
    <w:rsid w:val="00FC014E"/>
    <w:rsid w:val="00FC3D7A"/>
    <w:rsid w:val="00FC4DAC"/>
    <w:rsid w:val="00FC5260"/>
    <w:rsid w:val="00FC6BE6"/>
    <w:rsid w:val="00FD0208"/>
    <w:rsid w:val="00FD0891"/>
    <w:rsid w:val="00FD2019"/>
    <w:rsid w:val="00FD409F"/>
    <w:rsid w:val="00FD5ADC"/>
    <w:rsid w:val="00FD7E2E"/>
    <w:rsid w:val="00FE375C"/>
    <w:rsid w:val="00FE442E"/>
    <w:rsid w:val="00FE7C11"/>
    <w:rsid w:val="00FF086B"/>
    <w:rsid w:val="00FF257C"/>
    <w:rsid w:val="00FF27D8"/>
    <w:rsid w:val="05E51322"/>
    <w:rsid w:val="07104C1B"/>
    <w:rsid w:val="07AB16C6"/>
    <w:rsid w:val="0B3D2702"/>
    <w:rsid w:val="0D024C49"/>
    <w:rsid w:val="12D03B3A"/>
    <w:rsid w:val="161F409A"/>
    <w:rsid w:val="190909D0"/>
    <w:rsid w:val="22E04EF3"/>
    <w:rsid w:val="23286457"/>
    <w:rsid w:val="242F1853"/>
    <w:rsid w:val="255A0F8D"/>
    <w:rsid w:val="2AF9146F"/>
    <w:rsid w:val="2D7B7CF2"/>
    <w:rsid w:val="32B11E05"/>
    <w:rsid w:val="34161A40"/>
    <w:rsid w:val="351B02C8"/>
    <w:rsid w:val="355C7996"/>
    <w:rsid w:val="40226500"/>
    <w:rsid w:val="410339D7"/>
    <w:rsid w:val="4119260E"/>
    <w:rsid w:val="42D462B4"/>
    <w:rsid w:val="46FE5D49"/>
    <w:rsid w:val="499A72FA"/>
    <w:rsid w:val="541F32EB"/>
    <w:rsid w:val="56EC1DEF"/>
    <w:rsid w:val="5F9C52F0"/>
    <w:rsid w:val="602737F8"/>
    <w:rsid w:val="637711D4"/>
    <w:rsid w:val="643A5E7D"/>
    <w:rsid w:val="6CD11707"/>
    <w:rsid w:val="75CD61DE"/>
    <w:rsid w:val="7A4C50B6"/>
    <w:rsid w:val="7D1651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1"/>
    <w:qFormat/>
    <w:uiPriority w:val="99"/>
    <w:pPr>
      <w:keepNext/>
      <w:keepLines/>
      <w:spacing w:line="360" w:lineRule="auto"/>
      <w:outlineLvl w:val="0"/>
    </w:pPr>
    <w:rPr>
      <w:rFonts w:eastAsia="黑体"/>
      <w:b/>
      <w:bCs/>
      <w:color w:val="000000"/>
      <w:kern w:val="44"/>
      <w:sz w:val="24"/>
      <w:szCs w:val="24"/>
    </w:rPr>
  </w:style>
  <w:style w:type="paragraph" w:styleId="4">
    <w:name w:val="heading 2"/>
    <w:basedOn w:val="1"/>
    <w:next w:val="1"/>
    <w:link w:val="32"/>
    <w:qFormat/>
    <w:uiPriority w:val="99"/>
    <w:pPr>
      <w:keepNext/>
      <w:keepLines/>
      <w:spacing w:line="360" w:lineRule="auto"/>
      <w:ind w:firstLine="200"/>
      <w:outlineLvl w:val="1"/>
    </w:pPr>
    <w:rPr>
      <w:rFonts w:ascii="黑体" w:hAnsi="黑体" w:eastAsia="黑体"/>
      <w:b/>
      <w:bCs/>
      <w:sz w:val="24"/>
      <w:szCs w:val="24"/>
    </w:rPr>
  </w:style>
  <w:style w:type="paragraph" w:styleId="5">
    <w:name w:val="heading 3"/>
    <w:basedOn w:val="1"/>
    <w:next w:val="1"/>
    <w:link w:val="71"/>
    <w:unhideWhenUsed/>
    <w:qFormat/>
    <w:uiPriority w:val="9"/>
    <w:pPr>
      <w:keepNext/>
      <w:keepLines/>
      <w:spacing w:before="260" w:after="260" w:line="416" w:lineRule="auto"/>
      <w:outlineLvl w:val="2"/>
    </w:pPr>
    <w:rPr>
      <w:b/>
      <w:bCs/>
      <w:sz w:val="32"/>
      <w:szCs w:val="32"/>
    </w:rPr>
  </w:style>
  <w:style w:type="character" w:default="1" w:styleId="26">
    <w:name w:val="Default Paragraph Font"/>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styleId="6">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69"/>
    <w:unhideWhenUsed/>
    <w:qFormat/>
    <w:uiPriority w:val="99"/>
    <w:rPr>
      <w:rFonts w:ascii="宋体"/>
      <w:sz w:val="18"/>
      <w:szCs w:val="18"/>
    </w:rPr>
  </w:style>
  <w:style w:type="paragraph" w:styleId="8">
    <w:name w:val="annotation text"/>
    <w:basedOn w:val="1"/>
    <w:link w:val="35"/>
    <w:semiHidden/>
    <w:qFormat/>
    <w:uiPriority w:val="99"/>
    <w:pPr>
      <w:jc w:val="left"/>
    </w:pPr>
  </w:style>
  <w:style w:type="paragraph" w:styleId="9">
    <w:name w:val="Body Text"/>
    <w:basedOn w:val="1"/>
    <w:next w:val="1"/>
    <w:link w:val="37"/>
    <w:qFormat/>
    <w:uiPriority w:val="0"/>
    <w:pPr>
      <w:spacing w:after="120"/>
    </w:pPr>
    <w:rPr>
      <w:rFonts w:ascii="Times New Roman" w:hAnsi="Times New Roman"/>
      <w:szCs w:val="24"/>
    </w:rPr>
  </w:style>
  <w:style w:type="paragraph" w:styleId="10">
    <w:name w:val="Body Text Indent"/>
    <w:basedOn w:val="1"/>
    <w:link w:val="38"/>
    <w:qFormat/>
    <w:uiPriority w:val="0"/>
    <w:pPr>
      <w:spacing w:after="120"/>
      <w:ind w:left="420" w:leftChars="200"/>
    </w:pPr>
    <w:rPr>
      <w:rFonts w:ascii="Times New Roman" w:hAnsi="Times New Roman"/>
      <w:szCs w:val="24"/>
    </w:rPr>
  </w:style>
  <w:style w:type="paragraph" w:styleId="11">
    <w:name w:val="toc 3"/>
    <w:basedOn w:val="1"/>
    <w:next w:val="1"/>
    <w:qFormat/>
    <w:uiPriority w:val="99"/>
    <w:pPr>
      <w:widowControl/>
      <w:spacing w:after="100" w:line="276" w:lineRule="auto"/>
      <w:ind w:left="440"/>
      <w:jc w:val="left"/>
    </w:pPr>
    <w:rPr>
      <w:kern w:val="0"/>
      <w:sz w:val="22"/>
    </w:rPr>
  </w:style>
  <w:style w:type="paragraph" w:styleId="12">
    <w:name w:val="Plain Text"/>
    <w:basedOn w:val="1"/>
    <w:link w:val="39"/>
    <w:qFormat/>
    <w:uiPriority w:val="99"/>
    <w:rPr>
      <w:rFonts w:ascii="宋体" w:hAnsi="Courier New"/>
      <w:szCs w:val="21"/>
    </w:rPr>
  </w:style>
  <w:style w:type="paragraph" w:styleId="13">
    <w:name w:val="Date"/>
    <w:basedOn w:val="1"/>
    <w:next w:val="1"/>
    <w:link w:val="40"/>
    <w:qFormat/>
    <w:uiPriority w:val="99"/>
    <w:pPr>
      <w:ind w:left="100" w:leftChars="2500"/>
    </w:pPr>
  </w:style>
  <w:style w:type="paragraph" w:styleId="14">
    <w:name w:val="Body Text Indent 2"/>
    <w:basedOn w:val="1"/>
    <w:link w:val="65"/>
    <w:unhideWhenUsed/>
    <w:qFormat/>
    <w:uiPriority w:val="0"/>
    <w:pPr>
      <w:spacing w:after="120" w:line="480" w:lineRule="auto"/>
      <w:ind w:left="420" w:leftChars="200"/>
    </w:pPr>
  </w:style>
  <w:style w:type="paragraph" w:styleId="15">
    <w:name w:val="Balloon Text"/>
    <w:basedOn w:val="1"/>
    <w:link w:val="41"/>
    <w:semiHidden/>
    <w:qFormat/>
    <w:uiPriority w:val="99"/>
    <w:rPr>
      <w:sz w:val="18"/>
      <w:szCs w:val="18"/>
    </w:rPr>
  </w:style>
  <w:style w:type="paragraph" w:styleId="16">
    <w:name w:val="footer"/>
    <w:basedOn w:val="1"/>
    <w:link w:val="34"/>
    <w:unhideWhenUsed/>
    <w:qFormat/>
    <w:uiPriority w:val="99"/>
    <w:pPr>
      <w:tabs>
        <w:tab w:val="center" w:pos="4153"/>
        <w:tab w:val="right" w:pos="8306"/>
      </w:tabs>
      <w:snapToGrid w:val="0"/>
      <w:jc w:val="left"/>
    </w:pPr>
    <w:rPr>
      <w:sz w:val="18"/>
      <w:szCs w:val="18"/>
    </w:rPr>
  </w:style>
  <w:style w:type="paragraph" w:styleId="17">
    <w:name w:val="header"/>
    <w:basedOn w:val="1"/>
    <w:link w:val="33"/>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9">
    <w:name w:val="Body Text Indent 3"/>
    <w:basedOn w:val="1"/>
    <w:link w:val="42"/>
    <w:qFormat/>
    <w:uiPriority w:val="0"/>
    <w:pPr>
      <w:spacing w:after="120"/>
      <w:ind w:left="420" w:leftChars="200"/>
    </w:pPr>
    <w:rPr>
      <w:rFonts w:ascii="Times New Roman" w:hAnsi="Times New Roman"/>
      <w:sz w:val="16"/>
      <w:szCs w:val="16"/>
    </w:rPr>
  </w:style>
  <w:style w:type="paragraph" w:styleId="20">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1">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36"/>
    <w:semiHidden/>
    <w:qFormat/>
    <w:uiPriority w:val="99"/>
    <w:rPr>
      <w:b/>
      <w:bCs/>
    </w:rPr>
  </w:style>
  <w:style w:type="table" w:styleId="25">
    <w:name w:val="Table Grid"/>
    <w:basedOn w:val="24"/>
    <w:qFormat/>
    <w:uiPriority w:val="9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Strong"/>
    <w:basedOn w:val="26"/>
    <w:qFormat/>
    <w:uiPriority w:val="22"/>
    <w:rPr>
      <w:rFonts w:cs="Times New Roman"/>
      <w:b/>
    </w:rPr>
  </w:style>
  <w:style w:type="character" w:styleId="28">
    <w:name w:val="page number"/>
    <w:basedOn w:val="26"/>
    <w:qFormat/>
    <w:uiPriority w:val="99"/>
    <w:rPr>
      <w:rFonts w:cs="Times New Roman"/>
    </w:rPr>
  </w:style>
  <w:style w:type="character" w:styleId="29">
    <w:name w:val="Hyperlink"/>
    <w:basedOn w:val="26"/>
    <w:qFormat/>
    <w:uiPriority w:val="99"/>
    <w:rPr>
      <w:rFonts w:cs="Times New Roman"/>
      <w:color w:val="0000FF"/>
      <w:u w:val="single"/>
    </w:rPr>
  </w:style>
  <w:style w:type="character" w:styleId="30">
    <w:name w:val="annotation reference"/>
    <w:basedOn w:val="26"/>
    <w:qFormat/>
    <w:uiPriority w:val="99"/>
    <w:rPr>
      <w:rFonts w:cs="Times New Roman"/>
      <w:sz w:val="21"/>
    </w:rPr>
  </w:style>
  <w:style w:type="character" w:customStyle="1" w:styleId="31">
    <w:name w:val="标题 1 字符"/>
    <w:basedOn w:val="26"/>
    <w:link w:val="3"/>
    <w:qFormat/>
    <w:uiPriority w:val="99"/>
    <w:rPr>
      <w:rFonts w:ascii="Calibri" w:hAnsi="Calibri" w:eastAsia="黑体" w:cs="Times New Roman"/>
      <w:b/>
      <w:bCs/>
      <w:color w:val="000000"/>
      <w:kern w:val="44"/>
      <w:sz w:val="24"/>
      <w:szCs w:val="24"/>
    </w:rPr>
  </w:style>
  <w:style w:type="character" w:customStyle="1" w:styleId="32">
    <w:name w:val="标题 2 字符"/>
    <w:basedOn w:val="26"/>
    <w:link w:val="4"/>
    <w:qFormat/>
    <w:uiPriority w:val="99"/>
    <w:rPr>
      <w:rFonts w:ascii="黑体" w:hAnsi="黑体" w:eastAsia="黑体" w:cs="Times New Roman"/>
      <w:b/>
      <w:bCs/>
      <w:kern w:val="2"/>
      <w:sz w:val="24"/>
      <w:szCs w:val="24"/>
    </w:rPr>
  </w:style>
  <w:style w:type="character" w:customStyle="1" w:styleId="33">
    <w:name w:val="页眉 字符"/>
    <w:basedOn w:val="26"/>
    <w:link w:val="17"/>
    <w:qFormat/>
    <w:uiPriority w:val="0"/>
    <w:rPr>
      <w:sz w:val="18"/>
      <w:szCs w:val="18"/>
    </w:rPr>
  </w:style>
  <w:style w:type="character" w:customStyle="1" w:styleId="34">
    <w:name w:val="页脚 字符"/>
    <w:basedOn w:val="26"/>
    <w:link w:val="16"/>
    <w:qFormat/>
    <w:uiPriority w:val="99"/>
    <w:rPr>
      <w:sz w:val="18"/>
      <w:szCs w:val="18"/>
    </w:rPr>
  </w:style>
  <w:style w:type="character" w:customStyle="1" w:styleId="35">
    <w:name w:val="批注文字 字符"/>
    <w:basedOn w:val="26"/>
    <w:link w:val="8"/>
    <w:semiHidden/>
    <w:qFormat/>
    <w:uiPriority w:val="99"/>
    <w:rPr>
      <w:rFonts w:ascii="Calibri" w:hAnsi="Calibri" w:eastAsia="宋体" w:cs="Times New Roman"/>
    </w:rPr>
  </w:style>
  <w:style w:type="character" w:customStyle="1" w:styleId="36">
    <w:name w:val="批注主题 字符"/>
    <w:basedOn w:val="35"/>
    <w:link w:val="23"/>
    <w:semiHidden/>
    <w:qFormat/>
    <w:uiPriority w:val="99"/>
    <w:rPr>
      <w:rFonts w:ascii="Calibri" w:hAnsi="Calibri" w:eastAsia="宋体" w:cs="Times New Roman"/>
      <w:b/>
      <w:bCs/>
    </w:rPr>
  </w:style>
  <w:style w:type="character" w:customStyle="1" w:styleId="37">
    <w:name w:val="正文文本 字符"/>
    <w:basedOn w:val="26"/>
    <w:link w:val="9"/>
    <w:qFormat/>
    <w:uiPriority w:val="0"/>
    <w:rPr>
      <w:rFonts w:ascii="Times New Roman" w:hAnsi="Times New Roman" w:eastAsia="宋体" w:cs="Times New Roman"/>
      <w:szCs w:val="24"/>
    </w:rPr>
  </w:style>
  <w:style w:type="character" w:customStyle="1" w:styleId="38">
    <w:name w:val="正文文本缩进 字符"/>
    <w:basedOn w:val="26"/>
    <w:link w:val="10"/>
    <w:qFormat/>
    <w:uiPriority w:val="0"/>
    <w:rPr>
      <w:rFonts w:ascii="Times New Roman" w:hAnsi="Times New Roman" w:eastAsia="宋体" w:cs="Times New Roman"/>
      <w:szCs w:val="24"/>
    </w:rPr>
  </w:style>
  <w:style w:type="character" w:customStyle="1" w:styleId="39">
    <w:name w:val="纯文本 字符"/>
    <w:basedOn w:val="26"/>
    <w:link w:val="12"/>
    <w:qFormat/>
    <w:uiPriority w:val="99"/>
    <w:rPr>
      <w:rFonts w:ascii="宋体" w:hAnsi="Courier New" w:eastAsia="宋体" w:cs="Times New Roman"/>
      <w:szCs w:val="21"/>
    </w:rPr>
  </w:style>
  <w:style w:type="character" w:customStyle="1" w:styleId="40">
    <w:name w:val="日期 字符"/>
    <w:basedOn w:val="26"/>
    <w:link w:val="13"/>
    <w:qFormat/>
    <w:uiPriority w:val="99"/>
    <w:rPr>
      <w:rFonts w:ascii="Calibri" w:hAnsi="Calibri" w:eastAsia="宋体" w:cs="Times New Roman"/>
    </w:rPr>
  </w:style>
  <w:style w:type="character" w:customStyle="1" w:styleId="41">
    <w:name w:val="批注框文本 字符"/>
    <w:basedOn w:val="26"/>
    <w:link w:val="15"/>
    <w:semiHidden/>
    <w:qFormat/>
    <w:uiPriority w:val="99"/>
    <w:rPr>
      <w:rFonts w:ascii="Calibri" w:hAnsi="Calibri" w:eastAsia="宋体" w:cs="Times New Roman"/>
      <w:sz w:val="18"/>
      <w:szCs w:val="18"/>
    </w:rPr>
  </w:style>
  <w:style w:type="character" w:customStyle="1" w:styleId="42">
    <w:name w:val="正文文本缩进 3 字符"/>
    <w:basedOn w:val="26"/>
    <w:link w:val="19"/>
    <w:qFormat/>
    <w:uiPriority w:val="0"/>
    <w:rPr>
      <w:rFonts w:ascii="Times New Roman" w:hAnsi="Times New Roman" w:eastAsia="宋体" w:cs="Times New Roman"/>
      <w:sz w:val="16"/>
      <w:szCs w:val="16"/>
    </w:rPr>
  </w:style>
  <w:style w:type="character" w:customStyle="1" w:styleId="43">
    <w:name w:val="HTML 预设格式 字符"/>
    <w:basedOn w:val="26"/>
    <w:link w:val="21"/>
    <w:qFormat/>
    <w:uiPriority w:val="99"/>
    <w:rPr>
      <w:rFonts w:ascii="Arial" w:hAnsi="Arial" w:eastAsia="宋体" w:cs="Times New Roman"/>
      <w:kern w:val="0"/>
      <w:sz w:val="24"/>
      <w:szCs w:val="24"/>
    </w:rPr>
  </w:style>
  <w:style w:type="paragraph" w:customStyle="1" w:styleId="44">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6">
    <w:name w:val="gongkai_content_2_title1"/>
    <w:qFormat/>
    <w:uiPriority w:val="99"/>
    <w:rPr>
      <w:rFonts w:ascii="黑体" w:hAnsi="黑体" w:eastAsia="黑体"/>
      <w:b/>
      <w:sz w:val="28"/>
    </w:rPr>
  </w:style>
  <w:style w:type="paragraph" w:customStyle="1" w:styleId="47">
    <w:name w:val="Char Char1 Char"/>
    <w:basedOn w:val="1"/>
    <w:qFormat/>
    <w:uiPriority w:val="99"/>
    <w:rPr>
      <w:rFonts w:ascii="Times New Roman" w:hAnsi="Times New Roman"/>
      <w:szCs w:val="21"/>
    </w:rPr>
  </w:style>
  <w:style w:type="character" w:customStyle="1" w:styleId="48">
    <w:name w:val="unnamed1"/>
    <w:basedOn w:val="26"/>
    <w:qFormat/>
    <w:uiPriority w:val="99"/>
    <w:rPr>
      <w:rFonts w:cs="Times New Roman"/>
    </w:rPr>
  </w:style>
  <w:style w:type="paragraph" w:customStyle="1" w:styleId="49">
    <w:name w:val="样式1"/>
    <w:basedOn w:val="1"/>
    <w:qFormat/>
    <w:uiPriority w:val="99"/>
    <w:rPr>
      <w:rFonts w:ascii="Times New Roman" w:hAnsi="Times New Roman"/>
      <w:szCs w:val="24"/>
    </w:rPr>
  </w:style>
  <w:style w:type="paragraph" w:customStyle="1" w:styleId="50">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1">
    <w:name w:val="Char Char5"/>
    <w:qFormat/>
    <w:uiPriority w:val="99"/>
    <w:rPr>
      <w:rFonts w:ascii="Times New Roman" w:hAnsi="Times New Roman"/>
      <w:kern w:val="2"/>
      <w:sz w:val="18"/>
    </w:rPr>
  </w:style>
  <w:style w:type="character" w:customStyle="1" w:styleId="52">
    <w:name w:val="Char Char4"/>
    <w:qFormat/>
    <w:uiPriority w:val="99"/>
    <w:rPr>
      <w:rFonts w:ascii="Times New Roman" w:hAnsi="Times New Roman"/>
      <w:kern w:val="2"/>
      <w:sz w:val="18"/>
    </w:rPr>
  </w:style>
  <w:style w:type="paragraph" w:customStyle="1" w:styleId="53">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4">
    <w:name w:val="grame"/>
    <w:basedOn w:val="26"/>
    <w:qFormat/>
    <w:uiPriority w:val="99"/>
    <w:rPr>
      <w:rFonts w:cs="Times New Roman"/>
    </w:rPr>
  </w:style>
  <w:style w:type="paragraph" w:customStyle="1" w:styleId="55">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6">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7">
    <w:name w:val="专业方案正文 Char Char"/>
    <w:basedOn w:val="1"/>
    <w:next w:val="1"/>
    <w:link w:val="58"/>
    <w:qFormat/>
    <w:uiPriority w:val="99"/>
    <w:pPr>
      <w:spacing w:line="360" w:lineRule="auto"/>
      <w:ind w:firstLine="200" w:firstLineChars="200"/>
    </w:pPr>
    <w:rPr>
      <w:rFonts w:ascii="宋体" w:hAnsi="宋体"/>
      <w:kern w:val="0"/>
      <w:sz w:val="24"/>
      <w:szCs w:val="20"/>
    </w:rPr>
  </w:style>
  <w:style w:type="character" w:customStyle="1" w:styleId="58">
    <w:name w:val="专业方案正文 Char Char Char"/>
    <w:link w:val="57"/>
    <w:qFormat/>
    <w:locked/>
    <w:uiPriority w:val="99"/>
    <w:rPr>
      <w:rFonts w:ascii="宋体" w:hAnsi="宋体" w:eastAsia="宋体" w:cs="Times New Roman"/>
      <w:kern w:val="0"/>
      <w:sz w:val="24"/>
      <w:szCs w:val="20"/>
    </w:rPr>
  </w:style>
  <w:style w:type="paragraph" w:customStyle="1" w:styleId="59">
    <w:name w:val="1 Char Char Char Char"/>
    <w:basedOn w:val="1"/>
    <w:qFormat/>
    <w:uiPriority w:val="99"/>
    <w:rPr>
      <w:rFonts w:ascii="Tahoma" w:hAnsi="Tahoma"/>
      <w:sz w:val="24"/>
      <w:szCs w:val="20"/>
    </w:rPr>
  </w:style>
  <w:style w:type="paragraph" w:customStyle="1" w:styleId="60">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1">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2">
    <w:name w:val="TOC 标题1"/>
    <w:basedOn w:val="3"/>
    <w:next w:val="1"/>
    <w:qFormat/>
    <w:uiPriority w:val="99"/>
    <w:pPr>
      <w:widowControl/>
      <w:spacing w:before="480" w:line="276" w:lineRule="auto"/>
      <w:jc w:val="left"/>
      <w:outlineLvl w:val="9"/>
    </w:pPr>
    <w:rPr>
      <w:rFonts w:ascii="Cambria" w:hAnsi="Cambria" w:eastAsia="宋体"/>
      <w:color w:val="365F91"/>
      <w:kern w:val="0"/>
    </w:rPr>
  </w:style>
  <w:style w:type="character" w:customStyle="1" w:styleId="63">
    <w:name w:val="apple-converted-space"/>
    <w:basedOn w:val="26"/>
    <w:qFormat/>
    <w:uiPriority w:val="0"/>
    <w:rPr>
      <w:rFonts w:cs="Times New Roman"/>
    </w:rPr>
  </w:style>
  <w:style w:type="paragraph" w:customStyle="1" w:styleId="64">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5">
    <w:name w:val="正文文本缩进 2 字符"/>
    <w:basedOn w:val="26"/>
    <w:link w:val="14"/>
    <w:semiHidden/>
    <w:qFormat/>
    <w:uiPriority w:val="0"/>
    <w:rPr>
      <w:rFonts w:ascii="Calibri" w:hAnsi="Calibri" w:eastAsia="宋体" w:cs="Times New Roman"/>
    </w:rPr>
  </w:style>
  <w:style w:type="paragraph" w:customStyle="1" w:styleId="66">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7">
    <w:name w:val="List Paragraph"/>
    <w:basedOn w:val="1"/>
    <w:qFormat/>
    <w:uiPriority w:val="34"/>
    <w:pPr>
      <w:ind w:firstLine="420" w:firstLineChars="200"/>
    </w:pPr>
  </w:style>
  <w:style w:type="paragraph" w:customStyle="1" w:styleId="68">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69">
    <w:name w:val="文档结构图 字符"/>
    <w:basedOn w:val="26"/>
    <w:link w:val="7"/>
    <w:semiHidden/>
    <w:qFormat/>
    <w:uiPriority w:val="99"/>
    <w:rPr>
      <w:rFonts w:ascii="宋体" w:hAnsi="Calibri" w:eastAsia="宋体" w:cs="Times New Roman"/>
      <w:kern w:val="2"/>
      <w:sz w:val="18"/>
      <w:szCs w:val="18"/>
    </w:rPr>
  </w:style>
  <w:style w:type="table" w:customStyle="1" w:styleId="70">
    <w:name w:val="网格型1"/>
    <w:basedOn w:val="24"/>
    <w:qFormat/>
    <w:uiPriority w:val="9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1">
    <w:name w:val="标题 3 字符"/>
    <w:basedOn w:val="26"/>
    <w:link w:val="5"/>
    <w:qFormat/>
    <w:uiPriority w:val="9"/>
    <w:rPr>
      <w:rFonts w:ascii="Calibri" w:hAnsi="Calibri" w:eastAsia="宋体" w:cs="Times New Roman"/>
      <w:b/>
      <w:bCs/>
      <w:kern w:val="2"/>
      <w:sz w:val="32"/>
      <w:szCs w:val="32"/>
    </w:rPr>
  </w:style>
  <w:style w:type="paragraph" w:customStyle="1" w:styleId="72">
    <w:name w:val="列表段落1"/>
    <w:basedOn w:val="1"/>
    <w:qFormat/>
    <w:uiPriority w:val="34"/>
    <w:pPr>
      <w:ind w:firstLine="420" w:firstLineChars="200"/>
    </w:pPr>
  </w:style>
  <w:style w:type="character" w:customStyle="1" w:styleId="73">
    <w:name w:val="asdasd1"/>
    <w:qFormat/>
    <w:uiPriority w:val="0"/>
    <w:rPr>
      <w:sz w:val="18"/>
      <w:szCs w:val="18"/>
    </w:rPr>
  </w:style>
  <w:style w:type="paragraph" w:customStyle="1" w:styleId="74">
    <w:name w:val="_Style 3"/>
    <w:basedOn w:val="1"/>
    <w:qFormat/>
    <w:uiPriority w:val="34"/>
    <w:pPr>
      <w:ind w:firstLine="420" w:firstLineChars="200"/>
    </w:pPr>
  </w:style>
  <w:style w:type="character" w:customStyle="1" w:styleId="75">
    <w:name w:val="A2"/>
    <w:qFormat/>
    <w:uiPriority w:val="0"/>
    <w:rPr>
      <w:rFonts w:ascii="Times New Roman" w:hAnsi="Times New Roman" w:eastAsia="宋体" w:cs="宋体"/>
      <w:color w:val="000000"/>
      <w:sz w:val="28"/>
      <w:szCs w:val="28"/>
    </w:rPr>
  </w:style>
  <w:style w:type="paragraph" w:customStyle="1" w:styleId="76">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77">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78">
    <w:name w:val="0正文"/>
    <w:basedOn w:val="1"/>
    <w:qFormat/>
    <w:uiPriority w:val="0"/>
    <w:pPr>
      <w:spacing w:line="520" w:lineRule="exact"/>
      <w:ind w:firstLine="200" w:firstLineChars="200"/>
    </w:pPr>
    <w:rPr>
      <w:sz w:val="24"/>
    </w:rPr>
  </w:style>
  <w:style w:type="paragraph" w:customStyle="1" w:styleId="79">
    <w:name w:val="调研注释"/>
    <w:basedOn w:val="80"/>
    <w:qFormat/>
    <w:uiPriority w:val="0"/>
    <w:pPr>
      <w:spacing w:before="0" w:beforeLines="0" w:after="0" w:afterLines="0" w:line="480" w:lineRule="exact"/>
    </w:pPr>
    <w:rPr>
      <w:rFonts w:ascii="宋体" w:hAnsi="宋体"/>
    </w:rPr>
  </w:style>
  <w:style w:type="paragraph" w:customStyle="1" w:styleId="80">
    <w:name w:val="图表名称"/>
    <w:basedOn w:val="1"/>
    <w:qFormat/>
    <w:uiPriority w:val="0"/>
    <w:pPr>
      <w:spacing w:before="50" w:beforeLines="50" w:after="50" w:afterLines="50"/>
      <w:jc w:val="center"/>
    </w:pPr>
    <w:rPr>
      <w:szCs w:val="21"/>
    </w:rPr>
  </w:style>
  <w:style w:type="paragraph" w:customStyle="1" w:styleId="81">
    <w:name w:val="报告正文部分"/>
    <w:basedOn w:val="1"/>
    <w:next w:val="9"/>
    <w:qFormat/>
    <w:uiPriority w:val="0"/>
    <w:pPr>
      <w:ind w:firstLine="420" w:firstLineChars="200"/>
    </w:pPr>
    <w:rPr>
      <w:rFonts w:ascii="楷体_GB2312" w:eastAsia="楷体_GB2312"/>
      <w:sz w:val="24"/>
    </w:rPr>
  </w:style>
  <w:style w:type="paragraph" w:customStyle="1" w:styleId="82">
    <w:name w:val="列表段落2"/>
    <w:basedOn w:val="1"/>
    <w:qFormat/>
    <w:uiPriority w:val="34"/>
    <w:pPr>
      <w:ind w:firstLine="420" w:firstLineChars="200"/>
    </w:pPr>
  </w:style>
  <w:style w:type="paragraph" w:customStyle="1" w:styleId="83">
    <w:name w:val="p15"/>
    <w:basedOn w:val="1"/>
    <w:qFormat/>
    <w:uiPriority w:val="99"/>
    <w:pPr>
      <w:widowControl/>
      <w:spacing w:line="560" w:lineRule="atLeast"/>
      <w:ind w:left="471" w:firstLine="420"/>
    </w:pPr>
    <w:rPr>
      <w:rFonts w:ascii="Times New Roman" w:hAnsi="Times New Roman"/>
      <w:kern w:val="0"/>
      <w:sz w:val="24"/>
      <w:szCs w:val="24"/>
    </w:rPr>
  </w:style>
  <w:style w:type="paragraph" w:customStyle="1" w:styleId="84">
    <w:name w:val="Revision"/>
    <w:hidden/>
    <w:unhideWhenUsed/>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6D6FDF-D923-406C-AC9E-2AAFE3CAEC72}">
  <ds:schemaRefs/>
</ds:datastoreItem>
</file>

<file path=docProps/app.xml><?xml version="1.0" encoding="utf-8"?>
<Properties xmlns="http://schemas.openxmlformats.org/officeDocument/2006/extended-properties" xmlns:vt="http://schemas.openxmlformats.org/officeDocument/2006/docPropsVTypes">
  <Template>Normal</Template>
  <Company>李兴华工作室</Company>
  <Pages>64</Pages>
  <Words>27946</Words>
  <Characters>29334</Characters>
  <Lines>232</Lines>
  <Paragraphs>65</Paragraphs>
  <TotalTime>3</TotalTime>
  <ScaleCrop>false</ScaleCrop>
  <LinksUpToDate>false</LinksUpToDate>
  <CharactersWithSpaces>29515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2024-09-23T10:23:00Z</dcterms:created>
  <dc:creator>Windows 用户</dc:creator>
  <cp:lastModifiedBy>happy の 天使ㄣ</cp:lastModifiedBy>
  <cp:lastPrinted>2024-06-12T02:00:00Z</cp:lastPrinted>
  <dcterms:modified xsi:type="dcterms:W3CDTF">2024-09-29T05:27:06Z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2052-12.1.0.18276</vt:lpwstr>
  </property>
  <property fmtid="{D5CDD505-2E9C-101B-9397-08002B2CF9AE}" pid="4" name="ICV">
    <vt:lpwstr>7B80DEBA1B76418998DFEB32CF2B4F9F_13</vt:lpwstr>
  </property>
</Properties>
</file>