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6"/>
        <w:tblW w:w="5000" w:type="pct"/>
        <w:jc w:val="center"/>
        <w:tblBorders>
          <w:top w:val="none" w:color="auto" w:sz="0" w:space="0"/>
          <w:left w:val="single" w:color="000000" w:sz="2" w:space="0"/>
          <w:bottom w:val="none" w:color="auto" w:sz="0" w:space="0"/>
          <w:right w:val="none" w:color="auto" w:sz="0" w:space="0"/>
          <w:insideH w:val="none" w:color="auto" w:sz="0" w:space="0"/>
          <w:insideV w:val="none" w:color="auto" w:sz="0" w:space="0"/>
        </w:tblBorders>
        <w:tblLayout w:type="autofit"/>
        <w:tblCellMar>
          <w:top w:w="115" w:type="dxa"/>
          <w:left w:w="0" w:type="dxa"/>
          <w:bottom w:w="115" w:type="dxa"/>
          <w:right w:w="0" w:type="dxa"/>
        </w:tblCellMar>
      </w:tblPr>
      <w:tblGrid>
        <w:gridCol w:w="8845"/>
      </w:tblGrid>
      <w:tr w14:paraId="0784C2A0">
        <w:tblPrEx>
          <w:tblBorders>
            <w:top w:val="none" w:color="auto" w:sz="0" w:space="0"/>
            <w:left w:val="single" w:color="000000" w:sz="2" w:space="0"/>
            <w:bottom w:val="none" w:color="auto" w:sz="0" w:space="0"/>
            <w:right w:val="none" w:color="auto" w:sz="0" w:space="0"/>
            <w:insideH w:val="none" w:color="auto" w:sz="0" w:space="0"/>
            <w:insideV w:val="none" w:color="auto" w:sz="0" w:space="0"/>
          </w:tblBorders>
          <w:tblCellMar>
            <w:top w:w="115" w:type="dxa"/>
            <w:left w:w="0" w:type="dxa"/>
            <w:bottom w:w="115" w:type="dxa"/>
            <w:right w:w="0" w:type="dxa"/>
          </w:tblCellMar>
        </w:tblPrEx>
        <w:trPr>
          <w:cantSplit/>
          <w:trHeight w:val="0" w:hRule="atLeast"/>
          <w:jc w:val="center"/>
        </w:trPr>
        <w:tc>
          <w:tcPr>
            <w:tcW w:w="5000" w:type="pct"/>
            <w:tcBorders>
              <w:left w:val="nil"/>
            </w:tcBorders>
            <w:noWrap w:val="0"/>
            <w:tcMar>
              <w:top w:w="0" w:type="dxa"/>
              <w:left w:w="0" w:type="dxa"/>
              <w:bottom w:w="0" w:type="dxa"/>
              <w:right w:w="0" w:type="dxa"/>
            </w:tcMar>
            <w:vAlign w:val="bottom"/>
          </w:tcPr>
          <w:p w14:paraId="1E1D640A">
            <w:pPr>
              <w:pStyle w:val="15"/>
              <w:widowControl/>
              <w:spacing w:line="720" w:lineRule="exact"/>
              <w:jc w:val="distribute"/>
              <w:rPr>
                <w:rFonts w:hint="eastAsia"/>
                <w:color w:val="FF0000"/>
              </w:rPr>
            </w:pPr>
            <mc:AlternateContent>
              <mc:Choice Requires="wpsCustomData">
                <wpsCustomData:docfieldStart id="0" docfieldname="标题_1" hidden="0" print="1" readonly="0" index="15"/>
              </mc:Choice>
            </mc:AlternateContent>
            <w:r>
              <w:rPr>
                <w:rFonts w:hint="eastAsia"/>
                <w:color w:val="FF0000"/>
              </w:rPr>
              <w:t>全国高职高专院校思想政治理论课建设联盟</w:t>
            </w:r>
          </w:p>
          <w:p w14:paraId="3F420F4D">
            <w:pPr>
              <w:keepNext w:val="0"/>
              <w:keepLines w:val="0"/>
              <w:pageBreakBefore w:val="0"/>
              <w:widowControl w:val="0"/>
              <w:kinsoku/>
              <w:wordWrap/>
              <w:overflowPunct w:val="0"/>
              <w:topLinePunct/>
              <w:autoSpaceDE/>
              <w:autoSpaceDN/>
              <w:bidi w:val="0"/>
              <w:snapToGrid/>
              <w:spacing w:line="760" w:lineRule="exact"/>
              <w:jc w:val="center"/>
              <w:textAlignment w:val="auto"/>
              <w:rPr>
                <w:rFonts w:hint="default" w:ascii="Times New Roman" w:hAnsi="Times New Roman" w:eastAsia="方正小标宋简体" w:cs="Times New Roman"/>
                <w:color w:val="FF0000"/>
                <w:sz w:val="44"/>
                <w:szCs w:val="44"/>
              </w:rPr>
            </w:pPr>
            <w:r>
              <w:rPr>
                <w:rFonts w:hint="default" w:ascii="Times New Roman" w:hAnsi="Times New Roman" w:eastAsia="方正小标宋简体" w:cs="Times New Roman"/>
                <w:color w:val="FF0000"/>
                <w:spacing w:val="41"/>
                <w:w w:val="100"/>
                <w:kern w:val="0"/>
                <w:sz w:val="44"/>
                <w:szCs w:val="44"/>
                <w:fitText w:val="8798" w:id="1960647919"/>
              </w:rPr>
              <w:t>教育部高校思想政治工作创新发展中</w:t>
            </w:r>
            <w:r>
              <w:rPr>
                <w:rFonts w:hint="default" w:ascii="Times New Roman" w:hAnsi="Times New Roman" w:eastAsia="方正小标宋简体" w:cs="Times New Roman"/>
                <w:color w:val="FF0000"/>
                <w:spacing w:val="3"/>
                <w:w w:val="100"/>
                <w:kern w:val="0"/>
                <w:sz w:val="44"/>
                <w:szCs w:val="44"/>
                <w:fitText w:val="8798" w:id="1960647919"/>
              </w:rPr>
              <w:t>心</w:t>
            </w:r>
          </w:p>
          <w:p w14:paraId="31FC2867">
            <w:pPr>
              <w:keepNext w:val="0"/>
              <w:keepLines w:val="0"/>
              <w:pageBreakBefore w:val="0"/>
              <w:widowControl w:val="0"/>
              <w:kinsoku/>
              <w:wordWrap/>
              <w:overflowPunct w:val="0"/>
              <w:topLinePunct/>
              <w:autoSpaceDE/>
              <w:autoSpaceDN/>
              <w:bidi w:val="0"/>
              <w:adjustRightInd w:val="0"/>
              <w:snapToGrid/>
              <w:spacing w:line="760" w:lineRule="exact"/>
              <w:ind w:left="0" w:leftChars="0" w:right="0" w:rightChars="0" w:firstLine="0" w:firstLineChars="0"/>
              <w:jc w:val="center"/>
              <w:textAlignment w:val="auto"/>
              <w:outlineLvl w:val="9"/>
              <w:rPr>
                <w:rFonts w:hint="default" w:ascii="Times New Roman" w:hAnsi="Times New Roman" w:eastAsia="方正小标宋_GBK" w:cs="Times New Roman"/>
                <w:color w:val="FF0000"/>
                <w:spacing w:val="20"/>
                <w:kern w:val="2"/>
                <w:sz w:val="96"/>
                <w:szCs w:val="96"/>
                <w:lang w:val="en-US" w:eastAsia="zh-CN"/>
              </w:rPr>
            </w:pPr>
            <w:r>
              <w:rPr>
                <w:rFonts w:hint="default" w:ascii="Times New Roman" w:hAnsi="Times New Roman" w:eastAsia="方正小标宋简体" w:cs="Times New Roman"/>
                <w:color w:val="FF0000"/>
                <w:sz w:val="44"/>
                <w:szCs w:val="44"/>
              </w:rPr>
              <w:t>（广东轻工职业技术</w:t>
            </w:r>
            <w:r>
              <w:rPr>
                <w:rFonts w:hint="default" w:ascii="Times New Roman" w:hAnsi="Times New Roman" w:eastAsia="方正小标宋简体" w:cs="Times New Roman"/>
                <w:color w:val="FF0000"/>
                <w:sz w:val="44"/>
                <w:szCs w:val="44"/>
                <w:lang w:val="en-US" w:eastAsia="zh-CN"/>
              </w:rPr>
              <w:t>大学</w:t>
            </w:r>
            <w:r>
              <w:rPr>
                <w:rFonts w:hint="default" w:ascii="Times New Roman" w:hAnsi="Times New Roman" w:eastAsia="方正小标宋简体" w:cs="Times New Roman"/>
                <w:color w:val="FF0000"/>
                <w:sz w:val="44"/>
                <w:szCs w:val="44"/>
              </w:rPr>
              <w:t>）</w:t>
            </w:r>
          </w:p>
        </w:tc>
      </w:tr>
      <w:tr w14:paraId="01669638">
        <w:tblPrEx>
          <w:tblBorders>
            <w:top w:val="none" w:color="auto" w:sz="0" w:space="0"/>
            <w:left w:val="single" w:color="000000" w:sz="2" w:space="0"/>
            <w:bottom w:val="none" w:color="auto" w:sz="0" w:space="0"/>
            <w:right w:val="none" w:color="auto" w:sz="0" w:space="0"/>
            <w:insideH w:val="none" w:color="auto" w:sz="0" w:space="0"/>
            <w:insideV w:val="none" w:color="auto" w:sz="0" w:space="0"/>
          </w:tblBorders>
          <w:tblCellMar>
            <w:top w:w="115" w:type="dxa"/>
            <w:left w:w="0" w:type="dxa"/>
            <w:bottom w:w="115" w:type="dxa"/>
            <w:right w:w="0" w:type="dxa"/>
          </w:tblCellMar>
        </w:tblPrEx>
        <w:trPr>
          <w:cantSplit/>
          <w:trHeight w:val="539" w:hRule="exact"/>
          <w:jc w:val="center"/>
        </w:trPr>
        <w:tc>
          <w:tcPr>
            <w:tcW w:w="5000" w:type="pct"/>
            <w:tcBorders>
              <w:left w:val="nil"/>
            </w:tcBorders>
            <w:noWrap w:val="0"/>
            <w:tcMar>
              <w:top w:w="0" w:type="dxa"/>
              <w:left w:w="0" w:type="dxa"/>
              <w:bottom w:w="0" w:type="dxa"/>
              <w:right w:w="0" w:type="dxa"/>
            </w:tcMar>
            <w:vAlign w:val="top"/>
          </w:tcPr>
          <w:p w14:paraId="670AEE22">
            <w:pPr>
              <w:keepNext w:val="0"/>
              <w:keepLines w:val="0"/>
              <w:pageBreakBefore w:val="0"/>
              <w:widowControl w:val="0"/>
              <w:tabs>
                <w:tab w:val="left" w:pos="2814"/>
              </w:tabs>
              <w:kinsoku/>
              <w:wordWrap/>
              <w:overflowPunct w:val="0"/>
              <w:topLinePunct/>
              <w:autoSpaceDE/>
              <w:autoSpaceDN/>
              <w:bidi w:val="0"/>
              <w:adjustRightInd/>
              <w:snapToGrid/>
              <w:spacing w:line="330" w:lineRule="exact"/>
              <w:ind w:left="0" w:leftChars="0"/>
              <w:jc w:val="both"/>
              <w:textAlignment w:val="auto"/>
              <w:outlineLvl w:val="9"/>
              <w:rPr>
                <w:rFonts w:hint="default" w:ascii="Times New Roman" w:hAnsi="Times New Roman" w:eastAsia="方正仿宋_GBK" w:cs="Times New Roman"/>
                <w:spacing w:val="7"/>
                <w:kern w:val="2"/>
                <w:sz w:val="32"/>
                <w:szCs w:val="32"/>
              </w:rPr>
            </w:pPr>
            <w:r>
              <w:rPr>
                <w:rFonts w:hint="default" w:ascii="Times New Roman" w:hAnsi="Times New Roman" w:cs="Times New Roman"/>
                <w:spacing w:val="7"/>
                <w:sz w:val="32"/>
                <w:szCs w:val="32"/>
              </w:rPr>
              <mc:AlternateContent>
                <mc:Choice Requires="wpg">
                  <w:drawing>
                    <wp:anchor distT="0" distB="0" distL="114300" distR="114300" simplePos="0" relativeHeight="251660288" behindDoc="0" locked="0" layoutInCell="1" allowOverlap="1">
                      <wp:simplePos x="0" y="0"/>
                      <wp:positionH relativeFrom="margin">
                        <wp:align>center</wp:align>
                      </wp:positionH>
                      <wp:positionV relativeFrom="margin">
                        <wp:posOffset>123825</wp:posOffset>
                      </wp:positionV>
                      <wp:extent cx="6120130" cy="56515"/>
                      <wp:effectExtent l="0" t="15875" r="13970" b="22860"/>
                      <wp:wrapNone/>
                      <wp:docPr id="2" name="组合 2"/>
                      <wp:cNvGraphicFramePr/>
                      <a:graphic xmlns:a="http://schemas.openxmlformats.org/drawingml/2006/main">
                        <a:graphicData uri="http://schemas.microsoft.com/office/word/2010/wordprocessingGroup">
                          <wpg:wgp>
                            <wpg:cNvGrpSpPr/>
                            <wpg:grpSpPr>
                              <a:xfrm>
                                <a:off x="0" y="0"/>
                                <a:ext cx="6120130" cy="56515"/>
                                <a:chOff x="6214" y="6334"/>
                                <a:chExt cx="9638" cy="89"/>
                              </a:xfrm>
                            </wpg:grpSpPr>
                            <wps:wsp>
                              <wps:cNvPr id="5" name="直接连接符 5"/>
                              <wps:cNvCnPr/>
                              <wps:spPr>
                                <a:xfrm>
                                  <a:off x="6214" y="6334"/>
                                  <a:ext cx="9638" cy="0"/>
                                </a:xfrm>
                                <a:prstGeom prst="line">
                                  <a:avLst/>
                                </a:prstGeom>
                                <a:ln w="3175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6" name="直接连接符 6"/>
                              <wps:cNvCnPr/>
                              <wps:spPr>
                                <a:xfrm>
                                  <a:off x="6214" y="6423"/>
                                  <a:ext cx="9638" cy="0"/>
                                </a:xfrm>
                                <a:prstGeom prst="line">
                                  <a:avLst/>
                                </a:prstGeom>
                                <a:ln w="9525">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_x0000_s1026" o:spid="_x0000_s1026" o:spt="203" style="position:absolute;left:0pt;margin-top:9.75pt;height:4.45pt;width:481.9pt;mso-position-horizontal:center;mso-position-horizontal-relative:margin;mso-position-vertical-relative:margin;z-index:251660288;mso-width-relative:page;mso-height-relative:page;" coordorigin="6214,6334" coordsize="9638,89" o:gfxdata="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8yw31dcAAAAGAQAADwAAAAAAAAABACAAAAAiAAAAZHJzL2Rvd25yZXYu&#10;eG1sUEsBAhQAFAAAAAgAh07iQLeS3t1uAgAAigYAAA4AAAAAAAAAAQAgAAAAJgEAAGRycy9lMm9E&#10;b2MueG1sUEsFBgAAAAAGAAYAWQEAAAYGAAAAAA==&#10;">
                      <o:lock v:ext="edit" aspectratio="f"/>
                      <v:line id="_x0000_s1026" o:spid="_x0000_s1026" o:spt="20" style="position:absolute;left:6214;top:6334;height:0;width:9638;" filled="f" stroked="t" coordsize="21600,21600" o:gfxdata="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WXCjm5AAAA2gAA&#10;AA8AAAAAAAAAAQAgAAAAIgAAAGRycy9kb3ducmV2LnhtbFBLAQIUABQAAAAIAIdO4kAzLwWeOwAA&#10;ADkAAAAQAAAAAAAAAAEAIAAAAAgBAABkcnMvc2hhcGV4bWwueG1sUEsFBgAAAAAGAAYAWwEAALID&#10;AAAAAA==&#10;">
                        <v:fill on="f" focussize="0,0"/>
                        <v:stroke weight="2.5pt" color="#FF0000 [3204]" joinstyle="round"/>
                        <v:imagedata o:title=""/>
                        <o:lock v:ext="edit" aspectratio="f"/>
                      </v:line>
                      <v:line id="_x0000_s1026" o:spid="_x0000_s1026" o:spt="20" style="position:absolute;left:6214;top:6423;height:0;width:9638;" filled="f" stroked="t" coordsize="21600,21600" o:gfxdata="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D2kvC8AAAA&#10;2gAAAA8AAAAAAAAAAQAgAAAAIgAAAGRycy9kb3ducmV2LnhtbFBLAQIUABQAAAAIAIdO4kAzLwWe&#10;OwAAADkAAAAQAAAAAAAAAAEAIAAAAAsBAABkcnMvc2hhcGV4bWwueG1sUEsFBgAAAAAGAAYAWwEA&#10;ALUDAAAAAA==&#10;">
                        <v:fill on="f" focussize="0,0"/>
                        <v:stroke color="#FF0000 [3204]" joinstyle="round"/>
                        <v:imagedata o:title=""/>
                        <o:lock v:ext="edit" aspectratio="f"/>
                      </v:line>
                    </v:group>
                  </w:pict>
                </mc:Fallback>
              </mc:AlternateContent>
            </w:r>
          </w:p>
        </w:tc>
      </w:tr>
    </w:tbl>
    <w:p w14:paraId="5281D438">
      <w:pPr>
        <w:pStyle w:val="15"/>
        <w:rPr>
          <w:rFonts w:hint="default" w:ascii="Times New Roman" w:hAnsi="Times New Roman" w:cs="Times New Roman"/>
        </w:rPr>
      </w:pPr>
    </w:p>
    <w:p w14:paraId="6C60B6B7">
      <w:pPr>
        <w:pStyle w:val="15"/>
        <w:widowControl/>
        <w:jc w:val="center"/>
      </w:pPr>
      <w:r>
        <w:t>关于发布2026年度思政课专项课题指南暨</w:t>
      </w:r>
    </w:p>
    <w:p w14:paraId="1B9E27C7">
      <w:pPr>
        <w:pStyle w:val="15"/>
        <w:widowControl/>
        <w:jc w:val="center"/>
      </w:pPr>
      <w:r>
        <w:t>组织申报工作的通知</w:t>
      </w:r>
      <mc:AlternateContent>
        <mc:Choice Requires="wpsCustomData">
          <wpsCustomData:docfieldEnd id="0"/>
        </mc:Choice>
      </mc:AlternateContent>
    </w:p>
    <w:p w14:paraId="4BBEBBAD">
      <w:pPr>
        <w:pStyle w:val="11"/>
        <w:bidi w:val="0"/>
        <w:spacing w:beforeAutospacing="0" w:afterAutospacing="0" w:line="300" w:lineRule="exact"/>
      </w:pPr>
    </w:p>
    <w:p w14:paraId="472AEFFF">
      <w:pPr>
        <w:pStyle w:val="20"/>
        <w:widowControl/>
        <w:rPr>
          <w:rFonts w:ascii="Times New Roman" w:hAnsi="Times New Roman" w:eastAsia="仿宋_GB2312" w:cs="仿宋_GB2312"/>
          <w:sz w:val="32"/>
          <w:szCs w:val="32"/>
        </w:rPr>
      </w:pPr>
      <mc:AlternateContent>
        <mc:Choice Requires="wpsCustomData">
          <wpsCustomData:docfieldStart id="1" docfieldname="主送机关_1" hidden="0" print="1" readonly="0" index="16"/>
        </mc:Choice>
      </mc:AlternateContent>
      <w:r>
        <w:rPr>
          <w:rFonts w:hint="eastAsia" w:cs="仿宋_GB2312"/>
          <w:sz w:val="32"/>
          <w:szCs w:val="32"/>
          <w:lang w:val="en-US" w:eastAsia="zh-CN"/>
        </w:rPr>
        <w:t>各</w:t>
      </w:r>
      <w:r>
        <w:rPr>
          <w:rFonts w:ascii="Times New Roman" w:hAnsi="Times New Roman" w:eastAsia="仿宋_GB2312" w:cs="仿宋_GB2312"/>
          <w:sz w:val="32"/>
          <w:szCs w:val="32"/>
        </w:rPr>
        <w:t>联盟</w:t>
      </w:r>
      <w:r>
        <w:rPr>
          <w:rFonts w:hint="eastAsia" w:cs="仿宋_GB2312"/>
          <w:sz w:val="32"/>
          <w:szCs w:val="32"/>
          <w:lang w:val="en-US" w:eastAsia="zh-CN"/>
        </w:rPr>
        <w:t>会员</w:t>
      </w:r>
      <w:r>
        <w:rPr>
          <w:rFonts w:ascii="Times New Roman" w:hAnsi="Times New Roman" w:eastAsia="仿宋_GB2312" w:cs="仿宋_GB2312"/>
          <w:sz w:val="32"/>
          <w:szCs w:val="32"/>
        </w:rPr>
        <w:t>单位</w:t>
      </w:r>
      <mc:AlternateContent>
        <mc:Choice Requires="wpsCustomData">
          <wpsCustomData:docfieldEnd id="1"/>
        </mc:Choice>
      </mc:AlternateContent>
      <w:r>
        <w:rPr>
          <w:rFonts w:ascii="Times New Roman" w:hAnsi="Times New Roman" w:eastAsia="仿宋_GB2312" w:cs="仿宋_GB2312"/>
          <w:sz w:val="32"/>
          <w:szCs w:val="32"/>
        </w:rPr>
        <w:t>：</w:t>
      </w:r>
    </w:p>
    <w:p w14:paraId="780A9A10">
      <w:pPr>
        <w:pStyle w:val="11"/>
        <w:widowControl/>
        <w:rPr>
          <w:rFonts w:hint="eastAsia"/>
        </w:rPr>
      </w:pPr>
      <w:r>
        <w:rPr>
          <w:rFonts w:ascii="Times New Roman" w:hAnsi="Times New Roman" w:eastAsia="仿宋_GB2312" w:cs="仿宋_GB2312"/>
          <w:sz w:val="32"/>
          <w:szCs w:val="32"/>
        </w:rPr>
        <w:t>为深入贯彻习近平总书记在学校思想政治理论课教师座谈会上重要讲话精神，全面落实党的二十大、二十届三中全会部署，严格对标《关于深化新时代学校思想政治理论课改革创新的若干意见》《教育强国建设规划纲要（2024—2035年）》《职业教育提质培优行动计划</w:t>
      </w:r>
      <w:r>
        <w:rPr>
          <w:rFonts w:hint="eastAsia" w:cs="仿宋_GB2312"/>
          <w:sz w:val="32"/>
          <w:szCs w:val="32"/>
          <w:lang w:eastAsia="zh-CN"/>
        </w:rPr>
        <w:t>》等</w:t>
      </w:r>
      <w:r>
        <w:rPr>
          <w:rFonts w:ascii="Times New Roman" w:hAnsi="Times New Roman" w:eastAsia="仿宋_GB2312" w:cs="仿宋_GB2312"/>
          <w:sz w:val="32"/>
          <w:szCs w:val="32"/>
        </w:rPr>
        <w:t>相关要求，立足职业教育类型定位，统筹推进思政课守正创新，教育部高校思想政治工作创新发展中心（广东轻工职业技术大学）联合全国高职高专院校思想政治理论课建设联盟，面向全国职业院校专职思政课教师启动2026年度专项课题申报工作。现将有关事项通知如下：</w:t>
      </w:r>
    </w:p>
    <w:p w14:paraId="7A9B5F5B">
      <w:pPr>
        <w:pStyle w:val="2"/>
        <w:widowControl/>
      </w:pPr>
      <w:r>
        <w:t xml:space="preserve"> 一、指导思想</w:t>
      </w:r>
    </w:p>
    <w:p w14:paraId="522E94FA">
      <w:pPr>
        <w:pStyle w:val="11"/>
        <w:widowControl/>
        <w:rPr>
          <w:rFonts w:hint="eastAsia"/>
        </w:rPr>
      </w:pPr>
      <w:r>
        <w:rPr>
          <w:rFonts w:ascii="Times New Roman" w:hAnsi="Times New Roman" w:eastAsia="仿宋_GB2312" w:cs="仿宋_GB2312"/>
          <w:sz w:val="32"/>
          <w:szCs w:val="32"/>
        </w:rPr>
        <w:t>以习近平新时代中国特色社会主义思想为根本遵循，统筹“两个大局”、心怀“国之大者”</w:t>
      </w:r>
      <w:r>
        <w:rPr>
          <w:rFonts w:hint="eastAsia" w:cs="仿宋_GB2312"/>
          <w:sz w:val="32"/>
          <w:szCs w:val="32"/>
          <w:lang w:eastAsia="zh-CN"/>
        </w:rPr>
        <w:t>，</w:t>
      </w:r>
      <w:r>
        <w:rPr>
          <w:rFonts w:ascii="Times New Roman" w:hAnsi="Times New Roman" w:eastAsia="仿宋_GB2312" w:cs="仿宋_GB2312"/>
          <w:sz w:val="32"/>
          <w:szCs w:val="32"/>
        </w:rPr>
        <w:t>坚持立德树人根本任务，紧扣职教特色、</w:t>
      </w:r>
      <w:r>
        <w:rPr>
          <w:rFonts w:hint="eastAsia" w:cs="仿宋_GB2312"/>
          <w:sz w:val="32"/>
          <w:szCs w:val="32"/>
          <w:lang w:eastAsia="zh-CN"/>
        </w:rPr>
        <w:t>“</w:t>
      </w:r>
      <w:r>
        <w:rPr>
          <w:rFonts w:ascii="Times New Roman" w:hAnsi="Times New Roman" w:eastAsia="仿宋_GB2312" w:cs="仿宋_GB2312"/>
          <w:sz w:val="32"/>
          <w:szCs w:val="32"/>
        </w:rPr>
        <w:t>05后</w:t>
      </w:r>
      <w:r>
        <w:rPr>
          <w:rFonts w:hint="eastAsia" w:cs="仿宋_GB2312"/>
          <w:sz w:val="32"/>
          <w:szCs w:val="32"/>
          <w:lang w:eastAsia="zh-CN"/>
        </w:rPr>
        <w:t>”</w:t>
      </w:r>
      <w:r>
        <w:rPr>
          <w:rFonts w:ascii="Times New Roman" w:hAnsi="Times New Roman" w:eastAsia="仿宋_GB2312" w:cs="仿宋_GB2312"/>
          <w:sz w:val="32"/>
          <w:szCs w:val="32"/>
        </w:rPr>
        <w:t>学情、数智赋能、五门核心思政课建设四大主线，兼顾理论高度、时代内涵、实践价值、世界视野与战略思维。聚焦职业院校思政课堂痛点、学生思想难点、育人机制堵点开展实证研究，产出一批可复制、可推广、可转化的教学改革成果、实践育人资源与决策咨政材料，持续提升职业院校思政课思想性、理论性、亲和力、针对性。</w:t>
      </w:r>
    </w:p>
    <w:p w14:paraId="6F379A7C">
      <w:pPr>
        <w:pStyle w:val="2"/>
        <w:widowControl/>
      </w:pPr>
      <w:r>
        <w:t xml:space="preserve"> 二、重点研究方向</w:t>
      </w:r>
    </w:p>
    <w:p w14:paraId="06F10C10">
      <w:pPr>
        <w:pStyle w:val="11"/>
        <w:widowControl/>
        <w:rPr>
          <w:rFonts w:ascii="Times New Roman" w:hAnsi="Times New Roman" w:eastAsia="仿宋_GB2312" w:cs="仿宋_GB2312"/>
          <w:sz w:val="32"/>
          <w:szCs w:val="32"/>
        </w:rPr>
      </w:pPr>
      <w:r>
        <w:rPr>
          <w:rFonts w:ascii="Times New Roman" w:hAnsi="Times New Roman" w:eastAsia="仿宋_GB2312" w:cs="仿宋_GB2312"/>
          <w:sz w:val="32"/>
          <w:szCs w:val="32"/>
        </w:rPr>
        <w:t>本年度不限制固定课题名称，申报人可结合本校办学类型（高职</w:t>
      </w:r>
      <w:r>
        <w:rPr>
          <w:rFonts w:hint="eastAsia" w:cs="仿宋_GB2312"/>
          <w:sz w:val="32"/>
          <w:szCs w:val="32"/>
          <w:lang w:val="en-US" w:eastAsia="zh-CN"/>
        </w:rPr>
        <w:t>或</w:t>
      </w:r>
      <w:r>
        <w:rPr>
          <w:rFonts w:ascii="Times New Roman" w:hAnsi="Times New Roman" w:eastAsia="仿宋_GB2312" w:cs="仿宋_GB2312"/>
          <w:sz w:val="32"/>
          <w:szCs w:val="32"/>
        </w:rPr>
        <w:t>职业本科）、专业特色，在以下七大方向内自主细化选题：</w:t>
      </w:r>
    </w:p>
    <w:p w14:paraId="2D50D9A3">
      <w:pPr>
        <w:pStyle w:val="3"/>
        <w:widowControl/>
        <w:numPr>
          <w:ilvl w:val="0"/>
          <w:numId w:val="0"/>
        </w:numPr>
        <w:topLinePunct w:val="0"/>
        <w:ind w:left="0" w:leftChars="0" w:firstLine="640"/>
        <w:rPr>
          <w:rFonts w:hint="eastAsia" w:eastAsia="楷体_GB2312"/>
          <w:b w:val="0"/>
          <w:lang w:eastAsia="zh-CN"/>
        </w:rPr>
      </w:pPr>
      <w:r>
        <w:rPr>
          <w:rFonts w:hint="eastAsia"/>
          <w:lang w:eastAsia="zh-CN"/>
        </w:rPr>
        <w:t>（一）</w:t>
      </w:r>
      <w:r>
        <w:t>五门核心思政课专项建设研究</w:t>
      </w:r>
    </w:p>
    <w:p w14:paraId="681E4A7C">
      <w:pPr>
        <w:pStyle w:val="11"/>
        <w:widowControl/>
        <w:rPr>
          <w:rFonts w:ascii="Times New Roman" w:hAnsi="Times New Roman" w:eastAsia="仿宋_GB2312" w:cs="仿宋_GB2312"/>
          <w:sz w:val="32"/>
          <w:szCs w:val="32"/>
        </w:rPr>
      </w:pPr>
      <w:r>
        <w:rPr>
          <w:rFonts w:ascii="Times New Roman" w:hAnsi="Times New Roman" w:eastAsia="仿宋_GB2312" w:cs="仿宋_GB2312"/>
          <w:sz w:val="32"/>
          <w:szCs w:val="32"/>
        </w:rPr>
        <w:t>围绕《习近平新时代中国特色社会主义思想概论》《马克思主义基本原理》《毛泽东思想和中国特色社会主义理论体系概论》《中国近现代史纲要》《思想道德与法治》，开展专题模块化教学设计、教学重难点破解、统编教材校本转化、特色案例开发、实践课堂重构、考核评价体系改革等应用型研究。</w:t>
      </w:r>
    </w:p>
    <w:p w14:paraId="224BD641">
      <w:pPr>
        <w:pStyle w:val="3"/>
        <w:widowControl/>
        <w:numPr>
          <w:ilvl w:val="0"/>
          <w:numId w:val="0"/>
        </w:numPr>
        <w:topLinePunct w:val="0"/>
        <w:ind w:left="0" w:leftChars="0" w:firstLine="640"/>
        <w:rPr>
          <w:rFonts w:hint="eastAsia" w:eastAsia="楷体_GB2312"/>
          <w:b w:val="0"/>
          <w:lang w:eastAsia="zh-CN"/>
        </w:rPr>
      </w:pPr>
      <w:r>
        <w:rPr>
          <w:rFonts w:hint="eastAsia"/>
          <w:lang w:eastAsia="zh-CN"/>
        </w:rPr>
        <w:t>（二）“05后”</w:t>
      </w:r>
      <w:r>
        <w:rPr>
          <w:rFonts w:hint="eastAsia"/>
          <w:lang w:val="en-US" w:eastAsia="zh-CN"/>
        </w:rPr>
        <w:t>大学生</w:t>
      </w:r>
      <w:r>
        <w:t>精准学情与分众育人研究</w:t>
      </w:r>
    </w:p>
    <w:p w14:paraId="1686625A">
      <w:pPr>
        <w:pStyle w:val="11"/>
        <w:widowControl/>
        <w:rPr>
          <w:rFonts w:ascii="Times New Roman" w:hAnsi="Times New Roman" w:eastAsia="仿宋_GB2312" w:cs="仿宋_GB2312"/>
          <w:sz w:val="32"/>
          <w:szCs w:val="32"/>
        </w:rPr>
      </w:pPr>
      <w:r>
        <w:rPr>
          <w:rFonts w:ascii="Times New Roman" w:hAnsi="Times New Roman" w:eastAsia="仿宋_GB2312" w:cs="仿宋_GB2312"/>
          <w:sz w:val="32"/>
          <w:szCs w:val="32"/>
        </w:rPr>
        <w:t>立足</w:t>
      </w:r>
      <w:r>
        <w:rPr>
          <w:rFonts w:hint="eastAsia" w:cs="仿宋_GB2312"/>
          <w:sz w:val="32"/>
          <w:szCs w:val="32"/>
          <w:lang w:eastAsia="zh-CN"/>
        </w:rPr>
        <w:t>“</w:t>
      </w:r>
      <w:r>
        <w:rPr>
          <w:rFonts w:ascii="Times New Roman" w:hAnsi="Times New Roman" w:eastAsia="仿宋_GB2312" w:cs="仿宋_GB2312"/>
          <w:sz w:val="32"/>
          <w:szCs w:val="32"/>
        </w:rPr>
        <w:t>05</w:t>
      </w:r>
      <w:r>
        <w:rPr>
          <w:rFonts w:hint="eastAsia" w:cs="仿宋_GB2312"/>
          <w:sz w:val="32"/>
          <w:szCs w:val="32"/>
          <w:lang w:eastAsia="zh-CN"/>
        </w:rPr>
        <w:t>后”</w:t>
      </w:r>
      <w:r>
        <w:rPr>
          <w:rFonts w:ascii="Times New Roman" w:hAnsi="Times New Roman" w:eastAsia="仿宋_GB2312" w:cs="仿宋_GB2312"/>
          <w:sz w:val="32"/>
          <w:szCs w:val="32"/>
        </w:rPr>
        <w:t>学生互联网原住民、圈层社交、短视频依赖、</w:t>
      </w:r>
      <w:r>
        <w:rPr>
          <w:rFonts w:hint="eastAsia" w:cs="仿宋_GB2312"/>
          <w:sz w:val="32"/>
          <w:szCs w:val="32"/>
          <w:lang w:val="en-US" w:eastAsia="zh-CN"/>
        </w:rPr>
        <w:t>就</w:t>
      </w:r>
      <w:r>
        <w:rPr>
          <w:rFonts w:ascii="Times New Roman" w:hAnsi="Times New Roman" w:eastAsia="仿宋_GB2312" w:cs="仿宋_GB2312"/>
          <w:sz w:val="32"/>
          <w:szCs w:val="32"/>
        </w:rPr>
        <w:t>业焦虑、价值多元等群体特征，开展常态化思想动态调研、青年话语转化、分层分类教学、心理育人与价值引领协同机制研究。</w:t>
      </w:r>
    </w:p>
    <w:p w14:paraId="1FC11F47">
      <w:pPr>
        <w:pStyle w:val="3"/>
        <w:widowControl/>
        <w:numPr>
          <w:ilvl w:val="0"/>
          <w:numId w:val="0"/>
        </w:numPr>
        <w:topLinePunct w:val="0"/>
        <w:ind w:left="0" w:leftChars="0" w:firstLine="640"/>
        <w:rPr>
          <w:rFonts w:hint="eastAsia" w:eastAsia="楷体_GB2312"/>
          <w:b w:val="0"/>
          <w:lang w:eastAsia="zh-CN"/>
        </w:rPr>
      </w:pPr>
      <w:r>
        <w:rPr>
          <w:rFonts w:hint="eastAsia"/>
          <w:lang w:eastAsia="zh-CN"/>
        </w:rPr>
        <w:t>（三）</w:t>
      </w:r>
      <w:r>
        <w:t>党的创新理论系统融入路径研究</w:t>
      </w:r>
    </w:p>
    <w:p w14:paraId="049DA306">
      <w:pPr>
        <w:pStyle w:val="11"/>
        <w:widowControl/>
        <w:rPr>
          <w:rFonts w:ascii="Times New Roman" w:hAnsi="Times New Roman" w:eastAsia="仿宋_GB2312" w:cs="仿宋_GB2312"/>
          <w:sz w:val="32"/>
          <w:szCs w:val="32"/>
        </w:rPr>
      </w:pPr>
      <w:r>
        <w:rPr>
          <w:rFonts w:ascii="Times New Roman" w:hAnsi="Times New Roman" w:eastAsia="仿宋_GB2312" w:cs="仿宋_GB2312"/>
          <w:sz w:val="32"/>
          <w:szCs w:val="32"/>
        </w:rPr>
        <w:t>系统探索习近平文化思想、习近平党建思想、“第二个结合”、铸牢中华民族共同体意识、新质生产力、中国式现代化等重大理论有机融入五门思政课的教学载体、叙事体系、资源供给与长效机制。</w:t>
      </w:r>
    </w:p>
    <w:p w14:paraId="326B0F79">
      <w:pPr>
        <w:pStyle w:val="3"/>
        <w:widowControl/>
        <w:numPr>
          <w:ilvl w:val="0"/>
          <w:numId w:val="0"/>
        </w:numPr>
        <w:topLinePunct w:val="0"/>
        <w:ind w:left="0" w:leftChars="0" w:firstLine="640"/>
        <w:rPr>
          <w:rFonts w:hint="eastAsia" w:eastAsia="楷体_GB2312"/>
          <w:b w:val="0"/>
          <w:lang w:eastAsia="zh-CN"/>
        </w:rPr>
      </w:pPr>
      <w:r>
        <w:rPr>
          <w:rFonts w:hint="eastAsia"/>
          <w:lang w:eastAsia="zh-CN"/>
        </w:rPr>
        <w:t>（四）</w:t>
      </w:r>
      <w:r>
        <w:t>人工智能与数字技术赋能思政课改革研究</w:t>
      </w:r>
    </w:p>
    <w:p w14:paraId="0A1F9A3C">
      <w:pPr>
        <w:pStyle w:val="11"/>
        <w:widowControl/>
        <w:rPr>
          <w:rFonts w:ascii="Times New Roman" w:hAnsi="Times New Roman" w:eastAsia="仿宋_GB2312" w:cs="仿宋_GB2312"/>
          <w:sz w:val="32"/>
          <w:szCs w:val="32"/>
        </w:rPr>
      </w:pPr>
      <w:r>
        <w:rPr>
          <w:rFonts w:ascii="Times New Roman" w:hAnsi="Times New Roman" w:eastAsia="仿宋_GB2312" w:cs="仿宋_GB2312"/>
          <w:sz w:val="32"/>
          <w:szCs w:val="32"/>
        </w:rPr>
        <w:t>鼓励生成式AI、大数据学情画像、虚拟仿真、知识图谱、沉浸式红色场馆、智慧备课平台等新技术落地应用，同步研究数字伦理、算法风险、网络意识形态治理等配套问题，推动思政课数字化、智能化转型。</w:t>
      </w:r>
    </w:p>
    <w:p w14:paraId="5E28EBEE">
      <w:pPr>
        <w:pStyle w:val="3"/>
        <w:widowControl/>
        <w:numPr>
          <w:ilvl w:val="0"/>
          <w:numId w:val="0"/>
        </w:numPr>
        <w:topLinePunct w:val="0"/>
        <w:ind w:left="0" w:leftChars="0" w:firstLine="640"/>
        <w:rPr>
          <w:rFonts w:hint="eastAsia" w:eastAsia="楷体_GB2312"/>
          <w:b w:val="0"/>
          <w:lang w:eastAsia="zh-CN"/>
        </w:rPr>
      </w:pPr>
      <w:r>
        <w:rPr>
          <w:rFonts w:hint="eastAsia"/>
          <w:lang w:eastAsia="zh-CN"/>
        </w:rPr>
        <w:t>（五）</w:t>
      </w:r>
      <w:r>
        <w:t>职业教育特色“大思政课”体系研究</w:t>
      </w:r>
    </w:p>
    <w:p w14:paraId="5B6A34DC">
      <w:pPr>
        <w:pStyle w:val="11"/>
        <w:widowControl/>
        <w:rPr>
          <w:rFonts w:ascii="Times New Roman" w:hAnsi="Times New Roman" w:eastAsia="仿宋_GB2312" w:cs="仿宋_GB2312"/>
          <w:sz w:val="32"/>
          <w:szCs w:val="32"/>
        </w:rPr>
      </w:pPr>
      <w:r>
        <w:rPr>
          <w:rFonts w:ascii="Times New Roman" w:hAnsi="Times New Roman" w:eastAsia="仿宋_GB2312" w:cs="仿宋_GB2312"/>
          <w:sz w:val="32"/>
          <w:szCs w:val="32"/>
        </w:rPr>
        <w:t>紧扣德技并修育人目标，围绕工匠精神、劳动精神、劳模精神、职业伦理、产教融合、校企共建、产业一线实践、乡村振兴服务等方向，打造辨识度鲜明的职教育人模式与教学资源。</w:t>
      </w:r>
    </w:p>
    <w:p w14:paraId="25E982D8">
      <w:pPr>
        <w:pStyle w:val="3"/>
        <w:widowControl/>
        <w:numPr>
          <w:ilvl w:val="0"/>
          <w:numId w:val="0"/>
        </w:numPr>
        <w:topLinePunct w:val="0"/>
        <w:ind w:left="0" w:leftChars="0" w:firstLine="640"/>
        <w:rPr>
          <w:rFonts w:hint="eastAsia" w:eastAsia="楷体_GB2312"/>
          <w:b w:val="0"/>
          <w:lang w:eastAsia="zh-CN"/>
        </w:rPr>
      </w:pPr>
      <w:r>
        <w:rPr>
          <w:rFonts w:hint="eastAsia"/>
          <w:lang w:eastAsia="zh-CN"/>
        </w:rPr>
        <w:t>（六）</w:t>
      </w:r>
      <w:r>
        <w:t>全球视野与战略思维培育路径研究</w:t>
      </w:r>
    </w:p>
    <w:p w14:paraId="1F965E44">
      <w:pPr>
        <w:pStyle w:val="11"/>
        <w:widowControl/>
        <w:rPr>
          <w:rFonts w:ascii="Times New Roman" w:hAnsi="Times New Roman" w:eastAsia="仿宋_GB2312" w:cs="仿宋_GB2312"/>
          <w:sz w:val="32"/>
          <w:szCs w:val="32"/>
        </w:rPr>
      </w:pPr>
      <w:r>
        <w:rPr>
          <w:rFonts w:ascii="Times New Roman" w:hAnsi="Times New Roman" w:eastAsia="仿宋_GB2312" w:cs="仿宋_GB2312"/>
          <w:sz w:val="32"/>
          <w:szCs w:val="32"/>
        </w:rPr>
        <w:t>立足百年未有之大变局，围绕人类命运共同体、人类文明新形态、总体国家安全观、大历史观、中外现代化道路比较等内容，探索思政课培育青年全球胜任力、战略思维的教学载体。</w:t>
      </w:r>
    </w:p>
    <w:p w14:paraId="6CE970DD">
      <w:pPr>
        <w:pStyle w:val="3"/>
        <w:widowControl/>
        <w:numPr>
          <w:ilvl w:val="0"/>
          <w:numId w:val="0"/>
        </w:numPr>
        <w:topLinePunct w:val="0"/>
        <w:ind w:left="0" w:leftChars="0" w:firstLine="640"/>
        <w:rPr>
          <w:rFonts w:hint="eastAsia" w:eastAsia="楷体_GB2312"/>
          <w:b w:val="0"/>
          <w:lang w:eastAsia="zh-CN"/>
        </w:rPr>
      </w:pPr>
      <w:r>
        <w:rPr>
          <w:rFonts w:hint="eastAsia"/>
          <w:lang w:eastAsia="zh-CN"/>
        </w:rPr>
        <w:t>（七）</w:t>
      </w:r>
      <w:r>
        <w:t>一体化协同育人机制创新研究</w:t>
      </w:r>
    </w:p>
    <w:p w14:paraId="063CF6E4">
      <w:pPr>
        <w:pStyle w:val="11"/>
        <w:widowControl/>
        <w:rPr>
          <w:rFonts w:hint="eastAsia"/>
        </w:rPr>
      </w:pPr>
      <w:r>
        <w:rPr>
          <w:rFonts w:ascii="Times New Roman" w:hAnsi="Times New Roman" w:eastAsia="仿宋_GB2312" w:cs="仿宋_GB2312"/>
          <w:sz w:val="32"/>
          <w:szCs w:val="32"/>
        </w:rPr>
        <w:t>涵盖大中小学思政课梯度衔接、校馆企协同实践基地建设、“思政课程＋课程思政”双向融合、区域思政资源共建共享、思政智库咨政服务、“双带头人”教师党支部育人品牌建设等综合研究。</w:t>
      </w:r>
    </w:p>
    <w:p w14:paraId="7FF2906D">
      <w:pPr>
        <w:pStyle w:val="2"/>
        <w:widowControl/>
      </w:pPr>
      <w:r>
        <w:t>三、课题类别、资助标准与研究周期</w:t>
      </w:r>
    </w:p>
    <w:p w14:paraId="0DFD7FF5">
      <w:pPr>
        <w:pStyle w:val="11"/>
        <w:widowControl/>
        <w:rPr>
          <w:rFonts w:ascii="Times New Roman" w:hAnsi="Times New Roman" w:eastAsia="仿宋_GB2312" w:cs="仿宋_GB2312"/>
          <w:sz w:val="32"/>
          <w:szCs w:val="32"/>
        </w:rPr>
      </w:pPr>
      <w:r>
        <w:rPr>
          <w:rFonts w:ascii="Times New Roman" w:hAnsi="Times New Roman" w:eastAsia="仿宋_GB2312" w:cs="仿宋_GB2312"/>
          <w:sz w:val="32"/>
          <w:szCs w:val="32"/>
        </w:rPr>
        <w:t>本年度课题分为五大类别，实行分层资助、分类管理：</w:t>
      </w:r>
    </w:p>
    <w:p w14:paraId="083583BD">
      <w:pPr>
        <w:pStyle w:val="3"/>
        <w:widowControl/>
        <w:numPr>
          <w:ilvl w:val="0"/>
          <w:numId w:val="0"/>
        </w:numPr>
        <w:topLinePunct w:val="0"/>
        <w:ind w:left="0" w:leftChars="0" w:firstLine="640"/>
        <w:rPr>
          <w:rFonts w:hint="eastAsia" w:eastAsia="楷体_GB2312"/>
          <w:b w:val="0"/>
          <w:lang w:eastAsia="zh-CN"/>
        </w:rPr>
      </w:pPr>
      <w:r>
        <w:rPr>
          <w:rFonts w:hint="eastAsia"/>
          <w:lang w:eastAsia="zh-CN"/>
        </w:rPr>
        <w:t>（</w:t>
      </w:r>
      <w:r>
        <w:rPr>
          <w:rFonts w:hint="eastAsia"/>
          <w:lang w:val="en-US" w:eastAsia="zh-CN"/>
        </w:rPr>
        <w:t>一</w:t>
      </w:r>
      <w:r>
        <w:rPr>
          <w:rFonts w:hint="eastAsia"/>
          <w:lang w:eastAsia="zh-CN"/>
        </w:rPr>
        <w:t>）</w:t>
      </w:r>
      <w:r>
        <w:t>重点项目</w:t>
      </w:r>
    </w:p>
    <w:p w14:paraId="59C1DC39">
      <w:pPr>
        <w:pStyle w:val="11"/>
        <w:widowControl/>
        <w:rPr>
          <w:rFonts w:ascii="Times New Roman" w:hAnsi="Times New Roman" w:eastAsia="仿宋_GB2312" w:cs="仿宋_GB2312"/>
          <w:sz w:val="32"/>
          <w:szCs w:val="32"/>
        </w:rPr>
      </w:pPr>
      <w:r>
        <w:rPr>
          <w:rFonts w:ascii="Times New Roman" w:hAnsi="Times New Roman" w:eastAsia="仿宋_GB2312" w:cs="仿宋_GB2312"/>
          <w:sz w:val="32"/>
          <w:szCs w:val="32"/>
        </w:rPr>
        <w:t>聚焦五门思政课核心教学改革、重大理论融入、数智平台搭建等关键任务，每项资助</w:t>
      </w:r>
      <w:r>
        <w:rPr>
          <w:rFonts w:hint="eastAsia" w:cs="仿宋_GB2312"/>
          <w:sz w:val="32"/>
          <w:szCs w:val="32"/>
          <w:lang w:val="en-US" w:eastAsia="zh-CN"/>
        </w:rPr>
        <w:t>0.4</w:t>
      </w:r>
      <w:r>
        <w:rPr>
          <w:rFonts w:ascii="Times New Roman" w:hAnsi="Times New Roman" w:eastAsia="仿宋_GB2312" w:cs="仿宋_GB2312"/>
          <w:sz w:val="32"/>
          <w:szCs w:val="32"/>
        </w:rPr>
        <w:t>万元，计划立项</w:t>
      </w:r>
      <w:r>
        <w:rPr>
          <w:rFonts w:hint="eastAsia" w:cs="仿宋_GB2312"/>
          <w:sz w:val="32"/>
          <w:szCs w:val="32"/>
          <w:lang w:val="en-US" w:eastAsia="zh-CN"/>
        </w:rPr>
        <w:t>5</w:t>
      </w:r>
      <w:r>
        <w:rPr>
          <w:rFonts w:ascii="Times New Roman" w:hAnsi="Times New Roman" w:eastAsia="仿宋_GB2312" w:cs="仿宋_GB2312"/>
          <w:sz w:val="32"/>
          <w:szCs w:val="32"/>
        </w:rPr>
        <w:t>项，研究周期</w:t>
      </w:r>
      <w:r>
        <w:rPr>
          <w:rFonts w:hint="eastAsia" w:cs="仿宋_GB2312"/>
          <w:sz w:val="32"/>
          <w:szCs w:val="32"/>
          <w:lang w:val="en-US" w:eastAsia="zh-CN"/>
        </w:rPr>
        <w:t>1</w:t>
      </w:r>
      <w:r>
        <w:rPr>
          <w:rFonts w:ascii="Times New Roman" w:hAnsi="Times New Roman" w:eastAsia="仿宋_GB2312" w:cs="仿宋_GB2312"/>
          <w:sz w:val="32"/>
          <w:szCs w:val="32"/>
        </w:rPr>
        <w:t>年。</w:t>
      </w:r>
    </w:p>
    <w:p w14:paraId="4BDD2143">
      <w:pPr>
        <w:pStyle w:val="3"/>
        <w:widowControl/>
        <w:numPr>
          <w:ilvl w:val="0"/>
          <w:numId w:val="0"/>
        </w:numPr>
        <w:topLinePunct w:val="0"/>
        <w:ind w:left="0" w:leftChars="0" w:firstLine="640"/>
        <w:rPr>
          <w:rFonts w:hint="eastAsia" w:eastAsia="楷体_GB2312"/>
          <w:b w:val="0"/>
          <w:lang w:eastAsia="zh-CN"/>
        </w:rPr>
      </w:pPr>
      <w:r>
        <w:rPr>
          <w:rFonts w:hint="eastAsia"/>
          <w:lang w:eastAsia="zh-CN"/>
        </w:rPr>
        <w:t>（</w:t>
      </w:r>
      <w:r>
        <w:rPr>
          <w:rFonts w:hint="eastAsia"/>
          <w:lang w:val="en-US" w:eastAsia="zh-CN"/>
        </w:rPr>
        <w:t>二</w:t>
      </w:r>
      <w:r>
        <w:rPr>
          <w:rFonts w:hint="eastAsia"/>
          <w:lang w:eastAsia="zh-CN"/>
        </w:rPr>
        <w:t>）</w:t>
      </w:r>
      <w:r>
        <w:t>一般项目</w:t>
      </w:r>
    </w:p>
    <w:p w14:paraId="50CB0B72">
      <w:pPr>
        <w:pStyle w:val="11"/>
        <w:widowControl/>
        <w:rPr>
          <w:rFonts w:ascii="Times New Roman" w:hAnsi="Times New Roman" w:eastAsia="仿宋_GB2312" w:cs="仿宋_GB2312"/>
          <w:sz w:val="32"/>
          <w:szCs w:val="32"/>
        </w:rPr>
      </w:pPr>
      <w:r>
        <w:rPr>
          <w:rFonts w:ascii="Times New Roman" w:hAnsi="Times New Roman" w:eastAsia="仿宋_GB2312" w:cs="仿宋_GB2312"/>
          <w:sz w:val="32"/>
          <w:szCs w:val="32"/>
        </w:rPr>
        <w:t>围绕课堂教学创新、学情调研、实践案例开发等一线教学问题，每项资助</w:t>
      </w:r>
      <w:r>
        <w:rPr>
          <w:rFonts w:hint="eastAsia" w:cs="仿宋_GB2312"/>
          <w:sz w:val="32"/>
          <w:szCs w:val="32"/>
          <w:lang w:val="en-US" w:eastAsia="zh-CN"/>
        </w:rPr>
        <w:t>0.2</w:t>
      </w:r>
      <w:r>
        <w:rPr>
          <w:rFonts w:ascii="Times New Roman" w:hAnsi="Times New Roman" w:eastAsia="仿宋_GB2312" w:cs="仿宋_GB2312"/>
          <w:sz w:val="32"/>
          <w:szCs w:val="32"/>
        </w:rPr>
        <w:t>万元，计划立项</w:t>
      </w:r>
      <w:r>
        <w:rPr>
          <w:rFonts w:hint="eastAsia" w:cs="仿宋_GB2312"/>
          <w:sz w:val="32"/>
          <w:szCs w:val="32"/>
          <w:lang w:val="en-US" w:eastAsia="zh-CN"/>
        </w:rPr>
        <w:t>1</w:t>
      </w:r>
      <w:r>
        <w:rPr>
          <w:rFonts w:ascii="Times New Roman" w:hAnsi="Times New Roman" w:eastAsia="仿宋_GB2312" w:cs="仿宋_GB2312"/>
          <w:sz w:val="32"/>
          <w:szCs w:val="32"/>
        </w:rPr>
        <w:t>0项，研究周期1年。</w:t>
      </w:r>
    </w:p>
    <w:p w14:paraId="26E93D90">
      <w:pPr>
        <w:pStyle w:val="3"/>
        <w:widowControl/>
        <w:numPr>
          <w:ilvl w:val="0"/>
          <w:numId w:val="0"/>
        </w:numPr>
        <w:topLinePunct w:val="0"/>
        <w:ind w:left="0" w:leftChars="0" w:firstLine="640"/>
        <w:rPr>
          <w:rFonts w:hint="eastAsia" w:eastAsia="楷体_GB2312"/>
          <w:b w:val="0"/>
          <w:lang w:eastAsia="zh-CN"/>
        </w:rPr>
      </w:pPr>
      <w:r>
        <w:rPr>
          <w:rFonts w:hint="eastAsia"/>
          <w:lang w:eastAsia="zh-CN"/>
        </w:rPr>
        <w:t>（</w:t>
      </w:r>
      <w:r>
        <w:rPr>
          <w:rFonts w:hint="eastAsia"/>
          <w:lang w:val="en-US" w:eastAsia="zh-CN"/>
        </w:rPr>
        <w:t>三</w:t>
      </w:r>
      <w:r>
        <w:rPr>
          <w:rFonts w:hint="eastAsia"/>
          <w:lang w:eastAsia="zh-CN"/>
        </w:rPr>
        <w:t>）</w:t>
      </w:r>
      <w:r>
        <w:t>青年项目</w:t>
      </w:r>
    </w:p>
    <w:p w14:paraId="0F60F896">
      <w:pPr>
        <w:pStyle w:val="11"/>
        <w:widowControl/>
        <w:rPr>
          <w:rFonts w:ascii="Times New Roman" w:hAnsi="Times New Roman" w:eastAsia="仿宋_GB2312" w:cs="仿宋_GB2312"/>
          <w:sz w:val="32"/>
          <w:szCs w:val="32"/>
        </w:rPr>
      </w:pPr>
      <w:r>
        <w:rPr>
          <w:rFonts w:ascii="Times New Roman" w:hAnsi="Times New Roman" w:eastAsia="仿宋_GB2312" w:cs="仿宋_GB2312"/>
          <w:sz w:val="32"/>
          <w:szCs w:val="32"/>
        </w:rPr>
        <w:t>专项扶持35周岁以下青年专职思政教师，聚焦微课、案例、校本讲义等轻量化教改成果，每项资助</w:t>
      </w:r>
      <w:r>
        <w:rPr>
          <w:rFonts w:hint="eastAsia" w:cs="仿宋_GB2312"/>
          <w:sz w:val="32"/>
          <w:szCs w:val="32"/>
          <w:lang w:val="en-US" w:eastAsia="zh-CN"/>
        </w:rPr>
        <w:t>0.1</w:t>
      </w:r>
      <w:r>
        <w:rPr>
          <w:rFonts w:ascii="Times New Roman" w:hAnsi="Times New Roman" w:eastAsia="仿宋_GB2312" w:cs="仿宋_GB2312"/>
          <w:sz w:val="32"/>
          <w:szCs w:val="32"/>
        </w:rPr>
        <w:t>万元，计划立项</w:t>
      </w:r>
      <w:r>
        <w:rPr>
          <w:rFonts w:hint="eastAsia" w:cs="仿宋_GB2312"/>
          <w:sz w:val="32"/>
          <w:szCs w:val="32"/>
          <w:lang w:val="en-US" w:eastAsia="zh-CN"/>
        </w:rPr>
        <w:t>20</w:t>
      </w:r>
      <w:r>
        <w:rPr>
          <w:rFonts w:ascii="Times New Roman" w:hAnsi="Times New Roman" w:eastAsia="仿宋_GB2312" w:cs="仿宋_GB2312"/>
          <w:sz w:val="32"/>
          <w:szCs w:val="32"/>
        </w:rPr>
        <w:t>项，研究周期1年。</w:t>
      </w:r>
    </w:p>
    <w:p w14:paraId="6B56C52F">
      <w:pPr>
        <w:pStyle w:val="3"/>
        <w:widowControl/>
        <w:numPr>
          <w:ilvl w:val="0"/>
          <w:numId w:val="0"/>
        </w:numPr>
        <w:topLinePunct w:val="0"/>
        <w:ind w:left="0" w:leftChars="0" w:firstLine="640"/>
        <w:rPr>
          <w:rFonts w:hint="eastAsia" w:eastAsia="楷体_GB2312"/>
          <w:b w:val="0"/>
          <w:lang w:eastAsia="zh-CN"/>
        </w:rPr>
      </w:pPr>
      <w:r>
        <w:rPr>
          <w:rFonts w:hint="eastAsia"/>
          <w:lang w:eastAsia="zh-CN"/>
        </w:rPr>
        <w:t>（</w:t>
      </w:r>
      <w:r>
        <w:rPr>
          <w:rFonts w:hint="eastAsia"/>
          <w:lang w:val="en-US" w:eastAsia="zh-CN"/>
        </w:rPr>
        <w:t>四</w:t>
      </w:r>
      <w:r>
        <w:rPr>
          <w:rFonts w:hint="eastAsia"/>
          <w:lang w:eastAsia="zh-CN"/>
        </w:rPr>
        <w:t>）</w:t>
      </w:r>
      <w:r>
        <w:t>自筹立项项目</w:t>
      </w:r>
    </w:p>
    <w:p w14:paraId="7EA3F760">
      <w:pPr>
        <w:pStyle w:val="11"/>
        <w:widowControl/>
        <w:rPr>
          <w:rFonts w:hint="eastAsia"/>
        </w:rPr>
      </w:pPr>
      <w:r>
        <w:rPr>
          <w:rFonts w:ascii="Times New Roman" w:hAnsi="Times New Roman" w:eastAsia="仿宋_GB2312" w:cs="仿宋_GB2312"/>
          <w:sz w:val="32"/>
          <w:szCs w:val="32"/>
        </w:rPr>
        <w:t>由申报单位配套经费自主开展研究，不限立项数量，研究周期1年。</w:t>
      </w:r>
    </w:p>
    <w:p w14:paraId="7D244CD7">
      <w:pPr>
        <w:pStyle w:val="2"/>
        <w:widowControl/>
      </w:pPr>
      <w:r>
        <w:t xml:space="preserve"> 四、申报资格与限制条件</w:t>
      </w:r>
    </w:p>
    <w:p w14:paraId="062579B2">
      <w:pPr>
        <w:pStyle w:val="11"/>
        <w:widowControl/>
        <w:numPr>
          <w:ilvl w:val="0"/>
          <w:numId w:val="0"/>
        </w:numPr>
        <w:topLinePunct w:val="0"/>
        <w:ind w:left="0" w:leftChars="0" w:firstLine="616"/>
        <w:rPr>
          <w:rFonts w:ascii="Times New Roman" w:hAnsi="Times New Roman" w:eastAsia="仿宋_GB2312" w:cs="仿宋_GB2312"/>
          <w:b w:val="0"/>
          <w:sz w:val="32"/>
          <w:szCs w:val="32"/>
        </w:rPr>
      </w:pPr>
      <w:r>
        <w:rPr>
          <w:rStyle w:val="24"/>
          <w:rFonts w:hint="eastAsia" w:eastAsia="楷体_GB2312"/>
          <w:lang w:eastAsia="zh-CN"/>
        </w:rPr>
        <w:t>（一）</w:t>
      </w:r>
      <w:r>
        <w:rPr>
          <w:rStyle w:val="24"/>
        </w:rPr>
        <w:t>主体要求</w:t>
      </w:r>
      <w:r>
        <w:rPr>
          <w:rFonts w:ascii="Times New Roman" w:hAnsi="Times New Roman" w:eastAsia="仿宋_GB2312" w:cs="仿宋_GB2312"/>
          <w:sz w:val="32"/>
          <w:szCs w:val="32"/>
        </w:rPr>
        <w:t>：申报人为全国高职、职业本科院校马克思主义学院（思政部）在岗专职思政课教师，全程承担教学与课题研究工作。</w:t>
      </w:r>
    </w:p>
    <w:p w14:paraId="5D819612">
      <w:pPr>
        <w:pStyle w:val="11"/>
        <w:widowControl/>
        <w:numPr>
          <w:ilvl w:val="0"/>
          <w:numId w:val="0"/>
        </w:numPr>
        <w:topLinePunct w:val="0"/>
        <w:ind w:left="0" w:leftChars="0" w:firstLine="616"/>
        <w:rPr>
          <w:rFonts w:ascii="Times New Roman" w:hAnsi="Times New Roman" w:eastAsia="仿宋_GB2312" w:cs="仿宋_GB2312"/>
          <w:b w:val="0"/>
          <w:sz w:val="32"/>
          <w:szCs w:val="32"/>
        </w:rPr>
      </w:pPr>
      <w:r>
        <w:rPr>
          <w:rStyle w:val="24"/>
          <w:rFonts w:hint="eastAsia" w:eastAsia="楷体_GB2312"/>
          <w:lang w:eastAsia="zh-CN"/>
        </w:rPr>
        <w:t>（二）</w:t>
      </w:r>
      <w:r>
        <w:rPr>
          <w:rStyle w:val="24"/>
        </w:rPr>
        <w:t>政治与学风要求</w:t>
      </w:r>
      <w:r>
        <w:rPr>
          <w:rFonts w:ascii="Times New Roman" w:hAnsi="Times New Roman" w:eastAsia="仿宋_GB2312" w:cs="仿宋_GB2312"/>
          <w:sz w:val="32"/>
          <w:szCs w:val="32"/>
        </w:rPr>
        <w:t>：政治立场坚定，恪守学术规范，无学术不端、师德失范记录。</w:t>
      </w:r>
      <w:r>
        <w:rPr>
          <w:rFonts w:hint="eastAsia" w:ascii="Times New Roman" w:hAnsi="Times New Roman" w:eastAsia="仿宋_GB2312" w:cs="仿宋_GB2312"/>
          <w:sz w:val="32"/>
          <w:szCs w:val="32"/>
          <w:lang w:eastAsia="zh-CN"/>
        </w:rPr>
        <w:t>申请人应如实填报材料，确保无知识产权争议。</w:t>
      </w:r>
    </w:p>
    <w:p w14:paraId="35478ED4">
      <w:pPr>
        <w:pStyle w:val="11"/>
        <w:widowControl/>
        <w:numPr>
          <w:ilvl w:val="0"/>
          <w:numId w:val="0"/>
        </w:numPr>
        <w:topLinePunct w:val="0"/>
        <w:ind w:left="0" w:leftChars="0" w:firstLine="616"/>
        <w:rPr>
          <w:rFonts w:ascii="Times New Roman" w:hAnsi="Times New Roman" w:eastAsia="仿宋_GB2312" w:cs="仿宋_GB2312"/>
          <w:b w:val="0"/>
          <w:sz w:val="32"/>
          <w:szCs w:val="32"/>
        </w:rPr>
      </w:pPr>
      <w:r>
        <w:rPr>
          <w:rStyle w:val="24"/>
          <w:rFonts w:hint="eastAsia" w:eastAsia="楷体_GB2312"/>
          <w:lang w:eastAsia="zh-CN"/>
        </w:rPr>
        <w:t>（三）</w:t>
      </w:r>
      <w:r>
        <w:rPr>
          <w:rStyle w:val="24"/>
        </w:rPr>
        <w:t>申报限额</w:t>
      </w:r>
      <w:r>
        <w:rPr>
          <w:rFonts w:ascii="Times New Roman" w:hAnsi="Times New Roman" w:eastAsia="仿宋_GB2312" w:cs="仿宋_GB2312"/>
          <w:sz w:val="32"/>
          <w:szCs w:val="32"/>
        </w:rPr>
        <w:t>：每位申请人仅可主持1项本批次课题，可作为成员参与其他项目申报，课题组成员须本人知情同意。</w:t>
      </w:r>
    </w:p>
    <w:p w14:paraId="381AE8FE">
      <w:pPr>
        <w:pStyle w:val="3"/>
        <w:numPr>
          <w:ilvl w:val="0"/>
          <w:numId w:val="0"/>
        </w:numPr>
        <w:topLinePunct w:val="0"/>
        <w:bidi w:val="0"/>
        <w:ind w:left="0" w:leftChars="0" w:firstLine="616"/>
        <w:rPr>
          <w:rFonts w:hint="eastAsia" w:ascii="Times New Roman" w:hAnsi="Times New Roman" w:eastAsia="楷体_GB2312" w:cs="仿宋_GB2312"/>
          <w:b w:val="0"/>
          <w:szCs w:val="32"/>
          <w:lang w:eastAsia="zh-CN"/>
        </w:rPr>
      </w:pPr>
      <w:r>
        <w:rPr>
          <w:rFonts w:hint="eastAsia"/>
          <w:lang w:eastAsia="zh-CN"/>
        </w:rPr>
        <w:t>（四）</w:t>
      </w:r>
      <w:r>
        <w:t>职称年龄门槛</w:t>
      </w:r>
    </w:p>
    <w:p w14:paraId="1F9E96E4">
      <w:pPr>
        <w:pStyle w:val="11"/>
        <w:keepNext w:val="0"/>
        <w:keepLines w:val="0"/>
        <w:pageBreakBefore w:val="0"/>
        <w:widowControl/>
        <w:numPr>
          <w:ilvl w:val="0"/>
          <w:numId w:val="0"/>
        </w:numPr>
        <w:kinsoku/>
        <w:wordWrap/>
        <w:overflowPunct/>
        <w:topLinePunct w:val="0"/>
        <w:autoSpaceDE/>
        <w:autoSpaceDN/>
        <w:bidi w:val="0"/>
        <w:adjustRightInd/>
        <w:snapToGrid/>
        <w:ind w:firstLine="616" w:firstLineChars="200"/>
        <w:textAlignment w:val="auto"/>
        <w:rPr>
          <w:rFonts w:ascii="Times New Roman" w:hAnsi="Times New Roman" w:eastAsia="仿宋_GB2312" w:cs="仿宋_GB2312"/>
          <w:sz w:val="32"/>
          <w:szCs w:val="32"/>
        </w:rPr>
      </w:pPr>
      <w:r>
        <w:rPr>
          <w:rFonts w:hint="eastAsia" w:cs="仿宋_GB2312"/>
          <w:sz w:val="32"/>
          <w:szCs w:val="32"/>
          <w:lang w:val="en-US" w:eastAsia="zh-CN"/>
        </w:rPr>
        <w:t>1.</w:t>
      </w:r>
      <w:r>
        <w:rPr>
          <w:rFonts w:hint="eastAsia" w:ascii="仿宋" w:hAnsi="仿宋" w:eastAsia="仿宋" w:cs="仿宋"/>
          <w:spacing w:val="-6"/>
          <w:sz w:val="32"/>
          <w:szCs w:val="32"/>
          <w:lang w:val="en-US" w:eastAsia="zh-CN"/>
        </w:rPr>
        <w:t>重点</w:t>
      </w:r>
      <w:r>
        <w:rPr>
          <w:rFonts w:ascii="Times New Roman" w:hAnsi="Times New Roman" w:eastAsia="仿宋_GB2312" w:cs="仿宋_GB2312"/>
          <w:sz w:val="32"/>
          <w:szCs w:val="32"/>
        </w:rPr>
        <w:t>项目主持人</w:t>
      </w:r>
      <w:r>
        <w:rPr>
          <w:rFonts w:hint="eastAsia" w:cs="仿宋_GB2312"/>
          <w:sz w:val="32"/>
          <w:szCs w:val="32"/>
          <w:lang w:eastAsia="zh-CN"/>
        </w:rPr>
        <w:t>原则上应</w:t>
      </w:r>
      <w:r>
        <w:rPr>
          <w:rFonts w:ascii="Times New Roman" w:hAnsi="Times New Roman" w:eastAsia="仿宋_GB2312" w:cs="仿宋_GB2312"/>
          <w:sz w:val="32"/>
          <w:szCs w:val="32"/>
        </w:rPr>
        <w:t>具备</w:t>
      </w:r>
      <w:r>
        <w:rPr>
          <w:rFonts w:hint="eastAsia" w:cs="仿宋_GB2312"/>
          <w:sz w:val="32"/>
          <w:szCs w:val="32"/>
          <w:lang w:val="en-US" w:eastAsia="zh-CN"/>
        </w:rPr>
        <w:t>博士学位或</w:t>
      </w:r>
      <w:r>
        <w:rPr>
          <w:rFonts w:ascii="Times New Roman" w:hAnsi="Times New Roman" w:eastAsia="仿宋_GB2312" w:cs="仿宋_GB2312"/>
          <w:sz w:val="32"/>
          <w:szCs w:val="32"/>
        </w:rPr>
        <w:t>副高级及以上专业技术职务；</w:t>
      </w:r>
    </w:p>
    <w:p w14:paraId="4833C2A8">
      <w:pPr>
        <w:pStyle w:val="11"/>
        <w:keepNext w:val="0"/>
        <w:keepLines w:val="0"/>
        <w:pageBreakBefore w:val="0"/>
        <w:widowControl/>
        <w:numPr>
          <w:ilvl w:val="0"/>
          <w:numId w:val="0"/>
        </w:numPr>
        <w:kinsoku/>
        <w:wordWrap/>
        <w:overflowPunct/>
        <w:topLinePunct w:val="0"/>
        <w:autoSpaceDE/>
        <w:autoSpaceDN/>
        <w:bidi w:val="0"/>
        <w:adjustRightInd/>
        <w:snapToGrid/>
        <w:ind w:firstLine="616" w:firstLineChars="200"/>
        <w:textAlignment w:val="auto"/>
        <w:rPr>
          <w:rFonts w:hint="eastAsia" w:ascii="仿宋_GB2312" w:hAnsi="仿宋_GB2312" w:eastAsia="仿宋_GB2312" w:cs="仿宋_GB2312"/>
          <w:b w:val="0"/>
          <w:sz w:val="32"/>
          <w:szCs w:val="32"/>
        </w:rPr>
      </w:pPr>
      <w:r>
        <w:rPr>
          <w:rFonts w:hint="eastAsia" w:cs="仿宋_GB2312"/>
          <w:sz w:val="32"/>
          <w:szCs w:val="32"/>
          <w:lang w:val="en-US" w:eastAsia="zh-CN"/>
        </w:rPr>
        <w:t>2.</w:t>
      </w:r>
      <w:r>
        <w:rPr>
          <w:rFonts w:ascii="Times New Roman" w:hAnsi="Times New Roman" w:eastAsia="仿宋_GB2312" w:cs="仿宋_GB2312"/>
          <w:sz w:val="32"/>
          <w:szCs w:val="32"/>
        </w:rPr>
        <w:t>青年项目主持人年龄不超过35周岁（1991年1月1日后出生），专职从事思政教学满1年。</w:t>
      </w:r>
    </w:p>
    <w:p w14:paraId="72F924A8">
      <w:pPr>
        <w:pStyle w:val="3"/>
        <w:numPr>
          <w:ilvl w:val="0"/>
          <w:numId w:val="0"/>
        </w:numPr>
        <w:topLinePunct w:val="0"/>
        <w:bidi w:val="0"/>
        <w:ind w:left="0" w:leftChars="0" w:firstLine="616"/>
        <w:rPr>
          <w:rFonts w:hint="eastAsia" w:ascii="Times New Roman" w:hAnsi="Times New Roman" w:eastAsia="楷体_GB2312" w:cs="仿宋_GB2312"/>
          <w:b w:val="0"/>
          <w:szCs w:val="32"/>
          <w:lang w:eastAsia="zh-CN"/>
        </w:rPr>
      </w:pPr>
      <w:r>
        <w:rPr>
          <w:rFonts w:hint="eastAsia"/>
          <w:lang w:eastAsia="zh-CN"/>
        </w:rPr>
        <w:t>（五）</w:t>
      </w:r>
      <w:r>
        <w:t>禁止申报情形</w:t>
      </w:r>
    </w:p>
    <w:p w14:paraId="5EDF0B7F">
      <w:pPr>
        <w:pStyle w:val="11"/>
        <w:keepNext w:val="0"/>
        <w:keepLines w:val="0"/>
        <w:pageBreakBefore w:val="0"/>
        <w:widowControl/>
        <w:numPr>
          <w:ilvl w:val="0"/>
          <w:numId w:val="0"/>
        </w:numPr>
        <w:kinsoku/>
        <w:wordWrap/>
        <w:overflowPunct/>
        <w:topLinePunct w:val="0"/>
        <w:autoSpaceDE/>
        <w:autoSpaceDN/>
        <w:bidi w:val="0"/>
        <w:adjustRightInd/>
        <w:snapToGrid/>
        <w:ind w:firstLine="616" w:firstLineChars="200"/>
        <w:textAlignment w:val="auto"/>
        <w:rPr>
          <w:rFonts w:hint="eastAsia" w:ascii="Times New Roman" w:hAnsi="Times New Roman" w:eastAsia="仿宋_GB2312" w:cs="仿宋_GB2312"/>
          <w:sz w:val="32"/>
          <w:szCs w:val="32"/>
          <w:lang w:eastAsia="zh-CN"/>
        </w:rPr>
      </w:pPr>
      <w:r>
        <w:rPr>
          <w:rFonts w:hint="eastAsia" w:cs="仿宋_GB2312"/>
          <w:sz w:val="32"/>
          <w:szCs w:val="32"/>
          <w:lang w:val="en-US" w:eastAsia="zh-CN"/>
        </w:rPr>
        <w:t>1.</w:t>
      </w:r>
      <w:r>
        <w:rPr>
          <w:rFonts w:ascii="Times New Roman" w:hAnsi="Times New Roman" w:eastAsia="仿宋_GB2312" w:cs="仿宋_GB2312"/>
          <w:sz w:val="32"/>
          <w:szCs w:val="32"/>
        </w:rPr>
        <w:t>在研本中心、联盟上年度课题</w:t>
      </w:r>
      <w:r>
        <w:rPr>
          <w:rFonts w:hint="eastAsia" w:cs="仿宋_GB2312"/>
          <w:sz w:val="32"/>
          <w:szCs w:val="32"/>
          <w:lang w:eastAsia="zh-CN"/>
        </w:rPr>
        <w:t>的负责人</w:t>
      </w:r>
      <w:r>
        <w:rPr>
          <w:rFonts w:ascii="Times New Roman" w:hAnsi="Times New Roman" w:eastAsia="仿宋_GB2312" w:cs="仿宋_GB2312"/>
          <w:sz w:val="32"/>
          <w:szCs w:val="32"/>
        </w:rPr>
        <w:t>；</w:t>
      </w:r>
      <w:r>
        <w:rPr>
          <w:rFonts w:hint="eastAsia" w:cs="仿宋_GB2312"/>
          <w:sz w:val="32"/>
          <w:szCs w:val="32"/>
          <w:lang w:eastAsia="zh-CN"/>
        </w:rPr>
        <w:t xml:space="preserve"> </w:t>
      </w:r>
    </w:p>
    <w:p w14:paraId="4A171085">
      <w:pPr>
        <w:pStyle w:val="11"/>
        <w:keepNext w:val="0"/>
        <w:keepLines w:val="0"/>
        <w:pageBreakBefore w:val="0"/>
        <w:widowControl/>
        <w:numPr>
          <w:ilvl w:val="0"/>
          <w:numId w:val="0"/>
        </w:numPr>
        <w:kinsoku/>
        <w:wordWrap/>
        <w:overflowPunct/>
        <w:topLinePunct w:val="0"/>
        <w:autoSpaceDE/>
        <w:autoSpaceDN/>
        <w:bidi w:val="0"/>
        <w:adjustRightInd/>
        <w:snapToGrid/>
        <w:ind w:firstLine="616" w:firstLineChars="200"/>
        <w:textAlignment w:val="auto"/>
        <w:rPr>
          <w:rFonts w:hint="eastAsia"/>
        </w:rPr>
      </w:pPr>
      <w:r>
        <w:rPr>
          <w:rFonts w:hint="eastAsia" w:cs="仿宋_GB2312"/>
          <w:sz w:val="32"/>
          <w:szCs w:val="32"/>
          <w:lang w:val="en-US" w:eastAsia="zh-CN"/>
        </w:rPr>
        <w:t>2.</w:t>
      </w:r>
      <w:r>
        <w:rPr>
          <w:rFonts w:ascii="Times New Roman" w:hAnsi="Times New Roman" w:eastAsia="仿宋_GB2312" w:cs="仿宋_GB2312"/>
          <w:sz w:val="32"/>
          <w:szCs w:val="32"/>
        </w:rPr>
        <w:t>近五年</w:t>
      </w:r>
      <w:r>
        <w:rPr>
          <w:rFonts w:hint="eastAsia" w:cs="仿宋_GB2312"/>
          <w:sz w:val="32"/>
          <w:szCs w:val="32"/>
          <w:lang w:eastAsia="zh-CN"/>
        </w:rPr>
        <w:t>获得</w:t>
      </w:r>
      <w:r>
        <w:rPr>
          <w:rFonts w:ascii="Times New Roman" w:hAnsi="Times New Roman" w:eastAsia="仿宋_GB2312" w:cs="仿宋_GB2312"/>
          <w:sz w:val="32"/>
          <w:szCs w:val="32"/>
        </w:rPr>
        <w:t>本专项资助且未按期完成结项人员。</w:t>
      </w:r>
    </w:p>
    <w:p w14:paraId="1AFBEB5A">
      <w:pPr>
        <w:pStyle w:val="2"/>
        <w:widowControl/>
      </w:pPr>
      <w:r>
        <w:t xml:space="preserve"> 五、规范结项成果要求</w:t>
      </w:r>
    </w:p>
    <w:p w14:paraId="7B20C129">
      <w:pPr>
        <w:pStyle w:val="11"/>
        <w:widowControl/>
        <w:rPr>
          <w:rFonts w:ascii="Times New Roman" w:hAnsi="Times New Roman" w:eastAsia="仿宋_GB2312" w:cs="仿宋_GB2312"/>
          <w:sz w:val="32"/>
          <w:szCs w:val="32"/>
        </w:rPr>
      </w:pPr>
      <w:r>
        <w:rPr>
          <w:rFonts w:ascii="Times New Roman" w:hAnsi="Times New Roman" w:eastAsia="仿宋_GB2312" w:cs="仿宋_GB2312"/>
          <w:sz w:val="32"/>
          <w:szCs w:val="32"/>
        </w:rPr>
        <w:t>所有课题须按期完成全部研究任务，成果须符合学术规范、突出职教应用导向，不同类别结项标准分级设置：</w:t>
      </w:r>
    </w:p>
    <w:p w14:paraId="18A1F802">
      <w:pPr>
        <w:pStyle w:val="11"/>
        <w:widowControl/>
        <w:numPr>
          <w:ilvl w:val="0"/>
          <w:numId w:val="0"/>
        </w:numPr>
        <w:topLinePunct w:val="0"/>
        <w:ind w:left="0" w:leftChars="0" w:firstLine="616"/>
        <w:rPr>
          <w:rFonts w:ascii="Times New Roman" w:hAnsi="Times New Roman" w:eastAsia="仿宋_GB2312" w:cs="仿宋_GB2312"/>
          <w:b w:val="0"/>
          <w:sz w:val="32"/>
          <w:szCs w:val="32"/>
        </w:rPr>
      </w:pPr>
      <w:r>
        <w:rPr>
          <w:rStyle w:val="24"/>
          <w:rFonts w:hint="eastAsia" w:eastAsia="楷体_GB2312"/>
          <w:lang w:eastAsia="zh-CN"/>
        </w:rPr>
        <w:t>（</w:t>
      </w:r>
      <w:r>
        <w:rPr>
          <w:rStyle w:val="24"/>
          <w:rFonts w:hint="eastAsia" w:eastAsia="楷体_GB2312"/>
          <w:lang w:val="en-US" w:eastAsia="zh-CN"/>
        </w:rPr>
        <w:t>一</w:t>
      </w:r>
      <w:r>
        <w:rPr>
          <w:rStyle w:val="24"/>
          <w:rFonts w:hint="eastAsia" w:eastAsia="楷体_GB2312"/>
          <w:lang w:eastAsia="zh-CN"/>
        </w:rPr>
        <w:t>）</w:t>
      </w:r>
      <w:r>
        <w:rPr>
          <w:rStyle w:val="24"/>
        </w:rPr>
        <w:t>重点项目</w:t>
      </w:r>
      <w:r>
        <w:rPr>
          <w:rFonts w:ascii="Times New Roman" w:hAnsi="Times New Roman" w:eastAsia="仿宋_GB2312" w:cs="仿宋_GB2312"/>
          <w:sz w:val="32"/>
          <w:szCs w:val="32"/>
        </w:rPr>
        <w:t>：提交完整研究报告；配套开发教学案例集、示范教案、数字化微课</w:t>
      </w:r>
      <w:r>
        <w:rPr>
          <w:rFonts w:hint="eastAsia" w:cs="仿宋_GB2312"/>
          <w:sz w:val="32"/>
          <w:szCs w:val="32"/>
          <w:lang w:eastAsia="zh-CN"/>
        </w:rPr>
        <w:t>、</w:t>
      </w:r>
      <w:r>
        <w:rPr>
          <w:rFonts w:ascii="Times New Roman" w:hAnsi="Times New Roman" w:eastAsia="仿宋_GB2312" w:cs="仿宋_GB2312"/>
          <w:sz w:val="32"/>
          <w:szCs w:val="32"/>
        </w:rPr>
        <w:t>知识图谱等特色教学资源1项；公开发表教研论文1篇。</w:t>
      </w:r>
    </w:p>
    <w:p w14:paraId="3A142AE7">
      <w:pPr>
        <w:pStyle w:val="11"/>
        <w:widowControl/>
        <w:numPr>
          <w:ilvl w:val="0"/>
          <w:numId w:val="0"/>
        </w:numPr>
        <w:topLinePunct w:val="0"/>
        <w:ind w:left="0" w:leftChars="0" w:firstLine="616"/>
        <w:rPr>
          <w:rFonts w:ascii="Times New Roman" w:hAnsi="Times New Roman" w:eastAsia="仿宋_GB2312" w:cs="仿宋_GB2312"/>
          <w:b w:val="0"/>
          <w:sz w:val="32"/>
          <w:szCs w:val="32"/>
        </w:rPr>
      </w:pPr>
      <w:r>
        <w:rPr>
          <w:rStyle w:val="24"/>
          <w:rFonts w:hint="eastAsia" w:eastAsia="楷体_GB2312"/>
          <w:lang w:eastAsia="zh-CN"/>
        </w:rPr>
        <w:t>（</w:t>
      </w:r>
      <w:r>
        <w:rPr>
          <w:rStyle w:val="24"/>
          <w:rFonts w:hint="eastAsia" w:eastAsia="楷体_GB2312"/>
          <w:lang w:val="en-US" w:eastAsia="zh-CN"/>
        </w:rPr>
        <w:t>二</w:t>
      </w:r>
      <w:r>
        <w:rPr>
          <w:rStyle w:val="24"/>
          <w:rFonts w:hint="eastAsia" w:eastAsia="楷体_GB2312"/>
          <w:lang w:eastAsia="zh-CN"/>
        </w:rPr>
        <w:t>）</w:t>
      </w:r>
      <w:r>
        <w:rPr>
          <w:rStyle w:val="24"/>
        </w:rPr>
        <w:t>一般项目、青年项目</w:t>
      </w:r>
      <w:r>
        <w:rPr>
          <w:rStyle w:val="24"/>
          <w:rFonts w:hint="eastAsia" w:eastAsia="楷体_GB2312"/>
          <w:lang w:eastAsia="zh-CN"/>
        </w:rPr>
        <w:t>、</w:t>
      </w:r>
      <w:r>
        <w:rPr>
          <w:rStyle w:val="24"/>
          <w:rFonts w:hint="eastAsia" w:eastAsia="楷体_GB2312"/>
          <w:lang w:val="en-US" w:eastAsia="zh-CN"/>
        </w:rPr>
        <w:t>自筹立项项目</w:t>
      </w:r>
      <w:r>
        <w:rPr>
          <w:rFonts w:ascii="Times New Roman" w:hAnsi="Times New Roman" w:eastAsia="仿宋_GB2312" w:cs="仿宋_GB2312"/>
          <w:sz w:val="32"/>
          <w:szCs w:val="32"/>
        </w:rPr>
        <w:t>：提交研究报告，并</w:t>
      </w:r>
      <w:r>
        <w:rPr>
          <w:rFonts w:ascii="Times New Roman" w:hAnsi="Times New Roman" w:eastAsia="仿宋_GB2312" w:cs="仿宋_GB2312"/>
          <w:spacing wpsCustomData:val="5" w:val="7"/>
          <w:sz w:val="32"/>
          <w:szCs w:val="32"/>
        </w:rPr>
        <w:t>配套完成学情调研报告</w:t>
      </w:r>
      <w:r>
        <w:rPr>
          <w:rFonts w:ascii="Times New Roman" w:hAnsi="Times New Roman" w:eastAsia="仿宋_GB2312" w:cs="仿宋_GB2312"/>
          <w:spacing wpsCustomData:val="5" w:val="6"/>
          <w:sz w:val="32"/>
          <w:szCs w:val="32"/>
        </w:rPr>
        <w:t>、</w:t>
      </w:r>
      <w:r>
        <w:rPr>
          <w:rFonts w:ascii="Times New Roman" w:hAnsi="Times New Roman" w:eastAsia="仿宋_GB2312" w:cs="仿宋_GB2312"/>
          <w:spacing wpsCustomData:val="5" w:val="7"/>
          <w:sz w:val="32"/>
          <w:szCs w:val="32"/>
        </w:rPr>
        <w:t>课堂教学案例或小型教改实施方</w:t>
      </w:r>
      <w:r>
        <w:rPr>
          <w:rFonts w:ascii="Times New Roman" w:hAnsi="Times New Roman" w:eastAsia="仿宋_GB2312" w:cs="仿宋_GB2312"/>
          <w:spacing wpsCustomData:val="-73" w:val="-94"/>
          <w:sz w:val="32"/>
          <w:szCs w:val="32"/>
        </w:rPr>
        <w:t>案</w:t>
      </w:r>
      <w:r>
        <w:rPr>
          <w:rFonts w:ascii="Times New Roman" w:hAnsi="Times New Roman" w:eastAsia="仿宋_GB2312" w:cs="仿宋_GB2312"/>
          <w:sz w:val="32"/>
          <w:szCs w:val="32"/>
        </w:rPr>
        <w:t>1项。</w:t>
      </w:r>
    </w:p>
    <w:p w14:paraId="0AA60C07">
      <w:pPr>
        <w:pStyle w:val="11"/>
        <w:widowControl/>
        <w:numPr>
          <w:ilvl w:val="0"/>
          <w:numId w:val="0"/>
        </w:numPr>
        <w:topLinePunct w:val="0"/>
        <w:ind w:left="0" w:leftChars="0" w:firstLine="616"/>
        <w:rPr>
          <w:rFonts w:ascii="Times New Roman" w:hAnsi="Times New Roman" w:eastAsia="仿宋_GB2312" w:cs="仿宋_GB2312"/>
          <w:sz w:val="32"/>
          <w:szCs w:val="32"/>
        </w:rPr>
      </w:pPr>
      <w:r>
        <w:rPr>
          <w:rStyle w:val="24"/>
          <w:rFonts w:hint="eastAsia" w:eastAsia="楷体_GB2312"/>
          <w:lang w:eastAsia="zh-CN"/>
        </w:rPr>
        <w:t>（</w:t>
      </w:r>
      <w:r>
        <w:rPr>
          <w:rStyle w:val="24"/>
          <w:rFonts w:hint="eastAsia" w:eastAsia="楷体_GB2312"/>
          <w:lang w:val="en-US" w:eastAsia="zh-CN"/>
        </w:rPr>
        <w:t>三</w:t>
      </w:r>
      <w:r>
        <w:rPr>
          <w:rStyle w:val="24"/>
          <w:rFonts w:hint="eastAsia" w:eastAsia="楷体_GB2312"/>
          <w:lang w:eastAsia="zh-CN"/>
        </w:rPr>
        <w:t>）</w:t>
      </w:r>
      <w:r>
        <w:rPr>
          <w:rStyle w:val="24"/>
        </w:rPr>
        <w:t>延期管理</w:t>
      </w:r>
      <w:r>
        <w:rPr>
          <w:rFonts w:ascii="Times New Roman" w:hAnsi="Times New Roman" w:eastAsia="仿宋_GB2312" w:cs="仿宋_GB2312"/>
          <w:sz w:val="32"/>
          <w:szCs w:val="32"/>
        </w:rPr>
        <w:t>：课题周期自立项文件印发之日起计算，确有客观困难无法按期结项的，须提前提交书面延期申请，延期总时长不得超过1年。</w:t>
      </w:r>
    </w:p>
    <w:p w14:paraId="44F3FB42">
      <w:pPr>
        <w:pStyle w:val="11"/>
        <w:widowControl/>
        <w:numPr>
          <w:ilvl w:val="0"/>
          <w:numId w:val="0"/>
        </w:numPr>
        <w:topLinePunct w:val="0"/>
        <w:ind w:left="0" w:leftChars="0" w:firstLine="616"/>
        <w:rPr>
          <w:rFonts w:hint="eastAsia" w:ascii="黑体" w:hAnsi="黑体" w:eastAsia="黑体" w:cs="黑体"/>
          <w:spacing w:val="0"/>
          <w:kern w:val="44"/>
          <w:sz w:val="32"/>
          <w:szCs w:val="32"/>
          <w:lang w:val="en-US" w:eastAsia="zh-CN"/>
        </w:rPr>
      </w:pPr>
      <w:r>
        <w:rPr>
          <w:rFonts w:hint="eastAsia" w:ascii="黑体" w:hAnsi="黑体" w:eastAsia="黑体" w:cs="黑体"/>
          <w:spacing w:val="0"/>
          <w:kern w:val="44"/>
          <w:sz w:val="32"/>
          <w:szCs w:val="32"/>
          <w:lang w:val="en-US" w:eastAsia="zh-CN"/>
        </w:rPr>
        <w:t>六、申报方式</w:t>
      </w:r>
    </w:p>
    <w:p w14:paraId="23DB9552">
      <w:pPr>
        <w:pStyle w:val="11"/>
        <w:widowControl/>
        <w:numPr>
          <w:ilvl w:val="0"/>
          <w:numId w:val="0"/>
        </w:numPr>
        <w:topLinePunct w:val="0"/>
        <w:ind w:left="0" w:leftChars="0" w:firstLine="616"/>
        <w:rPr>
          <w:rFonts w:hint="eastAsia" w:cs="仿宋_GB2312"/>
          <w:sz w:val="32"/>
          <w:szCs w:val="32"/>
          <w:lang w:val="en-US" w:eastAsia="zh-CN"/>
        </w:rPr>
      </w:pPr>
      <w:r>
        <w:rPr>
          <w:rFonts w:hint="eastAsia" w:cs="仿宋_GB2312"/>
          <w:sz w:val="32"/>
          <w:szCs w:val="32"/>
          <w:lang w:val="en-US" w:eastAsia="zh-CN"/>
        </w:rPr>
        <w:t>申报人需填写课题</w:t>
      </w:r>
      <w:bookmarkStart w:id="0" w:name="_GoBack"/>
      <w:bookmarkEnd w:id="0"/>
      <w:r>
        <w:rPr>
          <w:rFonts w:hint="eastAsia" w:cs="仿宋_GB2312"/>
          <w:sz w:val="32"/>
          <w:szCs w:val="32"/>
          <w:lang w:val="en-US" w:eastAsia="zh-CN"/>
        </w:rPr>
        <w:t>申报书（见附件1）、论证活页（见附件2），填写要求详见附件各项说明。请于2026年9月10日前将申报材料发送至电子邮箱：</w:t>
      </w:r>
      <w:r>
        <w:rPr>
          <w:rFonts w:hint="eastAsia" w:cs="仿宋_GB2312"/>
          <w:sz w:val="32"/>
          <w:szCs w:val="32"/>
          <w:lang w:val="en-US" w:eastAsia="zh-CN"/>
        </w:rPr>
        <w:fldChar w:fldCharType="begin"/>
      </w:r>
      <w:r>
        <w:rPr>
          <w:rFonts w:hint="eastAsia" w:cs="仿宋_GB2312"/>
          <w:sz w:val="32"/>
          <w:szCs w:val="32"/>
          <w:lang w:val="en-US" w:eastAsia="zh-CN"/>
        </w:rPr>
        <w:instrText xml:space="preserve"> HYPERLINK "mailto:sczx@gdipu.edu.cn" </w:instrText>
      </w:r>
      <w:r>
        <w:rPr>
          <w:rFonts w:hint="eastAsia" w:cs="仿宋_GB2312"/>
          <w:sz w:val="32"/>
          <w:szCs w:val="32"/>
          <w:lang w:val="en-US" w:eastAsia="zh-CN"/>
        </w:rPr>
        <w:fldChar w:fldCharType="separate"/>
      </w:r>
      <w:r>
        <w:rPr>
          <w:rStyle w:val="19"/>
          <w:rFonts w:hint="eastAsia" w:cs="仿宋_GB2312"/>
          <w:sz w:val="32"/>
          <w:szCs w:val="32"/>
          <w:lang w:val="en-US" w:eastAsia="zh-CN"/>
        </w:rPr>
        <w:t>sczx@gdipu.edu.cn</w:t>
      </w:r>
      <w:r>
        <w:rPr>
          <w:rFonts w:hint="eastAsia" w:cs="仿宋_GB2312"/>
          <w:sz w:val="32"/>
          <w:szCs w:val="32"/>
          <w:lang w:val="en-US" w:eastAsia="zh-CN"/>
        </w:rPr>
        <w:fldChar w:fldCharType="end"/>
      </w:r>
      <w:r>
        <w:rPr>
          <w:rFonts w:hint="eastAsia" w:cs="仿宋_GB2312"/>
          <w:sz w:val="32"/>
          <w:szCs w:val="32"/>
          <w:lang w:val="en-US" w:eastAsia="zh-CN"/>
        </w:rPr>
        <w:t>（邮件命名格式：学校名+研究方向+课题名称），逾期不予受理。</w:t>
      </w:r>
    </w:p>
    <w:p w14:paraId="54BE9EF6">
      <w:pPr>
        <w:pStyle w:val="11"/>
        <w:numPr>
          <w:ilvl w:val="0"/>
          <w:numId w:val="0"/>
        </w:numPr>
        <w:bidi w:val="0"/>
        <w:ind w:left="0" w:leftChars="0" w:firstLine="616" w:firstLineChars="0"/>
        <w:rPr>
          <w:rFonts w:ascii="Times New Roman" w:hAnsi="Times New Roman" w:eastAsia="仿宋_GB2312" w:cs="仿宋_GB2312"/>
          <w:sz w:val="32"/>
          <w:szCs w:val="32"/>
        </w:rPr>
      </w:pPr>
    </w:p>
    <w:p w14:paraId="5EFA7903">
      <w:pPr>
        <w:pStyle w:val="11"/>
        <w:numPr>
          <w:ilvl w:val="0"/>
          <w:numId w:val="0"/>
        </w:numPr>
        <w:bidi w:val="0"/>
        <w:ind w:left="0" w:leftChars="0" w:firstLine="616" w:firstLineChars="0"/>
        <w:rPr>
          <w:rFonts w:ascii="Times New Roman" w:hAnsi="Times New Roman" w:eastAsia="仿宋_GB2312" w:cs="仿宋_GB2312"/>
          <w:sz w:val="32"/>
          <w:szCs w:val="32"/>
        </w:rPr>
      </w:pPr>
    </w:p>
    <w:p w14:paraId="6AB75737">
      <w:pPr>
        <w:pStyle w:val="11"/>
        <w:numPr>
          <w:ilvl w:val="0"/>
          <w:numId w:val="0"/>
        </w:numPr>
        <w:bidi w:val="0"/>
        <w:ind w:left="0" w:leftChars="0" w:firstLine="616" w:firstLineChars="0"/>
        <w:rPr>
          <w:rFonts w:hint="eastAsia" w:cs="仿宋_GB2312"/>
          <w:sz w:val="32"/>
          <w:szCs w:val="32"/>
          <w:lang w:val="en-US" w:eastAsia="zh-CN"/>
        </w:rPr>
      </w:pPr>
      <w:r>
        <w:rPr>
          <w:rFonts w:hint="eastAsia" w:cs="仿宋_GB2312"/>
          <w:sz w:val="32"/>
          <w:szCs w:val="32"/>
          <w:lang w:val="en-US" w:eastAsia="zh-CN"/>
        </w:rPr>
        <w:t>附件：1.课题申报书</w:t>
      </w:r>
    </w:p>
    <w:p w14:paraId="21CC3387">
      <w:pPr>
        <w:pStyle w:val="11"/>
        <w:keepNext w:val="0"/>
        <w:keepLines w:val="0"/>
        <w:pageBreakBefore w:val="0"/>
        <w:widowControl/>
        <w:numPr>
          <w:ilvl w:val="0"/>
          <w:numId w:val="0"/>
        </w:numPr>
        <w:kinsoku/>
        <w:wordWrap/>
        <w:overflowPunct/>
        <w:topLinePunct w:val="0"/>
        <w:autoSpaceDE/>
        <w:autoSpaceDN/>
        <w:bidi w:val="0"/>
        <w:adjustRightInd/>
        <w:snapToGrid/>
        <w:ind w:left="52" w:leftChars="25" w:firstLine="618" w:firstLineChars="0"/>
        <w:textAlignment w:val="auto"/>
        <w:rPr>
          <w:rFonts w:hint="eastAsia" w:cs="仿宋_GB2312"/>
          <w:sz w:val="32"/>
          <w:szCs w:val="32"/>
          <w:lang w:val="en-US" w:eastAsia="zh-CN"/>
        </w:rPr>
      </w:pPr>
      <w:r>
        <w:rPr>
          <w:rFonts w:hint="eastAsia" w:cs="仿宋_GB2312"/>
          <w:sz w:val="32"/>
          <w:szCs w:val="32"/>
          <w:lang w:val="en-US" w:eastAsia="zh-CN"/>
        </w:rPr>
        <w:t xml:space="preserve">      2.论证活页</w:t>
      </w:r>
    </w:p>
    <w:p w14:paraId="7EEF5611">
      <w:pPr>
        <w:pStyle w:val="11"/>
        <w:numPr>
          <w:ilvl w:val="0"/>
          <w:numId w:val="0"/>
        </w:numPr>
        <w:bidi w:val="0"/>
        <w:ind w:left="0" w:leftChars="0" w:firstLine="616" w:firstLineChars="0"/>
        <w:rPr>
          <w:rFonts w:hint="default" w:cs="仿宋_GB2312"/>
          <w:sz w:val="32"/>
          <w:szCs w:val="32"/>
          <w:lang w:val="en-US" w:eastAsia="zh-CN"/>
        </w:rPr>
      </w:pPr>
    </w:p>
    <w:p w14:paraId="28A0435E">
      <w:pPr>
        <w:pStyle w:val="11"/>
        <w:numPr>
          <w:ilvl w:val="0"/>
          <w:numId w:val="0"/>
        </w:numPr>
        <w:bidi w:val="0"/>
        <w:ind w:left="0" w:leftChars="0" w:firstLine="616" w:firstLineChars="0"/>
        <w:rPr>
          <w:rFonts w:hint="default" w:cs="仿宋_GB2312"/>
          <w:sz w:val="32"/>
          <w:szCs w:val="32"/>
          <w:lang w:val="en-US" w:eastAsia="zh-CN"/>
        </w:rPr>
      </w:pPr>
    </w:p>
    <w:p w14:paraId="2E9B2B95">
      <w:pPr>
        <w:pStyle w:val="11"/>
        <w:numPr>
          <w:ilvl w:val="0"/>
          <w:numId w:val="0"/>
        </w:numPr>
        <w:bidi w:val="0"/>
        <w:ind w:left="0" w:leftChars="0" w:firstLine="616" w:firstLineChars="0"/>
        <w:jc w:val="right"/>
        <w:rPr>
          <w:rFonts w:hint="default" w:cs="仿宋_GB2312"/>
          <w:sz w:val="32"/>
          <w:szCs w:val="32"/>
          <w:lang w:val="en-US" w:eastAsia="zh-CN"/>
        </w:rPr>
      </w:pPr>
      <w:r>
        <w:rPr>
          <w:rFonts w:hint="default" w:cs="仿宋_GB2312"/>
          <w:sz w:val="32"/>
          <w:szCs w:val="32"/>
          <w:lang w:val="en-US" w:eastAsia="zh-CN"/>
        </w:rPr>
        <w:t>全国高职高专院校思想政治理论课建设联盟</w:t>
      </w:r>
    </w:p>
    <w:p w14:paraId="6DAD9B26">
      <w:pPr>
        <w:pStyle w:val="11"/>
        <w:numPr>
          <w:ilvl w:val="0"/>
          <w:numId w:val="0"/>
        </w:numPr>
        <w:wordWrap w:val="0"/>
        <w:bidi w:val="0"/>
        <w:ind w:left="0" w:leftChars="0" w:firstLine="616" w:firstLineChars="0"/>
        <w:jc w:val="right"/>
        <w:rPr>
          <w:rFonts w:hint="default" w:cs="仿宋_GB2312"/>
          <w:sz w:val="32"/>
          <w:szCs w:val="32"/>
          <w:lang w:val="en-US" w:eastAsia="zh-CN"/>
        </w:rPr>
      </w:pPr>
      <w:r>
        <w:rPr>
          <w:rFonts w:hint="default" w:cs="仿宋_GB2312"/>
          <w:sz w:val="32"/>
          <w:szCs w:val="32"/>
          <w:lang w:val="en-US" w:eastAsia="zh-CN"/>
        </w:rPr>
        <w:t>教育部高校思想政治工作创新发展中心</w:t>
      </w:r>
      <w:r>
        <w:rPr>
          <w:rFonts w:hint="eastAsia" w:cs="仿宋_GB2312"/>
          <w:sz w:val="32"/>
          <w:szCs w:val="32"/>
          <w:lang w:val="en-US" w:eastAsia="zh-CN"/>
        </w:rPr>
        <w:t xml:space="preserve">  </w:t>
      </w:r>
    </w:p>
    <w:p w14:paraId="213526E7">
      <w:pPr>
        <w:pStyle w:val="11"/>
        <w:numPr>
          <w:ilvl w:val="0"/>
          <w:numId w:val="0"/>
        </w:numPr>
        <w:wordWrap w:val="0"/>
        <w:bidi w:val="0"/>
        <w:ind w:left="0" w:leftChars="0" w:firstLine="616" w:firstLineChars="0"/>
        <w:jc w:val="right"/>
        <w:rPr>
          <w:rFonts w:hint="default" w:cs="仿宋_GB2312"/>
          <w:sz w:val="32"/>
          <w:szCs w:val="32"/>
          <w:lang w:val="en-US" w:eastAsia="zh-CN"/>
        </w:rPr>
      </w:pPr>
      <w:r>
        <w:rPr>
          <w:rFonts w:hint="default" w:cs="仿宋_GB2312"/>
          <w:sz w:val="32"/>
          <w:szCs w:val="32"/>
          <w:lang w:val="en-US" w:eastAsia="zh-CN"/>
        </w:rPr>
        <w:t>（广东轻工职业技术大学）</w:t>
      </w:r>
      <w:r>
        <w:rPr>
          <w:rFonts w:hint="eastAsia" w:cs="仿宋_GB2312"/>
          <w:sz w:val="32"/>
          <w:szCs w:val="32"/>
          <w:lang w:val="en-US" w:eastAsia="zh-CN"/>
        </w:rPr>
        <w:t xml:space="preserve">       </w:t>
      </w:r>
    </w:p>
    <w:p w14:paraId="3F88DFAB">
      <w:pPr>
        <w:pStyle w:val="11"/>
        <w:numPr>
          <w:ilvl w:val="0"/>
          <w:numId w:val="0"/>
        </w:numPr>
        <w:wordWrap w:val="0"/>
        <w:bidi w:val="0"/>
        <w:ind w:left="0" w:leftChars="0" w:firstLine="616" w:firstLineChars="0"/>
        <w:jc w:val="right"/>
        <w:rPr>
          <w:rFonts w:hint="eastAsia" w:cs="仿宋_GB2312"/>
          <w:sz w:val="32"/>
          <w:szCs w:val="32"/>
          <w:lang w:val="en-US" w:eastAsia="zh-CN"/>
        </w:rPr>
      </w:pPr>
      <w:r>
        <w:rPr>
          <w:rFonts w:hint="eastAsia" w:cs="仿宋_GB2312"/>
          <w:sz w:val="32"/>
          <w:szCs w:val="32"/>
          <w:lang w:val="en-US" w:eastAsia="zh-CN"/>
        </w:rPr>
        <w:t xml:space="preserve">2026年7月13日           </w:t>
      </w:r>
    </w:p>
    <w:p w14:paraId="1C0EAF37">
      <w:pPr>
        <w:bidi w:val="0"/>
        <w:rPr>
          <w:rFonts w:hint="default"/>
          <w:lang w:val="en-US" w:eastAsia="zh-CN"/>
        </w:rPr>
      </w:pPr>
    </w:p>
    <w:p w14:paraId="156625B7">
      <w:pPr>
        <w:bidi w:val="0"/>
        <w:ind w:firstLine="450" w:firstLineChars="0"/>
        <w:jc w:val="left"/>
        <w:rPr>
          <w:rFonts w:hint="default" w:ascii="Times New Roman" w:hAnsi="Times New Roman" w:eastAsia="仿宋_GB2312" w:cs="仿宋_GB2312"/>
          <w:spacing w:val="-6"/>
          <w:kern w:val="0"/>
          <w:sz w:val="32"/>
          <w:szCs w:val="32"/>
          <w:lang w:val="en-US" w:eastAsia="zh-CN"/>
        </w:rPr>
      </w:pPr>
      <w:r>
        <w:rPr>
          <w:rFonts w:hint="eastAsia" w:ascii="Times New Roman" w:hAnsi="Times New Roman" w:eastAsia="仿宋_GB2312" w:cs="仿宋_GB2312"/>
          <w:spacing w:val="-6"/>
          <w:kern w:val="0"/>
          <w:sz w:val="32"/>
          <w:szCs w:val="32"/>
          <w:lang w:val="en-US" w:eastAsia="zh-CN"/>
        </w:rPr>
        <w:t>（联系人：陈老师 电话：020-66856191，19195545612）</w:t>
      </w:r>
    </w:p>
    <w:sectPr>
      <w:footerReference r:id="rId3" w:type="default"/>
      <w:footerReference r:id="rId4" w:type="even"/>
      <w:pgSz w:w="11906" w:h="16838"/>
      <w:pgMar w:top="2098" w:right="1474" w:bottom="1984" w:left="1587" w:header="851" w:footer="1417" w:gutter="0"/>
      <w:pgNumType w:fmt="decimal" w:start="1"/>
      <w:cols w:space="425" w:num="1"/>
      <w:docGrid w:type="linesAndChars" w:linePitch="579" w:charSpace="1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1D59D1F-A535-4F3C-9DB6-71E9BF6F887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00"/>
    <w:family w:val="auto"/>
    <w:pitch w:val="default"/>
    <w:sig w:usb0="00000000" w:usb1="00000000" w:usb2="00000000" w:usb3="00000000" w:csb0="00000000" w:csb1="00000000"/>
    <w:embedRegular r:id="rId2" w:fontKey="{84923A05-F7C3-4432-9D28-50F4DBB0498B}"/>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embedRegular r:id="rId3" w:fontKey="{DADC0D03-0B9B-4A34-9C98-9A5FB65FDA0A}"/>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4" w:fontKey="{96453D35-D528-4EB3-8C0C-A45751877EF6}"/>
  </w:font>
  <w:font w:name="方正小标宋_GBK">
    <w:panose1 w:val="02000000000000000000"/>
    <w:charset w:val="86"/>
    <w:family w:val="auto"/>
    <w:pitch w:val="default"/>
    <w:sig w:usb0="A00002BF" w:usb1="38CF7CFA" w:usb2="00082016" w:usb3="00000000" w:csb0="00040001" w:csb1="00000000"/>
    <w:embedRegular r:id="rId5" w:fontKey="{5248F535-AF84-41AB-B720-8F2E49CEA0F3}"/>
  </w:font>
  <w:font w:name="方正仿宋_GBK">
    <w:panose1 w:val="03000509000000000000"/>
    <w:charset w:val="86"/>
    <w:family w:val="script"/>
    <w:pitch w:val="default"/>
    <w:sig w:usb0="00000001" w:usb1="080E0000" w:usb2="00000000" w:usb3="00000000" w:csb0="00040000" w:csb1="00000000"/>
    <w:embedRegular r:id="rId6" w:fontKey="{0136FA84-B601-4CA3-9111-00CCF1D6649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381C4F">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579D5C">
                          <w:pPr>
                            <w:pStyle w:val="12"/>
                            <w:jc w:val="both"/>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C579D5C">
                    <w:pPr>
                      <w:pStyle w:val="12"/>
                      <w:jc w:val="both"/>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891765">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DFC0A2">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4DFC0A2">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TrueTypeFonts/>
  <w:saveSubsetFonts/>
  <w:bordersDoNotSurroundHeader w:val="0"/>
  <w:bordersDoNotSurroundFooter w:val="0"/>
  <w:documentProtection w:enforcement="0"/>
  <w:defaultTabStop w:val="420"/>
  <w:evenAndOddHeaders w:val="1"/>
  <w:drawingGridHorizontalSpacing w:val="158"/>
  <w:drawingGridVerticalSpacing w:val="2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C34AD9"/>
    <w:rsid w:val="01A532E0"/>
    <w:rsid w:val="04DC4690"/>
    <w:rsid w:val="0D3F359E"/>
    <w:rsid w:val="1422489E"/>
    <w:rsid w:val="150F15B4"/>
    <w:rsid w:val="16B92CEB"/>
    <w:rsid w:val="16DA118B"/>
    <w:rsid w:val="17B32C21"/>
    <w:rsid w:val="18700CAA"/>
    <w:rsid w:val="187529D9"/>
    <w:rsid w:val="19BF16D1"/>
    <w:rsid w:val="1EDD750C"/>
    <w:rsid w:val="1FE45ACA"/>
    <w:rsid w:val="20974D0F"/>
    <w:rsid w:val="2AA86194"/>
    <w:rsid w:val="2B6F0C72"/>
    <w:rsid w:val="2BA74800"/>
    <w:rsid w:val="2CA16D91"/>
    <w:rsid w:val="2D062710"/>
    <w:rsid w:val="2F84625D"/>
    <w:rsid w:val="40F4011B"/>
    <w:rsid w:val="416E1FC3"/>
    <w:rsid w:val="47370654"/>
    <w:rsid w:val="4CB77FE4"/>
    <w:rsid w:val="540A30B1"/>
    <w:rsid w:val="57D45775"/>
    <w:rsid w:val="5F0218E6"/>
    <w:rsid w:val="62E36506"/>
    <w:rsid w:val="6AA36529"/>
    <w:rsid w:val="6AB12D8B"/>
    <w:rsid w:val="71806814"/>
    <w:rsid w:val="79531B39"/>
    <w:rsid w:val="7A671793"/>
    <w:rsid w:val="7EC34A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officialmode val="1"/>
    </mc:Choice>
  </mc:AlternateContent>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3">
    <w:name w:val="heading 2"/>
    <w:next w:val="1"/>
    <w:link w:val="24"/>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4">
    <w:name w:val="heading 3"/>
    <w:next w:val="1"/>
    <w:semiHidden/>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paragraph" w:styleId="5">
    <w:name w:val="heading 4"/>
    <w:next w:val="1"/>
    <w:semiHidden/>
    <w:unhideWhenUsed/>
    <w:qFormat/>
    <w:uiPriority w:val="0"/>
    <w:pPr>
      <w:keepNext/>
      <w:keepLines/>
      <w:spacing w:beforeLines="0" w:beforeAutospacing="0" w:afterLines="0" w:afterAutospacing="0" w:line="560" w:lineRule="exact"/>
      <w:ind w:firstLine="894" w:firstLineChars="200"/>
      <w:outlineLvl w:val="3"/>
    </w:pPr>
    <w:rPr>
      <w:rFonts w:ascii="Times New Roman" w:hAnsi="Times New Roman" w:eastAsia="仿宋_GB2312" w:cs="仿宋_GB2312"/>
      <w:sz w:val="32"/>
      <w:szCs w:val="32"/>
    </w:rPr>
  </w:style>
  <w:style w:type="paragraph" w:styleId="6">
    <w:name w:val="heading 5"/>
    <w:next w:val="1"/>
    <w:semiHidden/>
    <w:unhideWhenUsed/>
    <w:qFormat/>
    <w:uiPriority w:val="0"/>
    <w:pPr>
      <w:spacing w:line="560" w:lineRule="exact"/>
      <w:ind w:firstLine="894" w:firstLineChars="200"/>
      <w:outlineLvl w:val="4"/>
    </w:pPr>
    <w:rPr>
      <w:rFonts w:ascii="Times New Roman" w:hAnsi="Times New Roman" w:eastAsia="仿宋_GB2312" w:cs="仿宋_GB2312"/>
      <w:sz w:val="32"/>
      <w:szCs w:val="32"/>
    </w:rPr>
  </w:style>
  <w:style w:type="paragraph" w:styleId="7">
    <w:name w:val="heading 6"/>
    <w:next w:val="1"/>
    <w:semiHidden/>
    <w:unhideWhenUsed/>
    <w:qFormat/>
    <w:uiPriority w:val="0"/>
    <w:pPr>
      <w:spacing w:line="560" w:lineRule="exact"/>
      <w:ind w:firstLine="894" w:firstLineChars="200"/>
      <w:outlineLvl w:val="5"/>
    </w:pPr>
    <w:rPr>
      <w:rFonts w:ascii="Times New Roman" w:hAnsi="Times New Roman" w:eastAsia="仿宋_GB2312" w:cs="仿宋_GB2312"/>
      <w:sz w:val="32"/>
      <w:szCs w:val="32"/>
    </w:rPr>
  </w:style>
  <w:style w:type="paragraph" w:styleId="8">
    <w:name w:val="heading 7"/>
    <w:next w:val="1"/>
    <w:semiHidden/>
    <w:unhideWhenUsed/>
    <w:qFormat/>
    <w:uiPriority w:val="0"/>
    <w:pPr>
      <w:spacing w:line="560" w:lineRule="exact"/>
      <w:ind w:firstLine="894" w:firstLineChars="200"/>
      <w:outlineLvl w:val="6"/>
    </w:pPr>
    <w:rPr>
      <w:rFonts w:ascii="Times New Roman" w:hAnsi="Times New Roman" w:eastAsia="仿宋_GB2312" w:cs="仿宋_GB2312"/>
      <w:sz w:val="32"/>
      <w:szCs w:val="32"/>
    </w:rPr>
  </w:style>
  <w:style w:type="paragraph" w:styleId="9">
    <w:name w:val="heading 8"/>
    <w:next w:val="1"/>
    <w:semiHidden/>
    <w:unhideWhenUsed/>
    <w:qFormat/>
    <w:uiPriority w:val="0"/>
    <w:pPr>
      <w:spacing w:line="560" w:lineRule="exact"/>
      <w:ind w:firstLine="894" w:firstLineChars="200"/>
      <w:outlineLvl w:val="7"/>
    </w:pPr>
    <w:rPr>
      <w:rFonts w:ascii="Times New Roman" w:hAnsi="Times New Roman" w:eastAsia="仿宋_GB2312" w:cs="仿宋_GB2312"/>
      <w:sz w:val="32"/>
      <w:szCs w:val="32"/>
    </w:rPr>
  </w:style>
  <w:style w:type="paragraph" w:styleId="10">
    <w:name w:val="heading 9"/>
    <w:next w:val="1"/>
    <w:semiHidden/>
    <w:unhideWhenUsed/>
    <w:qFormat/>
    <w:uiPriority w:val="0"/>
    <w:pPr>
      <w:spacing w:line="560" w:lineRule="exact"/>
      <w:ind w:firstLine="894" w:firstLineChars="200"/>
      <w:outlineLvl w:val="8"/>
    </w:pPr>
    <w:rPr>
      <w:rFonts w:ascii="Times New Roman" w:hAnsi="Times New Roman" w:eastAsia="仿宋_GB2312" w:cs="仿宋_GB2312"/>
      <w:sz w:val="32"/>
      <w:szCs w:val="32"/>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11">
    <w:name w:val="Body Text"/>
    <w:link w:val="23"/>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Subtitle"/>
    <w:qFormat/>
    <w:uiPriority w:val="0"/>
    <w:pPr>
      <w:spacing w:beforeLines="0" w:beforeAutospacing="0" w:afterLines="0" w:afterAutospacing="0" w:line="720" w:lineRule="exact"/>
      <w:jc w:val="center"/>
      <w:outlineLvl w:val="9"/>
    </w:pPr>
    <w:rPr>
      <w:rFonts w:ascii="Times New Roman" w:hAnsi="Times New Roman" w:eastAsia="仿宋_GB2312" w:cs="仿宋_GB2312"/>
      <w:kern w:val="28"/>
      <w:sz w:val="32"/>
      <w:szCs w:val="32"/>
    </w:rPr>
  </w:style>
  <w:style w:type="paragraph" w:styleId="15">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Hyperlink"/>
    <w:basedOn w:val="18"/>
    <w:qFormat/>
    <w:uiPriority w:val="0"/>
    <w:rPr>
      <w:color w:val="0000FF"/>
      <w:u w:val="single"/>
    </w:rPr>
  </w:style>
  <w:style w:type="paragraph" w:customStyle="1" w:styleId="20">
    <w:name w:val="主送对象"/>
    <w:next w:val="1"/>
    <w:qFormat/>
    <w:uiPriority w:val="0"/>
    <w:pPr>
      <w:spacing w:line="560" w:lineRule="exact"/>
    </w:pPr>
    <w:rPr>
      <w:rFonts w:ascii="Times New Roman" w:hAnsi="Times New Roman" w:eastAsia="仿宋_GB2312" w:cs="仿宋_GB2312"/>
      <w:sz w:val="32"/>
      <w:szCs w:val="32"/>
    </w:rPr>
  </w:style>
  <w:style w:type="paragraph" w:customStyle="1" w:styleId="21">
    <w:name w:val="附录标题"/>
    <w:next w:val="1"/>
    <w:qFormat/>
    <w:uiPriority w:val="0"/>
    <w:pPr>
      <w:overflowPunct w:val="0"/>
      <w:topLinePunct/>
      <w:spacing w:line="560" w:lineRule="exact"/>
      <w:jc w:val="left"/>
      <w:outlineLvl w:val="0"/>
    </w:pPr>
    <w:rPr>
      <w:rFonts w:ascii="黑体" w:hAnsi="黑体" w:eastAsia="黑体" w:cs="黑体"/>
      <w:sz w:val="32"/>
      <w:szCs w:val="32"/>
    </w:rPr>
  </w:style>
  <w:style w:type="character" w:customStyle="1" w:styleId="22">
    <w:name w:val="标题 2 Char"/>
    <w:qFormat/>
    <w:uiPriority w:val="0"/>
    <w:rPr>
      <w:rFonts w:ascii="Times New Roman" w:hAnsi="Times New Roman" w:eastAsia="楷体_GB2312" w:cs="楷体_GB2312"/>
      <w:sz w:val="32"/>
      <w:szCs w:val="32"/>
    </w:rPr>
  </w:style>
  <w:style w:type="character" w:customStyle="1" w:styleId="23">
    <w:name w:val="正文文本 Char"/>
    <w:link w:val="11"/>
    <w:qFormat/>
    <w:uiPriority w:val="0"/>
    <w:rPr>
      <w:rFonts w:ascii="Times New Roman" w:hAnsi="Times New Roman" w:eastAsia="仿宋" w:cs="仿宋"/>
      <w:spacing w:val="-6"/>
      <w:sz w:val="32"/>
      <w:szCs w:val="32"/>
    </w:rPr>
  </w:style>
  <w:style w:type="character" w:customStyle="1" w:styleId="24">
    <w:name w:val="标题 2 Char1"/>
    <w:link w:val="3"/>
    <w:qFormat/>
    <w:uiPriority w:val="0"/>
    <w:rPr>
      <w:rFonts w:ascii="Times New Roman" w:hAnsi="Times New Roman" w:eastAsia="楷体_GB2312" w:cs="楷体_GB231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1e37ccf1-4504-401d-8e13-2a56c7abfa24</errorID>
      <errorWord>”后</errorWord>
      <group>L1_Word</group>
      <groupName>字词问题</groupName>
      <ability>L2_Typo</ability>
      <abilityName>字词错误</abilityName>
      <candidateList>
        <item>后”</item>
      </candidateList>
      <explain/>
      <paraID>1686625A</paraID>
      <start>5</start>
      <end>7</end>
      <status>modified</status>
      <modifiedWord>后”</modifiedWord>
      <trackRevisions>false</trackRevisions>
    </reviewItem>
    <reviewItem>
      <errorID>18fcf9b1-3d24-49b1-9af0-c3ecc488e731</errorID>
      <errorWord>方向</errorWord>
      <group>L1_Punc</group>
      <groupName>标点问题</groupName>
      <ability>L2_Punc_CN</ability>
      <abilityName>标点符号问题</abilityName>
      <candidateList>
        <item>方向。</item>
      </candidateList>
      <explain/>
      <paraID>5B6A34DC</paraID>
      <start>57</start>
      <end>59</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0b38922-de40-43ce-bf83-c5ad4464228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2365</Words>
  <Characters>2447</Characters>
  <Lines>0</Lines>
  <Paragraphs>0</Paragraphs>
  <TotalTime>8</TotalTime>
  <ScaleCrop>false</ScaleCrop>
  <LinksUpToDate>false</LinksUpToDate>
  <CharactersWithSpaces>2479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2026-07-09T07:49:00Z</dcterms:created>
  <dc:creator>某某某</dc:creator>
  <cp:lastModifiedBy>Chen</cp:lastModifiedBy>
  <cp:lastPrinted>2026-07-09T08:10:00Z</cp:lastPrinted>
  <dcterms:modified xsi:type="dcterms:W3CDTF">2026-07-13T09:02:30Z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04DC5E1463D34ECCAE8736BFE33D0C1D_13</vt:lpwstr>
  </property>
  <property fmtid="{D5CDD505-2E9C-101B-9397-08002B2CF9AE}" pid="4" name="KSOTemplateDocerSaveRecord">
    <vt:lpwstr>eyJoZGlkIjoiNDJkNGZlMDRjMGZiYTYyNjk5MWQwYWZjMWRmOWM3OWUiLCJ1c2VySWQiOiIxNTA5ODcwNzczIn0=</vt:lpwstr>
  </property>
</Properties>
</file>